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4C06" w14:textId="4706083C" w:rsidR="0059227D" w:rsidRPr="009212EF" w:rsidRDefault="0059227D" w:rsidP="0059227D">
      <w:pPr>
        <w:spacing w:line="360" w:lineRule="auto"/>
        <w:rPr>
          <w:b/>
          <w:sz w:val="24"/>
        </w:rPr>
      </w:pPr>
      <w:r w:rsidRPr="009212EF">
        <w:rPr>
          <w:rFonts w:hint="eastAsia"/>
          <w:b/>
          <w:sz w:val="24"/>
        </w:rPr>
        <w:t>证券代码：</w:t>
      </w:r>
      <w:r w:rsidRPr="009212EF">
        <w:rPr>
          <w:rFonts w:hint="eastAsia"/>
          <w:b/>
          <w:sz w:val="24"/>
        </w:rPr>
        <w:t>6</w:t>
      </w:r>
      <w:r w:rsidRPr="009212EF">
        <w:rPr>
          <w:b/>
          <w:sz w:val="24"/>
        </w:rPr>
        <w:t>03325</w:t>
      </w:r>
      <w:r w:rsidRPr="009212EF">
        <w:rPr>
          <w:rFonts w:hint="eastAsia"/>
          <w:b/>
          <w:sz w:val="24"/>
        </w:rPr>
        <w:t xml:space="preserve">       </w:t>
      </w:r>
      <w:r w:rsidR="000C4407" w:rsidRPr="009212EF">
        <w:rPr>
          <w:b/>
          <w:sz w:val="24"/>
        </w:rPr>
        <w:t xml:space="preserve">                            </w:t>
      </w:r>
      <w:r w:rsidRPr="009212EF">
        <w:rPr>
          <w:rFonts w:hint="eastAsia"/>
          <w:b/>
          <w:sz w:val="24"/>
        </w:rPr>
        <w:t>证券简称：博隆技术</w:t>
      </w:r>
    </w:p>
    <w:p w14:paraId="7D9963EC" w14:textId="77777777" w:rsidR="0059227D" w:rsidRPr="009212EF" w:rsidRDefault="0059227D" w:rsidP="0059227D">
      <w:pPr>
        <w:spacing w:line="360" w:lineRule="auto"/>
        <w:rPr>
          <w:b/>
          <w:sz w:val="24"/>
        </w:rPr>
      </w:pPr>
    </w:p>
    <w:p w14:paraId="036F5522" w14:textId="77777777" w:rsidR="00444A39" w:rsidRPr="009212EF" w:rsidRDefault="000266AA" w:rsidP="00444A39">
      <w:pPr>
        <w:spacing w:line="360" w:lineRule="auto"/>
        <w:jc w:val="center"/>
        <w:rPr>
          <w:rFonts w:ascii="黑体" w:eastAsia="黑体" w:hAnsi="黑体"/>
          <w:b/>
          <w:sz w:val="36"/>
          <w:szCs w:val="36"/>
        </w:rPr>
      </w:pPr>
      <w:bookmarkStart w:id="0" w:name="_Hlk156423753"/>
      <w:r w:rsidRPr="009212EF">
        <w:rPr>
          <w:rFonts w:ascii="黑体" w:eastAsia="黑体" w:hAnsi="黑体"/>
          <w:b/>
          <w:sz w:val="36"/>
          <w:szCs w:val="36"/>
        </w:rPr>
        <w:t>上海博隆装备技术股份有限公司</w:t>
      </w:r>
      <w:bookmarkStart w:id="1" w:name="_Hlk156426301"/>
      <w:bookmarkEnd w:id="0"/>
    </w:p>
    <w:p w14:paraId="2974C203" w14:textId="638BC0C6" w:rsidR="00BD66CA" w:rsidRPr="009212EF" w:rsidRDefault="00A3244B" w:rsidP="00444A39">
      <w:pPr>
        <w:spacing w:line="360" w:lineRule="auto"/>
        <w:jc w:val="center"/>
        <w:rPr>
          <w:rFonts w:ascii="黑体" w:eastAsia="黑体" w:hAnsi="黑体"/>
          <w:b/>
          <w:sz w:val="36"/>
          <w:szCs w:val="36"/>
        </w:rPr>
      </w:pPr>
      <w:r w:rsidRPr="009212EF">
        <w:rPr>
          <w:rFonts w:ascii="黑体" w:eastAsia="黑体" w:hAnsi="黑体" w:hint="eastAsia"/>
          <w:b/>
          <w:sz w:val="36"/>
          <w:szCs w:val="36"/>
        </w:rPr>
        <w:t>投资者关系活动记录表</w:t>
      </w:r>
    </w:p>
    <w:bookmarkEnd w:id="1"/>
    <w:p w14:paraId="02F8F907" w14:textId="5DE7F5CD" w:rsidR="00D076D4" w:rsidRPr="009212EF" w:rsidRDefault="00444A39" w:rsidP="00D076D4">
      <w:pPr>
        <w:pStyle w:val="a3"/>
        <w:snapToGrid w:val="0"/>
        <w:spacing w:line="360" w:lineRule="auto"/>
        <w:jc w:val="right"/>
        <w:rPr>
          <w:rFonts w:eastAsia="宋体"/>
          <w:sz w:val="21"/>
          <w:szCs w:val="21"/>
        </w:rPr>
      </w:pPr>
      <w:r w:rsidRPr="009212EF">
        <w:rPr>
          <w:rFonts w:eastAsia="宋体"/>
          <w:sz w:val="21"/>
          <w:szCs w:val="21"/>
        </w:rPr>
        <w:t>编号：</w:t>
      </w:r>
      <w:r w:rsidRPr="009212EF">
        <w:rPr>
          <w:rFonts w:eastAsia="宋体"/>
          <w:sz w:val="21"/>
          <w:szCs w:val="21"/>
        </w:rPr>
        <w:t>2024-00</w:t>
      </w:r>
      <w:r w:rsidR="007D7BAF" w:rsidRPr="009212EF">
        <w:rPr>
          <w:rFonts w:eastAsia="宋体"/>
          <w:sz w:val="21"/>
          <w:szCs w:val="21"/>
        </w:rPr>
        <w:t>2</w:t>
      </w:r>
    </w:p>
    <w:tbl>
      <w:tblPr>
        <w:tblStyle w:val="ac"/>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93"/>
        <w:gridCol w:w="6813"/>
      </w:tblGrid>
      <w:tr w:rsidR="00A3244B" w:rsidRPr="009212EF" w14:paraId="590EE973" w14:textId="77777777" w:rsidTr="00F076BC">
        <w:trPr>
          <w:trHeight w:val="397"/>
        </w:trPr>
        <w:tc>
          <w:tcPr>
            <w:tcW w:w="995" w:type="pct"/>
            <w:noWrap/>
            <w:vAlign w:val="center"/>
            <w:hideMark/>
          </w:tcPr>
          <w:p w14:paraId="35A73F42" w14:textId="77777777" w:rsidR="00A3244B" w:rsidRPr="009212EF" w:rsidRDefault="00A3244B" w:rsidP="00A3244B">
            <w:pPr>
              <w:widowControl/>
              <w:adjustRightInd w:val="0"/>
              <w:snapToGrid w:val="0"/>
              <w:jc w:val="center"/>
              <w:rPr>
                <w:b/>
                <w:kern w:val="0"/>
                <w:szCs w:val="21"/>
              </w:rPr>
            </w:pPr>
            <w:r w:rsidRPr="009212EF">
              <w:rPr>
                <w:rFonts w:hint="eastAsia"/>
                <w:b/>
                <w:kern w:val="0"/>
                <w:szCs w:val="21"/>
              </w:rPr>
              <w:t>投资者关系</w:t>
            </w:r>
          </w:p>
          <w:p w14:paraId="097FBAD4" w14:textId="6C3298A5" w:rsidR="00A3244B" w:rsidRPr="009212EF" w:rsidRDefault="00A3244B" w:rsidP="00A3244B">
            <w:pPr>
              <w:widowControl/>
              <w:adjustRightInd w:val="0"/>
              <w:snapToGrid w:val="0"/>
              <w:jc w:val="center"/>
              <w:rPr>
                <w:b/>
                <w:kern w:val="0"/>
                <w:szCs w:val="21"/>
              </w:rPr>
            </w:pPr>
            <w:r w:rsidRPr="009212EF">
              <w:rPr>
                <w:rFonts w:hint="eastAsia"/>
                <w:b/>
                <w:kern w:val="0"/>
                <w:szCs w:val="21"/>
              </w:rPr>
              <w:t>活动类型</w:t>
            </w:r>
          </w:p>
        </w:tc>
        <w:tc>
          <w:tcPr>
            <w:tcW w:w="4005" w:type="pct"/>
            <w:vAlign w:val="center"/>
          </w:tcPr>
          <w:p w14:paraId="66152974" w14:textId="36963B49" w:rsidR="00A3244B" w:rsidRPr="009212EF" w:rsidRDefault="00A3244B" w:rsidP="00444A39">
            <w:pPr>
              <w:widowControl/>
              <w:adjustRightInd w:val="0"/>
              <w:snapToGrid w:val="0"/>
              <w:rPr>
                <w:kern w:val="0"/>
                <w:szCs w:val="21"/>
              </w:rPr>
            </w:pPr>
            <w:r w:rsidRPr="009212EF">
              <w:rPr>
                <w:rFonts w:hint="eastAsia"/>
                <w:kern w:val="0"/>
                <w:szCs w:val="21"/>
              </w:rPr>
              <w:t>√特定对象调研</w:t>
            </w:r>
            <w:r w:rsidRPr="009212EF">
              <w:rPr>
                <w:rFonts w:hint="eastAsia"/>
                <w:kern w:val="0"/>
                <w:szCs w:val="21"/>
              </w:rPr>
              <w:t xml:space="preserve">    </w:t>
            </w:r>
            <w:r w:rsidR="00444A39" w:rsidRPr="009212EF">
              <w:rPr>
                <w:rFonts w:hint="eastAsia"/>
                <w:kern w:val="0"/>
                <w:szCs w:val="21"/>
              </w:rPr>
              <w:t>□</w:t>
            </w:r>
            <w:r w:rsidRPr="009212EF">
              <w:rPr>
                <w:rFonts w:hint="eastAsia"/>
                <w:kern w:val="0"/>
                <w:szCs w:val="21"/>
              </w:rPr>
              <w:t>分析</w:t>
            </w:r>
            <w:proofErr w:type="gramStart"/>
            <w:r w:rsidRPr="009212EF">
              <w:rPr>
                <w:rFonts w:hint="eastAsia"/>
                <w:kern w:val="0"/>
                <w:szCs w:val="21"/>
              </w:rPr>
              <w:t>师会议</w:t>
            </w:r>
            <w:proofErr w:type="gramEnd"/>
            <w:r w:rsidRPr="009212EF">
              <w:rPr>
                <w:rFonts w:hint="eastAsia"/>
                <w:kern w:val="0"/>
                <w:szCs w:val="21"/>
              </w:rPr>
              <w:t xml:space="preserve">   </w:t>
            </w:r>
            <w:r w:rsidRPr="009212EF">
              <w:rPr>
                <w:rFonts w:hint="eastAsia"/>
                <w:kern w:val="0"/>
                <w:szCs w:val="21"/>
              </w:rPr>
              <w:t>□媒体采访</w:t>
            </w:r>
            <w:r w:rsidRPr="009212EF">
              <w:rPr>
                <w:rFonts w:hint="eastAsia"/>
                <w:kern w:val="0"/>
                <w:szCs w:val="21"/>
              </w:rPr>
              <w:t xml:space="preserve">   </w:t>
            </w:r>
            <w:r w:rsidR="00444A39" w:rsidRPr="009212EF">
              <w:rPr>
                <w:rFonts w:hint="eastAsia"/>
                <w:kern w:val="0"/>
                <w:szCs w:val="21"/>
              </w:rPr>
              <w:t>□</w:t>
            </w:r>
            <w:r w:rsidRPr="009212EF">
              <w:rPr>
                <w:rFonts w:hint="eastAsia"/>
                <w:kern w:val="0"/>
                <w:szCs w:val="21"/>
              </w:rPr>
              <w:t>业绩说明会</w:t>
            </w:r>
          </w:p>
          <w:p w14:paraId="19792F0E" w14:textId="53865942" w:rsidR="00A3244B" w:rsidRPr="009212EF" w:rsidRDefault="00A3244B" w:rsidP="00444A39">
            <w:pPr>
              <w:widowControl/>
              <w:adjustRightInd w:val="0"/>
              <w:snapToGrid w:val="0"/>
              <w:rPr>
                <w:kern w:val="0"/>
                <w:szCs w:val="21"/>
              </w:rPr>
            </w:pPr>
            <w:r w:rsidRPr="009212EF">
              <w:rPr>
                <w:rFonts w:hint="eastAsia"/>
                <w:kern w:val="0"/>
                <w:szCs w:val="21"/>
              </w:rPr>
              <w:t>□新闻发布会</w:t>
            </w:r>
            <w:r w:rsidRPr="009212EF">
              <w:rPr>
                <w:rFonts w:hint="eastAsia"/>
                <w:kern w:val="0"/>
                <w:szCs w:val="21"/>
              </w:rPr>
              <w:t xml:space="preserve">    </w:t>
            </w:r>
            <w:r w:rsidR="00444A39" w:rsidRPr="009212EF">
              <w:rPr>
                <w:kern w:val="0"/>
                <w:szCs w:val="21"/>
              </w:rPr>
              <w:t xml:space="preserve"> </w:t>
            </w:r>
            <w:r w:rsidRPr="009212EF">
              <w:rPr>
                <w:rFonts w:hint="eastAsia"/>
                <w:kern w:val="0"/>
                <w:szCs w:val="21"/>
              </w:rPr>
              <w:t xml:space="preserve"> </w:t>
            </w:r>
            <w:r w:rsidRPr="009212EF">
              <w:rPr>
                <w:rFonts w:hint="eastAsia"/>
                <w:kern w:val="0"/>
                <w:szCs w:val="21"/>
              </w:rPr>
              <w:t>□现场参观</w:t>
            </w:r>
            <w:r w:rsidR="00670CB5" w:rsidRPr="009212EF">
              <w:rPr>
                <w:rFonts w:hint="eastAsia"/>
                <w:kern w:val="0"/>
                <w:szCs w:val="21"/>
              </w:rPr>
              <w:t xml:space="preserve">  </w:t>
            </w:r>
            <w:r w:rsidR="00444A39" w:rsidRPr="009212EF">
              <w:rPr>
                <w:kern w:val="0"/>
                <w:szCs w:val="21"/>
              </w:rPr>
              <w:t xml:space="preserve"> </w:t>
            </w:r>
            <w:r w:rsidR="00670CB5" w:rsidRPr="009212EF">
              <w:rPr>
                <w:rFonts w:hint="eastAsia"/>
                <w:kern w:val="0"/>
                <w:szCs w:val="21"/>
              </w:rPr>
              <w:t xml:space="preserve">  </w:t>
            </w:r>
            <w:r w:rsidRPr="009212EF">
              <w:rPr>
                <w:rFonts w:hint="eastAsia"/>
                <w:kern w:val="0"/>
                <w:szCs w:val="21"/>
              </w:rPr>
              <w:t>□路演活动</w:t>
            </w:r>
            <w:r w:rsidRPr="009212EF">
              <w:rPr>
                <w:rFonts w:hint="eastAsia"/>
                <w:kern w:val="0"/>
                <w:szCs w:val="21"/>
              </w:rPr>
              <w:t xml:space="preserve">   </w:t>
            </w:r>
            <w:r w:rsidR="00027101" w:rsidRPr="00027101">
              <w:rPr>
                <w:rFonts w:hint="eastAsia"/>
                <w:kern w:val="0"/>
                <w:szCs w:val="21"/>
              </w:rPr>
              <w:t>□</w:t>
            </w:r>
            <w:r w:rsidRPr="009212EF">
              <w:rPr>
                <w:rFonts w:hint="eastAsia"/>
                <w:kern w:val="0"/>
                <w:szCs w:val="21"/>
              </w:rPr>
              <w:t>其他</w:t>
            </w:r>
          </w:p>
        </w:tc>
      </w:tr>
      <w:tr w:rsidR="00444A39" w:rsidRPr="009212EF" w14:paraId="2D65CC35" w14:textId="77777777" w:rsidTr="00F076BC">
        <w:trPr>
          <w:trHeight w:val="397"/>
        </w:trPr>
        <w:tc>
          <w:tcPr>
            <w:tcW w:w="995" w:type="pct"/>
            <w:noWrap/>
            <w:vAlign w:val="center"/>
          </w:tcPr>
          <w:p w14:paraId="3756BA04" w14:textId="2D6D61FE" w:rsidR="00444A39" w:rsidRPr="009212EF" w:rsidRDefault="00444A39" w:rsidP="00A3244B">
            <w:pPr>
              <w:widowControl/>
              <w:adjustRightInd w:val="0"/>
              <w:snapToGrid w:val="0"/>
              <w:jc w:val="center"/>
              <w:rPr>
                <w:b/>
                <w:kern w:val="0"/>
                <w:szCs w:val="21"/>
              </w:rPr>
            </w:pPr>
            <w:r w:rsidRPr="009212EF">
              <w:rPr>
                <w:rFonts w:hint="eastAsia"/>
                <w:b/>
                <w:kern w:val="0"/>
                <w:szCs w:val="21"/>
              </w:rPr>
              <w:t>时间</w:t>
            </w:r>
          </w:p>
        </w:tc>
        <w:tc>
          <w:tcPr>
            <w:tcW w:w="4005" w:type="pct"/>
            <w:vAlign w:val="center"/>
          </w:tcPr>
          <w:p w14:paraId="152AFE2D" w14:textId="3F83F915" w:rsidR="00444A39" w:rsidRPr="009212EF" w:rsidRDefault="00444A39" w:rsidP="00444A39">
            <w:pPr>
              <w:widowControl/>
              <w:adjustRightInd w:val="0"/>
              <w:snapToGrid w:val="0"/>
              <w:rPr>
                <w:kern w:val="0"/>
                <w:szCs w:val="21"/>
              </w:rPr>
            </w:pPr>
            <w:r w:rsidRPr="009212EF">
              <w:rPr>
                <w:rFonts w:hint="eastAsia"/>
                <w:kern w:val="0"/>
                <w:szCs w:val="21"/>
              </w:rPr>
              <w:t>2</w:t>
            </w:r>
            <w:r w:rsidRPr="009212EF">
              <w:rPr>
                <w:kern w:val="0"/>
                <w:szCs w:val="21"/>
              </w:rPr>
              <w:t>024</w:t>
            </w:r>
            <w:r w:rsidRPr="009212EF">
              <w:rPr>
                <w:rFonts w:hint="eastAsia"/>
                <w:kern w:val="0"/>
                <w:szCs w:val="21"/>
              </w:rPr>
              <w:t>年</w:t>
            </w:r>
            <w:r w:rsidR="000D3A2A" w:rsidRPr="009212EF">
              <w:rPr>
                <w:kern w:val="0"/>
                <w:szCs w:val="21"/>
              </w:rPr>
              <w:t>5</w:t>
            </w:r>
            <w:r w:rsidRPr="009212EF">
              <w:rPr>
                <w:rFonts w:hint="eastAsia"/>
                <w:kern w:val="0"/>
                <w:szCs w:val="21"/>
              </w:rPr>
              <w:t>月</w:t>
            </w:r>
          </w:p>
        </w:tc>
      </w:tr>
      <w:tr w:rsidR="00444A39" w:rsidRPr="009212EF" w14:paraId="3EC9EB0E" w14:textId="77777777" w:rsidTr="00F076BC">
        <w:trPr>
          <w:trHeight w:val="397"/>
        </w:trPr>
        <w:tc>
          <w:tcPr>
            <w:tcW w:w="995" w:type="pct"/>
            <w:noWrap/>
            <w:vAlign w:val="center"/>
          </w:tcPr>
          <w:p w14:paraId="75B1726C" w14:textId="26F83119" w:rsidR="00444A39" w:rsidRPr="009212EF" w:rsidRDefault="00444A39" w:rsidP="00A3244B">
            <w:pPr>
              <w:widowControl/>
              <w:adjustRightInd w:val="0"/>
              <w:snapToGrid w:val="0"/>
              <w:jc w:val="center"/>
              <w:rPr>
                <w:b/>
                <w:kern w:val="0"/>
                <w:szCs w:val="21"/>
              </w:rPr>
            </w:pPr>
            <w:r w:rsidRPr="009212EF">
              <w:rPr>
                <w:rFonts w:hint="eastAsia"/>
                <w:b/>
                <w:kern w:val="0"/>
                <w:szCs w:val="21"/>
              </w:rPr>
              <w:t>地点</w:t>
            </w:r>
          </w:p>
        </w:tc>
        <w:tc>
          <w:tcPr>
            <w:tcW w:w="4005" w:type="pct"/>
            <w:vAlign w:val="center"/>
          </w:tcPr>
          <w:p w14:paraId="337F897A" w14:textId="761490ED" w:rsidR="00444A39" w:rsidRPr="009212EF" w:rsidRDefault="004B7DF0" w:rsidP="00444A39">
            <w:pPr>
              <w:widowControl/>
              <w:adjustRightInd w:val="0"/>
              <w:snapToGrid w:val="0"/>
              <w:rPr>
                <w:kern w:val="0"/>
                <w:szCs w:val="21"/>
              </w:rPr>
            </w:pPr>
            <w:r w:rsidRPr="009212EF">
              <w:rPr>
                <w:rFonts w:hint="eastAsia"/>
                <w:kern w:val="0"/>
                <w:szCs w:val="21"/>
              </w:rPr>
              <w:t>公司会议室</w:t>
            </w:r>
          </w:p>
        </w:tc>
      </w:tr>
      <w:tr w:rsidR="00A3244B" w:rsidRPr="00D40718" w14:paraId="128A2F16" w14:textId="77777777" w:rsidTr="00F076BC">
        <w:trPr>
          <w:trHeight w:val="397"/>
        </w:trPr>
        <w:tc>
          <w:tcPr>
            <w:tcW w:w="995" w:type="pct"/>
            <w:noWrap/>
            <w:vAlign w:val="center"/>
            <w:hideMark/>
          </w:tcPr>
          <w:p w14:paraId="14E92CF8" w14:textId="58CD8961" w:rsidR="00A3244B" w:rsidRPr="009212EF" w:rsidRDefault="00670CB5" w:rsidP="00490C23">
            <w:pPr>
              <w:widowControl/>
              <w:adjustRightInd w:val="0"/>
              <w:snapToGrid w:val="0"/>
              <w:jc w:val="center"/>
              <w:rPr>
                <w:kern w:val="0"/>
                <w:szCs w:val="21"/>
              </w:rPr>
            </w:pPr>
            <w:r w:rsidRPr="009212EF">
              <w:rPr>
                <w:rFonts w:hint="eastAsia"/>
                <w:b/>
                <w:kern w:val="0"/>
                <w:szCs w:val="21"/>
              </w:rPr>
              <w:t>参与</w:t>
            </w:r>
            <w:r w:rsidRPr="009212EF">
              <w:rPr>
                <w:b/>
                <w:kern w:val="0"/>
                <w:szCs w:val="21"/>
              </w:rPr>
              <w:t>单位名称</w:t>
            </w:r>
          </w:p>
        </w:tc>
        <w:tc>
          <w:tcPr>
            <w:tcW w:w="4005" w:type="pct"/>
            <w:vAlign w:val="center"/>
          </w:tcPr>
          <w:p w14:paraId="39CEB52E" w14:textId="42E2252B" w:rsidR="00750CF5" w:rsidRDefault="00B31131" w:rsidP="00750CF5">
            <w:pPr>
              <w:widowControl/>
              <w:adjustRightInd w:val="0"/>
              <w:snapToGrid w:val="0"/>
              <w:rPr>
                <w:rFonts w:ascii="宋体" w:hAnsi="宋体"/>
                <w:bCs/>
              </w:rPr>
            </w:pPr>
            <w:r w:rsidRPr="00D40718">
              <w:rPr>
                <w:rFonts w:ascii="宋体" w:hAnsi="宋体" w:hint="eastAsia"/>
                <w:b/>
              </w:rPr>
              <w:t>现场调研</w:t>
            </w:r>
            <w:r>
              <w:rPr>
                <w:rFonts w:ascii="宋体" w:hAnsi="宋体" w:hint="eastAsia"/>
                <w:bCs/>
              </w:rPr>
              <w:t>（</w:t>
            </w:r>
            <w:r w:rsidR="00750CF5" w:rsidRPr="00456C72">
              <w:rPr>
                <w:kern w:val="0"/>
                <w:szCs w:val="21"/>
              </w:rPr>
              <w:t>2024</w:t>
            </w:r>
            <w:r w:rsidR="00750CF5" w:rsidRPr="00750CF5">
              <w:rPr>
                <w:rFonts w:ascii="宋体" w:hAnsi="宋体" w:hint="eastAsia"/>
                <w:bCs/>
              </w:rPr>
              <w:t>年</w:t>
            </w:r>
            <w:r w:rsidR="00750CF5" w:rsidRPr="00456C72">
              <w:rPr>
                <w:kern w:val="0"/>
                <w:szCs w:val="21"/>
              </w:rPr>
              <w:t>5</w:t>
            </w:r>
            <w:r w:rsidR="00750CF5" w:rsidRPr="00750CF5">
              <w:rPr>
                <w:rFonts w:ascii="宋体" w:hAnsi="宋体" w:hint="eastAsia"/>
                <w:bCs/>
              </w:rPr>
              <w:t>月</w:t>
            </w:r>
            <w:r w:rsidR="00750CF5" w:rsidRPr="00456C72">
              <w:rPr>
                <w:kern w:val="0"/>
                <w:szCs w:val="21"/>
              </w:rPr>
              <w:t>9</w:t>
            </w:r>
            <w:r w:rsidR="00750CF5" w:rsidRPr="00750CF5">
              <w:rPr>
                <w:rFonts w:ascii="宋体" w:hAnsi="宋体" w:hint="eastAsia"/>
                <w:bCs/>
              </w:rPr>
              <w:t>日、</w:t>
            </w:r>
            <w:r w:rsidR="00750CF5" w:rsidRPr="00456C72">
              <w:rPr>
                <w:kern w:val="0"/>
                <w:szCs w:val="21"/>
              </w:rPr>
              <w:t>14</w:t>
            </w:r>
            <w:r w:rsidR="00750CF5" w:rsidRPr="00750CF5">
              <w:rPr>
                <w:rFonts w:ascii="宋体" w:hAnsi="宋体" w:hint="eastAsia"/>
                <w:bCs/>
              </w:rPr>
              <w:t>日、</w:t>
            </w:r>
            <w:r w:rsidR="00750CF5" w:rsidRPr="00456C72">
              <w:rPr>
                <w:kern w:val="0"/>
                <w:szCs w:val="21"/>
              </w:rPr>
              <w:t>17</w:t>
            </w:r>
            <w:r w:rsidR="00750CF5" w:rsidRPr="00750CF5">
              <w:rPr>
                <w:rFonts w:ascii="宋体" w:hAnsi="宋体" w:hint="eastAsia"/>
                <w:bCs/>
              </w:rPr>
              <w:t>日、</w:t>
            </w:r>
            <w:r w:rsidR="00750CF5" w:rsidRPr="00456C72">
              <w:rPr>
                <w:kern w:val="0"/>
                <w:szCs w:val="21"/>
              </w:rPr>
              <w:t>20</w:t>
            </w:r>
            <w:r w:rsidR="00750CF5" w:rsidRPr="00750CF5">
              <w:rPr>
                <w:rFonts w:ascii="宋体" w:hAnsi="宋体" w:hint="eastAsia"/>
                <w:bCs/>
              </w:rPr>
              <w:t>日、</w:t>
            </w:r>
            <w:r w:rsidR="00750CF5" w:rsidRPr="00456C72">
              <w:rPr>
                <w:kern w:val="0"/>
                <w:szCs w:val="21"/>
              </w:rPr>
              <w:t>27</w:t>
            </w:r>
            <w:r w:rsidR="00750CF5" w:rsidRPr="00750CF5">
              <w:rPr>
                <w:rFonts w:ascii="宋体" w:hAnsi="宋体" w:hint="eastAsia"/>
                <w:bCs/>
              </w:rPr>
              <w:t>日、</w:t>
            </w:r>
            <w:r w:rsidR="00750CF5" w:rsidRPr="00456C72">
              <w:rPr>
                <w:kern w:val="0"/>
                <w:szCs w:val="21"/>
              </w:rPr>
              <w:t>28</w:t>
            </w:r>
            <w:r w:rsidR="00750CF5" w:rsidRPr="00750CF5">
              <w:rPr>
                <w:rFonts w:ascii="宋体" w:hAnsi="宋体" w:hint="eastAsia"/>
                <w:bCs/>
              </w:rPr>
              <w:t>日、</w:t>
            </w:r>
            <w:r w:rsidR="00750CF5" w:rsidRPr="00456C72">
              <w:rPr>
                <w:kern w:val="0"/>
                <w:szCs w:val="21"/>
              </w:rPr>
              <w:t>29</w:t>
            </w:r>
            <w:r w:rsidR="00750CF5" w:rsidRPr="00750CF5">
              <w:rPr>
                <w:rFonts w:ascii="宋体" w:hAnsi="宋体" w:hint="eastAsia"/>
                <w:bCs/>
              </w:rPr>
              <w:t>日</w:t>
            </w:r>
            <w:r>
              <w:rPr>
                <w:rFonts w:ascii="宋体" w:hAnsi="宋体" w:hint="eastAsia"/>
                <w:bCs/>
              </w:rPr>
              <w:t>）</w:t>
            </w:r>
            <w:r w:rsidR="00750CF5" w:rsidRPr="00750CF5">
              <w:rPr>
                <w:rFonts w:ascii="宋体" w:hAnsi="宋体" w:hint="eastAsia"/>
                <w:bCs/>
              </w:rPr>
              <w:t xml:space="preserve"> 国泰君安证券、开源证券、民生证券、中信证券、东吴证券、东北证券、国海证券、东方证券、德</w:t>
            </w:r>
            <w:proofErr w:type="gramStart"/>
            <w:r w:rsidR="00750CF5" w:rsidRPr="00750CF5">
              <w:rPr>
                <w:rFonts w:ascii="宋体" w:hAnsi="宋体" w:hint="eastAsia"/>
                <w:bCs/>
              </w:rPr>
              <w:t>邦</w:t>
            </w:r>
            <w:proofErr w:type="gramEnd"/>
            <w:r w:rsidR="00750CF5" w:rsidRPr="00750CF5">
              <w:rPr>
                <w:rFonts w:ascii="宋体" w:hAnsi="宋体" w:hint="eastAsia"/>
                <w:bCs/>
              </w:rPr>
              <w:t>证券</w:t>
            </w:r>
            <w:r w:rsidR="00750CF5">
              <w:rPr>
                <w:rFonts w:ascii="宋体" w:hAnsi="宋体" w:hint="eastAsia"/>
                <w:bCs/>
              </w:rPr>
              <w:t>、</w:t>
            </w:r>
            <w:proofErr w:type="gramStart"/>
            <w:r w:rsidR="00750CF5" w:rsidRPr="00750CF5">
              <w:rPr>
                <w:rFonts w:ascii="宋体" w:hAnsi="宋体" w:hint="eastAsia"/>
                <w:bCs/>
              </w:rPr>
              <w:t>工银瑞</w:t>
            </w:r>
            <w:proofErr w:type="gramEnd"/>
            <w:r w:rsidR="00750CF5" w:rsidRPr="00750CF5">
              <w:rPr>
                <w:rFonts w:ascii="宋体" w:hAnsi="宋体" w:hint="eastAsia"/>
                <w:bCs/>
              </w:rPr>
              <w:t>信基金、中金基金、国泰基金、华安基金、农银汇理基金、南华基金、长安基金、淳厚基金、长信基金、交银施罗德基金、谭石投资、</w:t>
            </w:r>
            <w:proofErr w:type="gramStart"/>
            <w:r w:rsidR="00750CF5" w:rsidRPr="00750CF5">
              <w:rPr>
                <w:rFonts w:ascii="宋体" w:hAnsi="宋体" w:hint="eastAsia"/>
                <w:bCs/>
              </w:rPr>
              <w:t>聚鸣投</w:t>
            </w:r>
            <w:proofErr w:type="gramEnd"/>
            <w:r w:rsidR="00750CF5" w:rsidRPr="00750CF5">
              <w:rPr>
                <w:rFonts w:ascii="宋体" w:hAnsi="宋体" w:hint="eastAsia"/>
                <w:bCs/>
              </w:rPr>
              <w:t>资、拾贝投资、粤港澳产融投资、景和资管、</w:t>
            </w:r>
            <w:proofErr w:type="gramStart"/>
            <w:r w:rsidR="00750CF5" w:rsidRPr="00750CF5">
              <w:rPr>
                <w:rFonts w:ascii="宋体" w:hAnsi="宋体" w:hint="eastAsia"/>
                <w:bCs/>
              </w:rPr>
              <w:t>誉辉资</w:t>
            </w:r>
            <w:proofErr w:type="gramEnd"/>
            <w:r w:rsidR="00750CF5" w:rsidRPr="00750CF5">
              <w:rPr>
                <w:rFonts w:ascii="宋体" w:hAnsi="宋体" w:hint="eastAsia"/>
                <w:bCs/>
              </w:rPr>
              <w:t>管、长江资管、勤辰私募、君和资本、远桥资产</w:t>
            </w:r>
          </w:p>
          <w:p w14:paraId="5F9664A0" w14:textId="2CF716FF" w:rsidR="00B31131" w:rsidRDefault="00B31131" w:rsidP="00B31774">
            <w:pPr>
              <w:widowControl/>
              <w:adjustRightInd w:val="0"/>
              <w:snapToGrid w:val="0"/>
              <w:rPr>
                <w:rFonts w:ascii="宋体" w:hAnsi="宋体"/>
                <w:bCs/>
              </w:rPr>
            </w:pPr>
            <w:r w:rsidRPr="00D40718">
              <w:rPr>
                <w:rFonts w:ascii="宋体" w:hAnsi="宋体" w:hint="eastAsia"/>
                <w:b/>
              </w:rPr>
              <w:t>网络会议</w:t>
            </w:r>
            <w:r>
              <w:rPr>
                <w:rFonts w:ascii="宋体" w:hAnsi="宋体" w:hint="eastAsia"/>
                <w:bCs/>
              </w:rPr>
              <w:t>（</w:t>
            </w:r>
            <w:r w:rsidR="00750CF5" w:rsidRPr="00456C72">
              <w:rPr>
                <w:kern w:val="0"/>
                <w:szCs w:val="21"/>
              </w:rPr>
              <w:t>2024</w:t>
            </w:r>
            <w:r w:rsidR="00750CF5" w:rsidRPr="00750CF5">
              <w:rPr>
                <w:rFonts w:ascii="宋体" w:hAnsi="宋体" w:hint="eastAsia"/>
                <w:bCs/>
              </w:rPr>
              <w:t>年</w:t>
            </w:r>
            <w:r w:rsidR="00750CF5" w:rsidRPr="00456C72">
              <w:rPr>
                <w:kern w:val="0"/>
                <w:szCs w:val="21"/>
              </w:rPr>
              <w:t>5</w:t>
            </w:r>
            <w:r w:rsidR="00750CF5" w:rsidRPr="00750CF5">
              <w:rPr>
                <w:rFonts w:ascii="宋体" w:hAnsi="宋体" w:hint="eastAsia"/>
                <w:bCs/>
              </w:rPr>
              <w:t>月</w:t>
            </w:r>
            <w:r w:rsidR="00750CF5" w:rsidRPr="00456C72">
              <w:rPr>
                <w:kern w:val="0"/>
                <w:szCs w:val="21"/>
              </w:rPr>
              <w:t>15</w:t>
            </w:r>
            <w:r w:rsidR="00750CF5" w:rsidRPr="00750CF5">
              <w:rPr>
                <w:rFonts w:ascii="宋体" w:hAnsi="宋体" w:hint="eastAsia"/>
                <w:bCs/>
              </w:rPr>
              <w:t>日、</w:t>
            </w:r>
            <w:r w:rsidR="00750CF5" w:rsidRPr="00456C72">
              <w:rPr>
                <w:kern w:val="0"/>
                <w:szCs w:val="21"/>
              </w:rPr>
              <w:t>16</w:t>
            </w:r>
            <w:r w:rsidR="00750CF5" w:rsidRPr="00750CF5">
              <w:rPr>
                <w:rFonts w:ascii="宋体" w:hAnsi="宋体" w:hint="eastAsia"/>
                <w:bCs/>
              </w:rPr>
              <w:t>日、</w:t>
            </w:r>
            <w:r w:rsidR="00750CF5" w:rsidRPr="00456C72">
              <w:rPr>
                <w:kern w:val="0"/>
                <w:szCs w:val="21"/>
              </w:rPr>
              <w:t>27</w:t>
            </w:r>
            <w:r w:rsidR="00750CF5" w:rsidRPr="00750CF5">
              <w:rPr>
                <w:rFonts w:ascii="宋体" w:hAnsi="宋体" w:hint="eastAsia"/>
                <w:bCs/>
              </w:rPr>
              <w:t>日、</w:t>
            </w:r>
            <w:r w:rsidR="00750CF5" w:rsidRPr="00456C72">
              <w:rPr>
                <w:kern w:val="0"/>
                <w:szCs w:val="21"/>
              </w:rPr>
              <w:t>28</w:t>
            </w:r>
            <w:r w:rsidR="00750CF5" w:rsidRPr="00750CF5">
              <w:rPr>
                <w:rFonts w:ascii="宋体" w:hAnsi="宋体" w:hint="eastAsia"/>
                <w:bCs/>
              </w:rPr>
              <w:t>日</w:t>
            </w:r>
            <w:r>
              <w:rPr>
                <w:rFonts w:ascii="宋体" w:hAnsi="宋体" w:hint="eastAsia"/>
                <w:bCs/>
              </w:rPr>
              <w:t>）</w:t>
            </w:r>
          </w:p>
          <w:p w14:paraId="4B40DDCF" w14:textId="567B9F2D" w:rsidR="00EE786D" w:rsidRPr="00456C72" w:rsidRDefault="00750CF5" w:rsidP="00B31774">
            <w:pPr>
              <w:widowControl/>
              <w:adjustRightInd w:val="0"/>
              <w:snapToGrid w:val="0"/>
              <w:rPr>
                <w:rFonts w:ascii="宋体" w:hAnsi="宋体"/>
                <w:bCs/>
              </w:rPr>
            </w:pPr>
            <w:r w:rsidRPr="00750CF5">
              <w:rPr>
                <w:rFonts w:ascii="宋体" w:hAnsi="宋体" w:hint="eastAsia"/>
                <w:bCs/>
              </w:rPr>
              <w:t>国信证券、开源证券、淳厚基金、景顺长城基金、中欧瑞博投资</w:t>
            </w:r>
          </w:p>
        </w:tc>
      </w:tr>
      <w:tr w:rsidR="00444A39" w:rsidRPr="009212EF" w14:paraId="5308AF35" w14:textId="77777777" w:rsidTr="00F076BC">
        <w:trPr>
          <w:trHeight w:val="397"/>
        </w:trPr>
        <w:tc>
          <w:tcPr>
            <w:tcW w:w="995" w:type="pct"/>
            <w:noWrap/>
            <w:vAlign w:val="center"/>
            <w:hideMark/>
          </w:tcPr>
          <w:p w14:paraId="17316C61" w14:textId="77777777" w:rsidR="00444A39" w:rsidRPr="009212EF" w:rsidRDefault="00444A39" w:rsidP="00444A39">
            <w:pPr>
              <w:widowControl/>
              <w:adjustRightInd w:val="0"/>
              <w:snapToGrid w:val="0"/>
              <w:jc w:val="center"/>
              <w:rPr>
                <w:b/>
                <w:kern w:val="0"/>
                <w:szCs w:val="21"/>
              </w:rPr>
            </w:pPr>
            <w:r w:rsidRPr="009212EF">
              <w:rPr>
                <w:rFonts w:hint="eastAsia"/>
                <w:b/>
                <w:kern w:val="0"/>
                <w:szCs w:val="21"/>
              </w:rPr>
              <w:t>上市</w:t>
            </w:r>
            <w:r w:rsidRPr="009212EF">
              <w:rPr>
                <w:b/>
                <w:kern w:val="0"/>
                <w:szCs w:val="21"/>
              </w:rPr>
              <w:t>公司</w:t>
            </w:r>
          </w:p>
          <w:p w14:paraId="5A3D0D26" w14:textId="5E178D9E" w:rsidR="00444A39" w:rsidRPr="009212EF" w:rsidRDefault="00444A39" w:rsidP="00444A39">
            <w:pPr>
              <w:widowControl/>
              <w:adjustRightInd w:val="0"/>
              <w:snapToGrid w:val="0"/>
              <w:jc w:val="center"/>
              <w:rPr>
                <w:kern w:val="0"/>
                <w:szCs w:val="21"/>
              </w:rPr>
            </w:pPr>
            <w:r w:rsidRPr="009212EF">
              <w:rPr>
                <w:b/>
                <w:kern w:val="0"/>
                <w:szCs w:val="21"/>
              </w:rPr>
              <w:t>接待</w:t>
            </w:r>
            <w:r w:rsidRPr="009212EF">
              <w:rPr>
                <w:rFonts w:hint="eastAsia"/>
                <w:b/>
                <w:kern w:val="0"/>
                <w:szCs w:val="21"/>
              </w:rPr>
              <w:t>人员</w:t>
            </w:r>
          </w:p>
        </w:tc>
        <w:tc>
          <w:tcPr>
            <w:tcW w:w="4005" w:type="pct"/>
            <w:vAlign w:val="center"/>
          </w:tcPr>
          <w:p w14:paraId="3E8A19B3" w14:textId="7BD62D2F" w:rsidR="00444A39" w:rsidRPr="009212EF" w:rsidRDefault="00444A39" w:rsidP="00444A39">
            <w:pPr>
              <w:widowControl/>
              <w:adjustRightInd w:val="0"/>
              <w:snapToGrid w:val="0"/>
              <w:rPr>
                <w:kern w:val="0"/>
                <w:szCs w:val="21"/>
              </w:rPr>
            </w:pPr>
            <w:r w:rsidRPr="009212EF">
              <w:rPr>
                <w:rFonts w:hint="eastAsia"/>
                <w:kern w:val="0"/>
                <w:szCs w:val="21"/>
              </w:rPr>
              <w:t>董事长、总经理张玲珑；董事会秘书安一唱</w:t>
            </w:r>
          </w:p>
        </w:tc>
      </w:tr>
      <w:tr w:rsidR="0081488A" w:rsidRPr="009212EF" w14:paraId="624363D3" w14:textId="77777777" w:rsidTr="00F076BC">
        <w:trPr>
          <w:trHeight w:val="1231"/>
        </w:trPr>
        <w:tc>
          <w:tcPr>
            <w:tcW w:w="995" w:type="pct"/>
            <w:noWrap/>
            <w:vAlign w:val="center"/>
            <w:hideMark/>
          </w:tcPr>
          <w:p w14:paraId="5EBB86E9" w14:textId="77777777" w:rsidR="0081488A" w:rsidRPr="009212EF" w:rsidRDefault="0081488A" w:rsidP="00444A39">
            <w:pPr>
              <w:widowControl/>
              <w:adjustRightInd w:val="0"/>
              <w:snapToGrid w:val="0"/>
              <w:jc w:val="center"/>
              <w:rPr>
                <w:b/>
                <w:kern w:val="0"/>
                <w:szCs w:val="21"/>
              </w:rPr>
            </w:pPr>
            <w:r w:rsidRPr="009212EF">
              <w:rPr>
                <w:rFonts w:hint="eastAsia"/>
                <w:b/>
                <w:kern w:val="0"/>
                <w:szCs w:val="21"/>
              </w:rPr>
              <w:t>投资</w:t>
            </w:r>
            <w:r w:rsidRPr="009212EF">
              <w:rPr>
                <w:b/>
                <w:kern w:val="0"/>
                <w:szCs w:val="21"/>
              </w:rPr>
              <w:t>者关系活动</w:t>
            </w:r>
          </w:p>
          <w:p w14:paraId="0F367387" w14:textId="5B336FA3" w:rsidR="0081488A" w:rsidRPr="009212EF" w:rsidRDefault="0081488A" w:rsidP="00444A39">
            <w:pPr>
              <w:adjustRightInd w:val="0"/>
              <w:snapToGrid w:val="0"/>
              <w:jc w:val="center"/>
              <w:rPr>
                <w:kern w:val="0"/>
                <w:szCs w:val="21"/>
              </w:rPr>
            </w:pPr>
            <w:r w:rsidRPr="009212EF">
              <w:rPr>
                <w:b/>
                <w:kern w:val="0"/>
                <w:szCs w:val="21"/>
              </w:rPr>
              <w:t>主要</w:t>
            </w:r>
            <w:r w:rsidRPr="009212EF">
              <w:rPr>
                <w:rFonts w:hint="eastAsia"/>
                <w:b/>
                <w:kern w:val="0"/>
                <w:szCs w:val="21"/>
              </w:rPr>
              <w:t>内容介绍</w:t>
            </w:r>
          </w:p>
        </w:tc>
        <w:tc>
          <w:tcPr>
            <w:tcW w:w="4005" w:type="pct"/>
            <w:vAlign w:val="center"/>
          </w:tcPr>
          <w:p w14:paraId="6E8E8F4D" w14:textId="6337A672" w:rsidR="00CE3F5A" w:rsidRDefault="00CE3F5A" w:rsidP="00456C72">
            <w:pPr>
              <w:widowControl/>
              <w:adjustRightInd w:val="0"/>
              <w:snapToGrid w:val="0"/>
              <w:ind w:firstLineChars="100" w:firstLine="210"/>
              <w:rPr>
                <w:kern w:val="0"/>
                <w:szCs w:val="21"/>
              </w:rPr>
            </w:pPr>
            <w:r w:rsidRPr="00456C72">
              <w:rPr>
                <w:rFonts w:hint="eastAsia"/>
                <w:kern w:val="0"/>
                <w:szCs w:val="21"/>
              </w:rPr>
              <w:t>公司于</w:t>
            </w:r>
            <w:r w:rsidRPr="00456C72">
              <w:rPr>
                <w:kern w:val="0"/>
                <w:szCs w:val="21"/>
              </w:rPr>
              <w:t>2024</w:t>
            </w:r>
            <w:r w:rsidRPr="00456C72">
              <w:rPr>
                <w:rFonts w:hint="eastAsia"/>
                <w:kern w:val="0"/>
                <w:szCs w:val="21"/>
              </w:rPr>
              <w:t>年</w:t>
            </w:r>
            <w:r w:rsidRPr="00456C72">
              <w:rPr>
                <w:kern w:val="0"/>
                <w:szCs w:val="21"/>
              </w:rPr>
              <w:t>5</w:t>
            </w:r>
            <w:r w:rsidRPr="00456C72">
              <w:rPr>
                <w:rFonts w:hint="eastAsia"/>
                <w:kern w:val="0"/>
                <w:szCs w:val="21"/>
              </w:rPr>
              <w:t>月，就公司经营情况、行业情况等市场关注热点与调研机构进行沟通交流，具体沟通内容如下（相似提问及密切相关提问归类合并）：</w:t>
            </w:r>
          </w:p>
          <w:p w14:paraId="6B7D8DB1" w14:textId="77777777" w:rsidR="00746813" w:rsidRPr="00456C72" w:rsidRDefault="00746813" w:rsidP="00456C72">
            <w:pPr>
              <w:widowControl/>
              <w:adjustRightInd w:val="0"/>
              <w:snapToGrid w:val="0"/>
              <w:ind w:firstLineChars="100" w:firstLine="210"/>
              <w:rPr>
                <w:kern w:val="0"/>
                <w:szCs w:val="21"/>
              </w:rPr>
            </w:pPr>
          </w:p>
          <w:p w14:paraId="2650E12B" w14:textId="027F73EA" w:rsidR="00CA230E" w:rsidRPr="009212EF" w:rsidRDefault="00CA230E" w:rsidP="00CA230E">
            <w:pPr>
              <w:widowControl/>
              <w:adjustRightInd w:val="0"/>
              <w:snapToGrid w:val="0"/>
              <w:rPr>
                <w:b/>
                <w:kern w:val="0"/>
                <w:szCs w:val="21"/>
              </w:rPr>
            </w:pPr>
            <w:r w:rsidRPr="009212EF">
              <w:rPr>
                <w:rFonts w:hint="eastAsia"/>
                <w:b/>
                <w:kern w:val="0"/>
                <w:szCs w:val="21"/>
              </w:rPr>
              <w:t>1</w:t>
            </w:r>
            <w:r w:rsidRPr="009212EF">
              <w:rPr>
                <w:rFonts w:hint="eastAsia"/>
                <w:b/>
                <w:kern w:val="0"/>
                <w:szCs w:val="21"/>
              </w:rPr>
              <w:t>．问：</w:t>
            </w:r>
            <w:r w:rsidRPr="009212EF">
              <w:rPr>
                <w:rFonts w:hint="eastAsia"/>
                <w:b/>
                <w:kern w:val="0"/>
                <w:szCs w:val="21"/>
              </w:rPr>
              <w:t>2023</w:t>
            </w:r>
            <w:r w:rsidRPr="009212EF">
              <w:rPr>
                <w:rFonts w:hint="eastAsia"/>
                <w:b/>
                <w:kern w:val="0"/>
                <w:szCs w:val="21"/>
              </w:rPr>
              <w:t>年</w:t>
            </w:r>
            <w:r w:rsidR="00FF28CC" w:rsidRPr="009212EF">
              <w:rPr>
                <w:rFonts w:hint="eastAsia"/>
                <w:b/>
                <w:kern w:val="0"/>
                <w:szCs w:val="21"/>
              </w:rPr>
              <w:t>新增</w:t>
            </w:r>
            <w:r w:rsidRPr="009212EF">
              <w:rPr>
                <w:rFonts w:hint="eastAsia"/>
                <w:b/>
                <w:kern w:val="0"/>
                <w:szCs w:val="21"/>
              </w:rPr>
              <w:t>订单</w:t>
            </w:r>
            <w:r w:rsidR="000D6E06" w:rsidRPr="009212EF">
              <w:rPr>
                <w:rFonts w:hint="eastAsia"/>
                <w:b/>
                <w:kern w:val="0"/>
                <w:szCs w:val="21"/>
              </w:rPr>
              <w:t>超过</w:t>
            </w:r>
            <w:r w:rsidR="000D6E06" w:rsidRPr="009212EF">
              <w:rPr>
                <w:rFonts w:hint="eastAsia"/>
                <w:b/>
                <w:kern w:val="0"/>
                <w:szCs w:val="21"/>
              </w:rPr>
              <w:t>2</w:t>
            </w:r>
            <w:r w:rsidR="000D6E06" w:rsidRPr="009212EF">
              <w:rPr>
                <w:b/>
                <w:kern w:val="0"/>
                <w:szCs w:val="21"/>
              </w:rPr>
              <w:t>6</w:t>
            </w:r>
            <w:r w:rsidR="000D6E06" w:rsidRPr="009212EF">
              <w:rPr>
                <w:rFonts w:hint="eastAsia"/>
                <w:b/>
                <w:kern w:val="0"/>
                <w:szCs w:val="21"/>
              </w:rPr>
              <w:t>亿元，较</w:t>
            </w:r>
            <w:r w:rsidR="009F3A49" w:rsidRPr="009212EF">
              <w:rPr>
                <w:rFonts w:hint="eastAsia"/>
                <w:b/>
                <w:kern w:val="0"/>
                <w:szCs w:val="21"/>
              </w:rPr>
              <w:t>往年</w:t>
            </w:r>
            <w:r w:rsidRPr="009212EF">
              <w:rPr>
                <w:rFonts w:hint="eastAsia"/>
                <w:b/>
                <w:kern w:val="0"/>
                <w:szCs w:val="21"/>
              </w:rPr>
              <w:t>增速较高</w:t>
            </w:r>
            <w:r w:rsidR="0047106C" w:rsidRPr="009212EF">
              <w:rPr>
                <w:rFonts w:hint="eastAsia"/>
                <w:b/>
                <w:kern w:val="0"/>
                <w:szCs w:val="21"/>
              </w:rPr>
              <w:t>的</w:t>
            </w:r>
            <w:r w:rsidRPr="009212EF">
              <w:rPr>
                <w:rFonts w:hint="eastAsia"/>
                <w:b/>
                <w:kern w:val="0"/>
                <w:szCs w:val="21"/>
              </w:rPr>
              <w:t>原因</w:t>
            </w:r>
            <w:r w:rsidR="0047106C" w:rsidRPr="009212EF">
              <w:rPr>
                <w:rFonts w:hint="eastAsia"/>
                <w:b/>
                <w:kern w:val="0"/>
                <w:szCs w:val="21"/>
              </w:rPr>
              <w:t>是什么</w:t>
            </w:r>
            <w:r w:rsidRPr="009212EF">
              <w:rPr>
                <w:rFonts w:hint="eastAsia"/>
                <w:b/>
                <w:kern w:val="0"/>
                <w:szCs w:val="21"/>
              </w:rPr>
              <w:t>？</w:t>
            </w:r>
            <w:r w:rsidR="00F6087E" w:rsidRPr="009212EF">
              <w:rPr>
                <w:rFonts w:hint="eastAsia"/>
                <w:b/>
                <w:kern w:val="0"/>
                <w:szCs w:val="21"/>
              </w:rPr>
              <w:t>未来</w:t>
            </w:r>
            <w:r w:rsidR="00302DA6" w:rsidRPr="009212EF">
              <w:rPr>
                <w:rFonts w:hint="eastAsia"/>
                <w:b/>
                <w:kern w:val="0"/>
                <w:szCs w:val="21"/>
              </w:rPr>
              <w:t>石化、</w:t>
            </w:r>
            <w:r w:rsidRPr="009212EF">
              <w:rPr>
                <w:rFonts w:hint="eastAsia"/>
                <w:b/>
                <w:kern w:val="0"/>
                <w:szCs w:val="21"/>
              </w:rPr>
              <w:t>化工行业市场需求怎么样？</w:t>
            </w:r>
            <w:r w:rsidR="00E60FF4" w:rsidRPr="009212EF">
              <w:rPr>
                <w:rFonts w:hint="eastAsia"/>
                <w:b/>
                <w:kern w:val="0"/>
                <w:szCs w:val="21"/>
              </w:rPr>
              <w:t xml:space="preserve"> </w:t>
            </w:r>
          </w:p>
          <w:p w14:paraId="294859FA" w14:textId="641B11EA" w:rsidR="00A41013" w:rsidRDefault="00CA230E" w:rsidP="00CA230E">
            <w:pPr>
              <w:widowControl/>
              <w:adjustRightInd w:val="0"/>
              <w:snapToGrid w:val="0"/>
              <w:ind w:firstLineChars="100" w:firstLine="210"/>
              <w:rPr>
                <w:kern w:val="0"/>
                <w:szCs w:val="21"/>
              </w:rPr>
            </w:pPr>
            <w:r w:rsidRPr="009212EF">
              <w:rPr>
                <w:rFonts w:hint="eastAsia"/>
                <w:kern w:val="0"/>
                <w:szCs w:val="21"/>
              </w:rPr>
              <w:t>答：从国内来看，近几年来国内不同原料路线聚烯烃装置建设</w:t>
            </w:r>
            <w:r w:rsidR="009C2B47" w:rsidRPr="009212EF">
              <w:rPr>
                <w:rFonts w:hint="eastAsia"/>
                <w:kern w:val="0"/>
                <w:szCs w:val="21"/>
              </w:rPr>
              <w:t>正</w:t>
            </w:r>
            <w:r w:rsidRPr="009212EF">
              <w:rPr>
                <w:rFonts w:hint="eastAsia"/>
                <w:kern w:val="0"/>
                <w:szCs w:val="21"/>
              </w:rPr>
              <w:t>在增加布局，呈现装置大型化、炼化一体化、产业集群化、园区化、基地化等特点，大型石化项目建设出现“国民并举”的局面。据不完全统计，</w:t>
            </w:r>
            <w:r w:rsidRPr="009212EF">
              <w:rPr>
                <w:rFonts w:hint="eastAsia"/>
                <w:kern w:val="0"/>
                <w:szCs w:val="21"/>
              </w:rPr>
              <w:t>2023</w:t>
            </w:r>
            <w:r w:rsidRPr="009212EF">
              <w:rPr>
                <w:rFonts w:hint="eastAsia"/>
                <w:kern w:val="0"/>
                <w:szCs w:val="21"/>
              </w:rPr>
              <w:t>年度中石油、中石化、中海油</w:t>
            </w:r>
            <w:r w:rsidRPr="00DB58C3">
              <w:rPr>
                <w:rFonts w:hint="eastAsia"/>
                <w:kern w:val="0"/>
                <w:szCs w:val="21"/>
              </w:rPr>
              <w:t>等</w:t>
            </w:r>
            <w:r w:rsidR="007E6B21" w:rsidRPr="00DB58C3">
              <w:rPr>
                <w:rFonts w:hint="eastAsia"/>
                <w:kern w:val="0"/>
                <w:szCs w:val="21"/>
              </w:rPr>
              <w:t>国企、</w:t>
            </w:r>
            <w:proofErr w:type="gramStart"/>
            <w:r w:rsidR="007E6B21" w:rsidRPr="00DB58C3">
              <w:rPr>
                <w:rFonts w:hint="eastAsia"/>
                <w:kern w:val="0"/>
                <w:szCs w:val="21"/>
              </w:rPr>
              <w:t>央企集团</w:t>
            </w:r>
            <w:proofErr w:type="gramEnd"/>
            <w:r w:rsidR="00027101">
              <w:rPr>
                <w:rFonts w:hint="eastAsia"/>
                <w:kern w:val="0"/>
                <w:szCs w:val="21"/>
              </w:rPr>
              <w:t>、</w:t>
            </w:r>
            <w:r w:rsidR="007E6B21" w:rsidRPr="00DB58C3">
              <w:rPr>
                <w:rFonts w:hint="eastAsia"/>
                <w:kern w:val="0"/>
                <w:szCs w:val="21"/>
              </w:rPr>
              <w:t>大型民营石化企业</w:t>
            </w:r>
            <w:r w:rsidRPr="00DB58C3">
              <w:rPr>
                <w:rFonts w:hint="eastAsia"/>
                <w:kern w:val="0"/>
                <w:szCs w:val="21"/>
              </w:rPr>
              <w:t>超</w:t>
            </w:r>
            <w:r w:rsidRPr="00DB58C3">
              <w:rPr>
                <w:rFonts w:hint="eastAsia"/>
                <w:kern w:val="0"/>
                <w:szCs w:val="21"/>
              </w:rPr>
              <w:t>20</w:t>
            </w:r>
            <w:r w:rsidRPr="00DB58C3">
              <w:rPr>
                <w:rFonts w:hint="eastAsia"/>
                <w:kern w:val="0"/>
                <w:szCs w:val="21"/>
              </w:rPr>
              <w:t>个新建、改造项目获得批复</w:t>
            </w:r>
            <w:r w:rsidR="00A41013" w:rsidRPr="00DB58C3">
              <w:rPr>
                <w:rFonts w:hint="eastAsia"/>
                <w:kern w:val="0"/>
                <w:szCs w:val="21"/>
              </w:rPr>
              <w:t>，</w:t>
            </w:r>
            <w:r w:rsidRPr="00DB58C3">
              <w:rPr>
                <w:rFonts w:hint="eastAsia"/>
                <w:kern w:val="0"/>
                <w:szCs w:val="21"/>
              </w:rPr>
              <w:t>外资企业也纷纷启动国内扩产。</w:t>
            </w:r>
          </w:p>
          <w:p w14:paraId="73688785" w14:textId="0DE8711F" w:rsidR="00CA230E" w:rsidRPr="009212EF" w:rsidRDefault="00CA230E" w:rsidP="00CA230E">
            <w:pPr>
              <w:widowControl/>
              <w:adjustRightInd w:val="0"/>
              <w:snapToGrid w:val="0"/>
              <w:ind w:firstLineChars="100" w:firstLine="210"/>
              <w:rPr>
                <w:kern w:val="0"/>
                <w:szCs w:val="21"/>
              </w:rPr>
            </w:pPr>
            <w:r w:rsidRPr="009212EF">
              <w:rPr>
                <w:rFonts w:hint="eastAsia"/>
                <w:kern w:val="0"/>
                <w:szCs w:val="21"/>
              </w:rPr>
              <w:t>相对于海外聚烯烃投资项目，国内建设聚烯烃项目的效率较高、投资费用较低。除国内企业，国际石化巨头也以独资、合资的方式布局中国石化行业，如德国巴斯夫独资的巴斯夫（广东）一体化基地项目、沙特基础工业公司合资的福建古雷石化项目、科威特国家石油有限公司合资的广东湛江炼化一体化项目、埃克森美孚独资的惠州乙烯项目、沙特阿美合资的华锦阿</w:t>
            </w:r>
            <w:proofErr w:type="gramStart"/>
            <w:r w:rsidRPr="009212EF">
              <w:rPr>
                <w:rFonts w:hint="eastAsia"/>
                <w:kern w:val="0"/>
                <w:szCs w:val="21"/>
              </w:rPr>
              <w:t>美项目</w:t>
            </w:r>
            <w:proofErr w:type="gramEnd"/>
            <w:r w:rsidRPr="009212EF">
              <w:rPr>
                <w:rFonts w:hint="eastAsia"/>
                <w:kern w:val="0"/>
                <w:szCs w:val="21"/>
              </w:rPr>
              <w:t>等，为中国石化行业注入新的活力和驱动力。</w:t>
            </w:r>
          </w:p>
          <w:p w14:paraId="76521B57" w14:textId="7A7FF6CC" w:rsidR="00D11C09" w:rsidRPr="009212EF" w:rsidRDefault="00001234" w:rsidP="00D11C09">
            <w:pPr>
              <w:widowControl/>
              <w:adjustRightInd w:val="0"/>
              <w:snapToGrid w:val="0"/>
              <w:ind w:firstLineChars="100" w:firstLine="210"/>
              <w:rPr>
                <w:kern w:val="0"/>
                <w:szCs w:val="21"/>
              </w:rPr>
            </w:pPr>
            <w:r w:rsidRPr="00001234">
              <w:rPr>
                <w:rFonts w:hint="eastAsia"/>
                <w:kern w:val="0"/>
                <w:szCs w:val="21"/>
              </w:rPr>
              <w:t>一般来说，化工装置中的主要设备设计使用寿命在</w:t>
            </w:r>
            <w:r w:rsidRPr="00001234">
              <w:rPr>
                <w:rFonts w:hint="eastAsia"/>
                <w:kern w:val="0"/>
                <w:szCs w:val="21"/>
              </w:rPr>
              <w:t>30</w:t>
            </w:r>
            <w:r w:rsidRPr="00001234">
              <w:rPr>
                <w:rFonts w:hint="eastAsia"/>
                <w:kern w:val="0"/>
                <w:szCs w:val="21"/>
              </w:rPr>
              <w:t>年以内，国内上世纪八、九十年代建设投产的一大批装置面临更新和改造的时间窗口。</w:t>
            </w:r>
            <w:r w:rsidR="00D11C09" w:rsidRPr="009212EF">
              <w:rPr>
                <w:rFonts w:hint="eastAsia"/>
                <w:kern w:val="0"/>
                <w:szCs w:val="21"/>
              </w:rPr>
              <w:t>近期，在国务院发布的政策下，工业和信息化部等七部门出台了《推动工业领域设备更新实施方案》，推动工业领域设备更新和技术改造。预计在相关政策的推动下，下游行业将加大转型升级、加大投资力度。</w:t>
            </w:r>
          </w:p>
          <w:p w14:paraId="331ED991" w14:textId="355222BD" w:rsidR="008156D3" w:rsidRPr="009212EF" w:rsidRDefault="00CA230E" w:rsidP="00CA230E">
            <w:pPr>
              <w:widowControl/>
              <w:adjustRightInd w:val="0"/>
              <w:snapToGrid w:val="0"/>
              <w:ind w:firstLineChars="100" w:firstLine="210"/>
              <w:rPr>
                <w:kern w:val="0"/>
                <w:szCs w:val="21"/>
              </w:rPr>
            </w:pPr>
            <w:r w:rsidRPr="009212EF">
              <w:rPr>
                <w:rFonts w:hint="eastAsia"/>
                <w:kern w:val="0"/>
                <w:szCs w:val="21"/>
              </w:rPr>
              <w:t>从国外来看，</w:t>
            </w:r>
            <w:r w:rsidR="008156D3" w:rsidRPr="009212EF">
              <w:rPr>
                <w:rFonts w:hint="eastAsia"/>
                <w:kern w:val="0"/>
                <w:szCs w:val="21"/>
              </w:rPr>
              <w:t>近年来一带一路沿线石化、化工聚烯烃新建装置增长迅速，如印度、印尼等，中东、非洲、东南亚及远东地区已成为今后一个时期全球石化、化工行业发展的聚集点。</w:t>
            </w:r>
          </w:p>
          <w:p w14:paraId="2C507AB2" w14:textId="267E011C" w:rsidR="00C34D6A" w:rsidRPr="009212EF" w:rsidRDefault="00CA230E" w:rsidP="00CA230E">
            <w:pPr>
              <w:widowControl/>
              <w:adjustRightInd w:val="0"/>
              <w:snapToGrid w:val="0"/>
              <w:ind w:firstLineChars="100" w:firstLine="210"/>
              <w:rPr>
                <w:kern w:val="0"/>
                <w:szCs w:val="21"/>
              </w:rPr>
            </w:pPr>
            <w:r w:rsidRPr="009212EF">
              <w:rPr>
                <w:rFonts w:hint="eastAsia"/>
                <w:kern w:val="0"/>
                <w:szCs w:val="21"/>
              </w:rPr>
              <w:lastRenderedPageBreak/>
              <w:t>从</w:t>
            </w:r>
            <w:r w:rsidR="00D11C09" w:rsidRPr="009212EF">
              <w:rPr>
                <w:rFonts w:hint="eastAsia"/>
                <w:kern w:val="0"/>
                <w:szCs w:val="21"/>
              </w:rPr>
              <w:t>以上几个</w:t>
            </w:r>
            <w:r w:rsidRPr="009212EF">
              <w:rPr>
                <w:rFonts w:hint="eastAsia"/>
                <w:kern w:val="0"/>
                <w:szCs w:val="21"/>
              </w:rPr>
              <w:t>方面可以看出，</w:t>
            </w:r>
            <w:r w:rsidR="00C33BD8" w:rsidRPr="009212EF">
              <w:rPr>
                <w:rFonts w:hint="eastAsia"/>
                <w:kern w:val="0"/>
                <w:szCs w:val="21"/>
              </w:rPr>
              <w:t>石化、化工建设项目方兴未艾，</w:t>
            </w:r>
            <w:r w:rsidRPr="009212EF">
              <w:rPr>
                <w:rFonts w:hint="eastAsia"/>
                <w:kern w:val="0"/>
                <w:szCs w:val="21"/>
              </w:rPr>
              <w:t>行业仍具有非常广阔的发展前景。</w:t>
            </w:r>
          </w:p>
          <w:p w14:paraId="4AFD54B4" w14:textId="73A76CCE" w:rsidR="00411BDB" w:rsidRPr="009212EF" w:rsidRDefault="00411BDB" w:rsidP="00CA230E">
            <w:pPr>
              <w:widowControl/>
              <w:adjustRightInd w:val="0"/>
              <w:snapToGrid w:val="0"/>
              <w:ind w:firstLineChars="100" w:firstLine="210"/>
              <w:rPr>
                <w:kern w:val="0"/>
                <w:szCs w:val="21"/>
              </w:rPr>
            </w:pPr>
          </w:p>
          <w:p w14:paraId="79061EDB" w14:textId="0B45F78B" w:rsidR="00411BDB" w:rsidRPr="009212EF" w:rsidRDefault="00411BDB" w:rsidP="00411BDB">
            <w:pPr>
              <w:widowControl/>
              <w:adjustRightInd w:val="0"/>
              <w:snapToGrid w:val="0"/>
              <w:rPr>
                <w:b/>
                <w:kern w:val="0"/>
                <w:szCs w:val="21"/>
              </w:rPr>
            </w:pPr>
            <w:r w:rsidRPr="009212EF">
              <w:rPr>
                <w:b/>
                <w:kern w:val="0"/>
                <w:szCs w:val="21"/>
              </w:rPr>
              <w:t>2</w:t>
            </w:r>
            <w:r w:rsidRPr="009212EF">
              <w:rPr>
                <w:rFonts w:hint="eastAsia"/>
                <w:b/>
                <w:kern w:val="0"/>
                <w:szCs w:val="21"/>
              </w:rPr>
              <w:t>．问：请问公司对未来气力输送系统行业向上的需求能够维持多久是怎么看的？</w:t>
            </w:r>
          </w:p>
          <w:p w14:paraId="29D2DC4E" w14:textId="0B6A05A6" w:rsidR="00940171" w:rsidRPr="009212EF" w:rsidRDefault="00411BDB" w:rsidP="00411BDB">
            <w:pPr>
              <w:widowControl/>
              <w:adjustRightInd w:val="0"/>
              <w:snapToGrid w:val="0"/>
              <w:ind w:firstLineChars="100" w:firstLine="210"/>
              <w:rPr>
                <w:kern w:val="0"/>
                <w:szCs w:val="21"/>
              </w:rPr>
            </w:pPr>
            <w:r w:rsidRPr="009212EF">
              <w:rPr>
                <w:rFonts w:hint="eastAsia"/>
                <w:kern w:val="0"/>
                <w:szCs w:val="21"/>
              </w:rPr>
              <w:t>答：</w:t>
            </w:r>
            <w:r w:rsidR="00940171" w:rsidRPr="009212EF">
              <w:rPr>
                <w:rFonts w:hint="eastAsia"/>
                <w:kern w:val="0"/>
                <w:szCs w:val="21"/>
              </w:rPr>
              <w:t>根据中国石油和化学工业联合会的预测，预计</w:t>
            </w:r>
            <w:r w:rsidR="00940171" w:rsidRPr="009212EF">
              <w:rPr>
                <w:rFonts w:hint="eastAsia"/>
                <w:kern w:val="0"/>
                <w:szCs w:val="21"/>
              </w:rPr>
              <w:t>2023-2027</w:t>
            </w:r>
            <w:r w:rsidR="00940171" w:rsidRPr="009212EF">
              <w:rPr>
                <w:rFonts w:hint="eastAsia"/>
                <w:kern w:val="0"/>
                <w:szCs w:val="21"/>
              </w:rPr>
              <w:t>年国内合成树脂合计新建产能将超过过去五年的</w:t>
            </w:r>
            <w:r w:rsidR="00940171" w:rsidRPr="009212EF">
              <w:rPr>
                <w:rFonts w:hint="eastAsia"/>
                <w:kern w:val="0"/>
                <w:szCs w:val="21"/>
              </w:rPr>
              <w:t>2</w:t>
            </w:r>
            <w:r w:rsidR="00940171" w:rsidRPr="009212EF">
              <w:rPr>
                <w:rFonts w:hint="eastAsia"/>
                <w:kern w:val="0"/>
                <w:szCs w:val="21"/>
              </w:rPr>
              <w:t>倍以上，据此测算国内合成树脂气力输送系统装备市场空间预计约</w:t>
            </w:r>
            <w:r w:rsidR="00940171" w:rsidRPr="009212EF">
              <w:rPr>
                <w:rFonts w:hint="eastAsia"/>
                <w:kern w:val="0"/>
                <w:szCs w:val="21"/>
              </w:rPr>
              <w:t>200</w:t>
            </w:r>
            <w:r w:rsidR="00940171" w:rsidRPr="009212EF">
              <w:rPr>
                <w:rFonts w:hint="eastAsia"/>
                <w:kern w:val="0"/>
                <w:szCs w:val="21"/>
              </w:rPr>
              <w:t>亿元。</w:t>
            </w:r>
          </w:p>
          <w:p w14:paraId="163647C5" w14:textId="4A30F7B0" w:rsidR="00411BDB" w:rsidRPr="009212EF" w:rsidRDefault="00411BDB" w:rsidP="00411BDB">
            <w:pPr>
              <w:widowControl/>
              <w:adjustRightInd w:val="0"/>
              <w:snapToGrid w:val="0"/>
              <w:ind w:firstLineChars="100" w:firstLine="210"/>
              <w:rPr>
                <w:kern w:val="0"/>
                <w:szCs w:val="21"/>
              </w:rPr>
            </w:pPr>
            <w:r w:rsidRPr="009212EF">
              <w:rPr>
                <w:rFonts w:hint="eastAsia"/>
                <w:kern w:val="0"/>
                <w:szCs w:val="21"/>
              </w:rPr>
              <w:t>根据</w:t>
            </w:r>
            <w:r w:rsidRPr="009212EF">
              <w:rPr>
                <w:rFonts w:hint="eastAsia"/>
                <w:kern w:val="0"/>
                <w:szCs w:val="21"/>
              </w:rPr>
              <w:t>Research and Markets</w:t>
            </w:r>
            <w:r w:rsidRPr="009212EF">
              <w:rPr>
                <w:rFonts w:hint="eastAsia"/>
                <w:kern w:val="0"/>
                <w:szCs w:val="21"/>
              </w:rPr>
              <w:t>报告，全球气力输送系统市场在</w:t>
            </w:r>
            <w:r w:rsidRPr="009212EF">
              <w:rPr>
                <w:rFonts w:hint="eastAsia"/>
                <w:kern w:val="0"/>
                <w:szCs w:val="21"/>
              </w:rPr>
              <w:t>2021</w:t>
            </w:r>
            <w:r w:rsidRPr="009212EF">
              <w:rPr>
                <w:rFonts w:hint="eastAsia"/>
                <w:kern w:val="0"/>
                <w:szCs w:val="21"/>
              </w:rPr>
              <w:t>年达到</w:t>
            </w:r>
            <w:r w:rsidRPr="009212EF">
              <w:rPr>
                <w:rFonts w:hint="eastAsia"/>
                <w:kern w:val="0"/>
                <w:szCs w:val="21"/>
              </w:rPr>
              <w:t>284</w:t>
            </w:r>
            <w:r w:rsidRPr="009212EF">
              <w:rPr>
                <w:rFonts w:hint="eastAsia"/>
                <w:kern w:val="0"/>
                <w:szCs w:val="21"/>
              </w:rPr>
              <w:t>亿美元，在</w:t>
            </w:r>
            <w:r w:rsidRPr="009212EF">
              <w:rPr>
                <w:rFonts w:hint="eastAsia"/>
                <w:kern w:val="0"/>
                <w:szCs w:val="21"/>
              </w:rPr>
              <w:t>2022-2027</w:t>
            </w:r>
            <w:r w:rsidRPr="009212EF">
              <w:rPr>
                <w:rFonts w:hint="eastAsia"/>
                <w:kern w:val="0"/>
                <w:szCs w:val="21"/>
              </w:rPr>
              <w:t>年期间的复合年增长率为</w:t>
            </w:r>
            <w:r w:rsidRPr="009212EF">
              <w:rPr>
                <w:rFonts w:hint="eastAsia"/>
                <w:kern w:val="0"/>
                <w:szCs w:val="21"/>
              </w:rPr>
              <w:t>5.80%</w:t>
            </w:r>
            <w:r w:rsidRPr="009212EF">
              <w:rPr>
                <w:rFonts w:hint="eastAsia"/>
                <w:kern w:val="0"/>
                <w:szCs w:val="21"/>
              </w:rPr>
              <w:t>，预计</w:t>
            </w:r>
            <w:r w:rsidRPr="009212EF">
              <w:rPr>
                <w:rFonts w:hint="eastAsia"/>
                <w:kern w:val="0"/>
                <w:szCs w:val="21"/>
              </w:rPr>
              <w:t>2027</w:t>
            </w:r>
            <w:r w:rsidRPr="009212EF">
              <w:rPr>
                <w:rFonts w:hint="eastAsia"/>
                <w:kern w:val="0"/>
                <w:szCs w:val="21"/>
              </w:rPr>
              <w:t>年全球市场气力输送系统规模将达到</w:t>
            </w:r>
            <w:r w:rsidRPr="009212EF">
              <w:rPr>
                <w:rFonts w:hint="eastAsia"/>
                <w:kern w:val="0"/>
                <w:szCs w:val="21"/>
              </w:rPr>
              <w:t>405</w:t>
            </w:r>
            <w:r w:rsidRPr="009212EF">
              <w:rPr>
                <w:rFonts w:hint="eastAsia"/>
                <w:kern w:val="0"/>
                <w:szCs w:val="21"/>
              </w:rPr>
              <w:t>亿美元。随着工业自动化进程的进一步推进，</w:t>
            </w:r>
            <w:r w:rsidR="00DB1E2F" w:rsidRPr="009212EF">
              <w:rPr>
                <w:rFonts w:hint="eastAsia"/>
                <w:kern w:val="0"/>
                <w:szCs w:val="21"/>
              </w:rPr>
              <w:t>预计</w:t>
            </w:r>
            <w:r w:rsidRPr="009212EF">
              <w:rPr>
                <w:rFonts w:hint="eastAsia"/>
                <w:kern w:val="0"/>
                <w:szCs w:val="21"/>
              </w:rPr>
              <w:t>未来全球气力输送行业将持续保持增长态势。</w:t>
            </w:r>
          </w:p>
          <w:p w14:paraId="10EC86B0" w14:textId="0D9EC6DA" w:rsidR="00C34D6A" w:rsidRPr="009212EF" w:rsidRDefault="00C34D6A" w:rsidP="0022490E">
            <w:pPr>
              <w:widowControl/>
              <w:adjustRightInd w:val="0"/>
              <w:snapToGrid w:val="0"/>
              <w:rPr>
                <w:b/>
                <w:kern w:val="0"/>
                <w:szCs w:val="21"/>
              </w:rPr>
            </w:pPr>
          </w:p>
          <w:p w14:paraId="504E18D7" w14:textId="785DF0A8" w:rsidR="000D6E06" w:rsidRPr="009212EF" w:rsidRDefault="00411BDB" w:rsidP="000D6E06">
            <w:pPr>
              <w:widowControl/>
              <w:adjustRightInd w:val="0"/>
              <w:snapToGrid w:val="0"/>
              <w:rPr>
                <w:b/>
                <w:kern w:val="0"/>
                <w:szCs w:val="21"/>
              </w:rPr>
            </w:pPr>
            <w:r w:rsidRPr="009212EF">
              <w:rPr>
                <w:b/>
                <w:kern w:val="0"/>
                <w:szCs w:val="21"/>
              </w:rPr>
              <w:t>3</w:t>
            </w:r>
            <w:r w:rsidR="000D6E06" w:rsidRPr="009212EF">
              <w:rPr>
                <w:rFonts w:hint="eastAsia"/>
                <w:b/>
                <w:kern w:val="0"/>
                <w:szCs w:val="21"/>
              </w:rPr>
              <w:t>．问：公司订单</w:t>
            </w:r>
            <w:r w:rsidR="000E751C" w:rsidRPr="009212EF">
              <w:rPr>
                <w:rFonts w:hint="eastAsia"/>
                <w:b/>
                <w:kern w:val="0"/>
                <w:szCs w:val="21"/>
              </w:rPr>
              <w:t>在石化、化工</w:t>
            </w:r>
            <w:r w:rsidR="000D6E06" w:rsidRPr="009212EF">
              <w:rPr>
                <w:rFonts w:hint="eastAsia"/>
                <w:b/>
                <w:kern w:val="0"/>
                <w:szCs w:val="21"/>
              </w:rPr>
              <w:t>领域</w:t>
            </w:r>
            <w:r w:rsidR="000E751C" w:rsidRPr="009212EF">
              <w:rPr>
                <w:rFonts w:hint="eastAsia"/>
                <w:b/>
                <w:kern w:val="0"/>
                <w:szCs w:val="21"/>
              </w:rPr>
              <w:t>和其他</w:t>
            </w:r>
            <w:r w:rsidR="000D6E06" w:rsidRPr="009212EF">
              <w:rPr>
                <w:rFonts w:hint="eastAsia"/>
                <w:b/>
                <w:kern w:val="0"/>
                <w:szCs w:val="21"/>
              </w:rPr>
              <w:t>领域的收入结构</w:t>
            </w:r>
            <w:r w:rsidR="000E751C" w:rsidRPr="009212EF">
              <w:rPr>
                <w:rFonts w:hint="eastAsia"/>
                <w:b/>
                <w:kern w:val="0"/>
                <w:szCs w:val="21"/>
              </w:rPr>
              <w:t>是怎样的</w:t>
            </w:r>
            <w:r w:rsidR="000D6E06" w:rsidRPr="009212EF">
              <w:rPr>
                <w:rFonts w:hint="eastAsia"/>
                <w:b/>
                <w:kern w:val="0"/>
                <w:szCs w:val="21"/>
              </w:rPr>
              <w:t>？</w:t>
            </w:r>
            <w:r w:rsidR="00276375" w:rsidRPr="009212EF">
              <w:rPr>
                <w:rFonts w:hint="eastAsia"/>
                <w:b/>
                <w:kern w:val="0"/>
                <w:szCs w:val="21"/>
              </w:rPr>
              <w:t xml:space="preserve"> </w:t>
            </w:r>
            <w:r w:rsidR="000D6E06" w:rsidRPr="009212EF">
              <w:rPr>
                <w:rFonts w:hint="eastAsia"/>
                <w:b/>
                <w:kern w:val="0"/>
                <w:szCs w:val="21"/>
              </w:rPr>
              <w:t>2024</w:t>
            </w:r>
            <w:r w:rsidR="000D6E06" w:rsidRPr="009212EF">
              <w:rPr>
                <w:rFonts w:hint="eastAsia"/>
                <w:b/>
                <w:kern w:val="0"/>
                <w:szCs w:val="21"/>
              </w:rPr>
              <w:t>年在</w:t>
            </w:r>
            <w:r w:rsidR="000E751C" w:rsidRPr="009212EF">
              <w:rPr>
                <w:rFonts w:hint="eastAsia"/>
                <w:b/>
                <w:kern w:val="0"/>
                <w:szCs w:val="21"/>
              </w:rPr>
              <w:t>其他领域</w:t>
            </w:r>
            <w:r w:rsidR="000D6E06" w:rsidRPr="009212EF">
              <w:rPr>
                <w:rFonts w:hint="eastAsia"/>
                <w:b/>
                <w:kern w:val="0"/>
                <w:szCs w:val="21"/>
              </w:rPr>
              <w:t>有哪些重点突破？</w:t>
            </w:r>
          </w:p>
          <w:p w14:paraId="5F1BC0BA" w14:textId="4450C2EE" w:rsidR="000D6E06" w:rsidRPr="009212EF" w:rsidRDefault="000D6E06" w:rsidP="000D6E06">
            <w:pPr>
              <w:widowControl/>
              <w:adjustRightInd w:val="0"/>
              <w:snapToGrid w:val="0"/>
              <w:ind w:firstLineChars="100" w:firstLine="210"/>
              <w:rPr>
                <w:kern w:val="0"/>
                <w:szCs w:val="21"/>
              </w:rPr>
            </w:pPr>
            <w:r w:rsidRPr="009212EF">
              <w:rPr>
                <w:rFonts w:hint="eastAsia"/>
                <w:kern w:val="0"/>
                <w:szCs w:val="21"/>
              </w:rPr>
              <w:t>答：公司</w:t>
            </w:r>
            <w:r w:rsidRPr="009212EF">
              <w:rPr>
                <w:rFonts w:hint="eastAsia"/>
                <w:kern w:val="0"/>
                <w:szCs w:val="21"/>
              </w:rPr>
              <w:t>2023</w:t>
            </w:r>
            <w:r w:rsidRPr="009212EF">
              <w:rPr>
                <w:rFonts w:hint="eastAsia"/>
                <w:kern w:val="0"/>
                <w:szCs w:val="21"/>
              </w:rPr>
              <w:t>年主营业务收入大部分来自石化、化工行业。</w:t>
            </w:r>
            <w:r w:rsidR="001E1934" w:rsidRPr="009212EF">
              <w:rPr>
                <w:rFonts w:hint="eastAsia"/>
                <w:kern w:val="0"/>
                <w:szCs w:val="21"/>
              </w:rPr>
              <w:t>非石化、化工行业的订单也在逐步拓展中</w:t>
            </w:r>
            <w:r w:rsidRPr="009212EF">
              <w:rPr>
                <w:rFonts w:hint="eastAsia"/>
                <w:kern w:val="0"/>
                <w:szCs w:val="21"/>
              </w:rPr>
              <w:t>。</w:t>
            </w:r>
          </w:p>
          <w:p w14:paraId="1F3F4AE0" w14:textId="4B3CCBB7" w:rsidR="000D6E06" w:rsidRPr="009212EF" w:rsidRDefault="000D6E06" w:rsidP="000D6E06">
            <w:pPr>
              <w:widowControl/>
              <w:adjustRightInd w:val="0"/>
              <w:snapToGrid w:val="0"/>
              <w:ind w:firstLineChars="100" w:firstLine="210"/>
              <w:rPr>
                <w:kern w:val="0"/>
                <w:szCs w:val="21"/>
              </w:rPr>
            </w:pPr>
            <w:r w:rsidRPr="009212EF">
              <w:rPr>
                <w:rFonts w:hint="eastAsia"/>
                <w:kern w:val="0"/>
                <w:szCs w:val="21"/>
              </w:rPr>
              <w:t>公司将根据相关行业拓展的战略措施，对石化、化工、有机硅、新材料、医药、食品、可降解塑料、其他应用等领域，进行市场开拓的划分和布局，在继续巩固国内石化、化工行业聚烯烃项目中较高的市场占有率的基础上，加大新材料、食品、医药等行业市场开发力度，提高公司产品在相关行业的覆盖率和渗透率。</w:t>
            </w:r>
          </w:p>
          <w:p w14:paraId="766014D4" w14:textId="5F0BF1B0" w:rsidR="007A2671" w:rsidRPr="009212EF" w:rsidRDefault="007A2671" w:rsidP="000D6E06">
            <w:pPr>
              <w:widowControl/>
              <w:adjustRightInd w:val="0"/>
              <w:snapToGrid w:val="0"/>
              <w:ind w:firstLineChars="100" w:firstLine="210"/>
              <w:rPr>
                <w:kern w:val="0"/>
                <w:szCs w:val="21"/>
              </w:rPr>
            </w:pPr>
          </w:p>
          <w:p w14:paraId="14743CDF" w14:textId="0F1212DB" w:rsidR="00276375" w:rsidRPr="009212EF" w:rsidRDefault="00411BDB" w:rsidP="00276375">
            <w:pPr>
              <w:widowControl/>
              <w:adjustRightInd w:val="0"/>
              <w:snapToGrid w:val="0"/>
              <w:rPr>
                <w:b/>
                <w:kern w:val="0"/>
                <w:szCs w:val="21"/>
              </w:rPr>
            </w:pPr>
            <w:r w:rsidRPr="009212EF">
              <w:rPr>
                <w:b/>
                <w:kern w:val="0"/>
                <w:szCs w:val="21"/>
              </w:rPr>
              <w:t>4</w:t>
            </w:r>
            <w:r w:rsidR="00276375" w:rsidRPr="009212EF">
              <w:rPr>
                <w:rFonts w:hint="eastAsia"/>
                <w:b/>
                <w:kern w:val="0"/>
                <w:szCs w:val="21"/>
              </w:rPr>
              <w:t>．问：</w:t>
            </w:r>
            <w:r w:rsidR="00276375" w:rsidRPr="009212EF">
              <w:rPr>
                <w:rFonts w:hint="eastAsia"/>
                <w:b/>
                <w:kern w:val="0"/>
                <w:szCs w:val="21"/>
              </w:rPr>
              <w:t>2023</w:t>
            </w:r>
            <w:r w:rsidR="00276375" w:rsidRPr="009212EF">
              <w:rPr>
                <w:rFonts w:hint="eastAsia"/>
                <w:b/>
                <w:kern w:val="0"/>
                <w:szCs w:val="21"/>
              </w:rPr>
              <w:t>年新增订单中非石化、化工领域的订单占比多少？</w:t>
            </w:r>
          </w:p>
          <w:p w14:paraId="6843E3B2" w14:textId="2438CD05" w:rsidR="007A2671" w:rsidRPr="009212EF" w:rsidRDefault="00276375" w:rsidP="00276375">
            <w:pPr>
              <w:widowControl/>
              <w:adjustRightInd w:val="0"/>
              <w:snapToGrid w:val="0"/>
              <w:ind w:firstLineChars="100" w:firstLine="210"/>
              <w:rPr>
                <w:kern w:val="0"/>
                <w:szCs w:val="21"/>
              </w:rPr>
            </w:pPr>
            <w:r w:rsidRPr="009212EF">
              <w:rPr>
                <w:rFonts w:hint="eastAsia"/>
                <w:kern w:val="0"/>
                <w:szCs w:val="21"/>
              </w:rPr>
              <w:t>答：</w:t>
            </w:r>
            <w:r w:rsidRPr="009212EF">
              <w:rPr>
                <w:rFonts w:hint="eastAsia"/>
                <w:kern w:val="0"/>
                <w:szCs w:val="21"/>
              </w:rPr>
              <w:t>2023</w:t>
            </w:r>
            <w:r w:rsidRPr="009212EF">
              <w:rPr>
                <w:rFonts w:hint="eastAsia"/>
                <w:kern w:val="0"/>
                <w:szCs w:val="21"/>
              </w:rPr>
              <w:t>年新增订单中，</w:t>
            </w:r>
            <w:r w:rsidR="00D66C09">
              <w:rPr>
                <w:rFonts w:hint="eastAsia"/>
                <w:kern w:val="0"/>
                <w:szCs w:val="21"/>
              </w:rPr>
              <w:t>公司</w:t>
            </w:r>
            <w:r w:rsidR="00FA4FA7" w:rsidRPr="009212EF">
              <w:rPr>
                <w:rFonts w:hint="eastAsia"/>
                <w:kern w:val="0"/>
                <w:szCs w:val="21"/>
              </w:rPr>
              <w:t>聚烯烃气力输送成套系统的订单占比约</w:t>
            </w:r>
            <w:r w:rsidR="00FA4FA7" w:rsidRPr="009212EF">
              <w:rPr>
                <w:rFonts w:hint="eastAsia"/>
                <w:kern w:val="0"/>
                <w:szCs w:val="21"/>
              </w:rPr>
              <w:t>80%-90%</w:t>
            </w:r>
            <w:r w:rsidR="00FA4FA7" w:rsidRPr="009212EF">
              <w:rPr>
                <w:rFonts w:hint="eastAsia"/>
                <w:kern w:val="0"/>
                <w:szCs w:val="21"/>
              </w:rPr>
              <w:t>，</w:t>
            </w:r>
            <w:r w:rsidR="00D66C09">
              <w:rPr>
                <w:rFonts w:hint="eastAsia"/>
                <w:kern w:val="0"/>
                <w:szCs w:val="21"/>
              </w:rPr>
              <w:t>其他</w:t>
            </w:r>
            <w:r w:rsidR="00FA4FA7" w:rsidRPr="009212EF">
              <w:rPr>
                <w:rFonts w:hint="eastAsia"/>
                <w:kern w:val="0"/>
                <w:szCs w:val="21"/>
              </w:rPr>
              <w:t>智能化粉粒体物料处理系统</w:t>
            </w:r>
            <w:r w:rsidR="00D66C09">
              <w:rPr>
                <w:rFonts w:hint="eastAsia"/>
                <w:kern w:val="0"/>
                <w:szCs w:val="21"/>
              </w:rPr>
              <w:t>等</w:t>
            </w:r>
            <w:r w:rsidRPr="009212EF">
              <w:rPr>
                <w:rFonts w:hint="eastAsia"/>
                <w:kern w:val="0"/>
                <w:szCs w:val="21"/>
              </w:rPr>
              <w:t>订单占比约为</w:t>
            </w:r>
            <w:r w:rsidRPr="009212EF">
              <w:rPr>
                <w:rFonts w:hint="eastAsia"/>
                <w:kern w:val="0"/>
                <w:szCs w:val="21"/>
              </w:rPr>
              <w:t>10%-20%</w:t>
            </w:r>
            <w:r w:rsidRPr="009212EF">
              <w:rPr>
                <w:rFonts w:hint="eastAsia"/>
                <w:kern w:val="0"/>
                <w:szCs w:val="21"/>
              </w:rPr>
              <w:t>。</w:t>
            </w:r>
            <w:r w:rsidR="00FA4FA7" w:rsidRPr="009212EF">
              <w:rPr>
                <w:rFonts w:hint="eastAsia"/>
                <w:kern w:val="0"/>
                <w:szCs w:val="21"/>
              </w:rPr>
              <w:t>在继续巩固国内石化、化工行业聚烯烃项目中较高的市场占有率的基础上，公司</w:t>
            </w:r>
            <w:r w:rsidR="006158C5" w:rsidRPr="009212EF">
              <w:rPr>
                <w:rFonts w:hint="eastAsia"/>
                <w:kern w:val="0"/>
                <w:szCs w:val="21"/>
              </w:rPr>
              <w:t>积极拓展产品应用领域</w:t>
            </w:r>
            <w:r w:rsidR="00FA4FA7" w:rsidRPr="009212EF">
              <w:rPr>
                <w:rFonts w:hint="eastAsia"/>
                <w:kern w:val="0"/>
                <w:szCs w:val="21"/>
              </w:rPr>
              <w:t>。</w:t>
            </w:r>
          </w:p>
          <w:p w14:paraId="18DFAD6F" w14:textId="1516FA8D" w:rsidR="00276375" w:rsidRPr="009212EF" w:rsidRDefault="00276375" w:rsidP="000D6E06">
            <w:pPr>
              <w:widowControl/>
              <w:adjustRightInd w:val="0"/>
              <w:snapToGrid w:val="0"/>
              <w:ind w:firstLineChars="100" w:firstLine="210"/>
              <w:rPr>
                <w:kern w:val="0"/>
                <w:szCs w:val="21"/>
              </w:rPr>
            </w:pPr>
          </w:p>
          <w:p w14:paraId="3F586077" w14:textId="19507FB5" w:rsidR="006933B2" w:rsidRPr="009212EF" w:rsidRDefault="006933B2" w:rsidP="006933B2">
            <w:pPr>
              <w:widowControl/>
              <w:adjustRightInd w:val="0"/>
              <w:snapToGrid w:val="0"/>
              <w:rPr>
                <w:b/>
                <w:kern w:val="0"/>
                <w:szCs w:val="21"/>
              </w:rPr>
            </w:pPr>
            <w:r w:rsidRPr="009212EF">
              <w:rPr>
                <w:b/>
                <w:kern w:val="0"/>
                <w:szCs w:val="21"/>
              </w:rPr>
              <w:t>5</w:t>
            </w:r>
            <w:r w:rsidRPr="009212EF">
              <w:rPr>
                <w:rFonts w:hint="eastAsia"/>
                <w:b/>
                <w:kern w:val="0"/>
                <w:szCs w:val="21"/>
              </w:rPr>
              <w:t>．问：新行业拓展方面，公司考虑通过哪种方式进行？是否考虑并购？</w:t>
            </w:r>
          </w:p>
          <w:p w14:paraId="29EDD2F0" w14:textId="428E58F1" w:rsidR="002866C5" w:rsidRPr="009212EF" w:rsidRDefault="006933B2" w:rsidP="000D6E06">
            <w:pPr>
              <w:widowControl/>
              <w:adjustRightInd w:val="0"/>
              <w:snapToGrid w:val="0"/>
              <w:ind w:firstLineChars="100" w:firstLine="210"/>
              <w:rPr>
                <w:kern w:val="0"/>
                <w:szCs w:val="21"/>
              </w:rPr>
            </w:pPr>
            <w:r w:rsidRPr="009212EF">
              <w:rPr>
                <w:rFonts w:hint="eastAsia"/>
                <w:kern w:val="0"/>
                <w:szCs w:val="21"/>
              </w:rPr>
              <w:t>答：</w:t>
            </w:r>
            <w:r w:rsidR="00FA4FA7" w:rsidRPr="009212EF">
              <w:rPr>
                <w:rFonts w:hint="eastAsia"/>
                <w:kern w:val="0"/>
                <w:szCs w:val="21"/>
              </w:rPr>
              <w:t>对于公司产品来说，</w:t>
            </w:r>
            <w:r w:rsidR="002866C5" w:rsidRPr="009212EF">
              <w:rPr>
                <w:rFonts w:hint="eastAsia"/>
                <w:kern w:val="0"/>
                <w:szCs w:val="21"/>
              </w:rPr>
              <w:t>相对于石化、化工行业，其他行业的合同单价相对较小，供货范围的设备及材料相对也较少，但此类项目数量较多、执行周期短，总体市场空间很大。目前公司具备面向其他领域拓展的技术能力和技术储备，但在产能紧张情况下，优先承接石化、化工项目</w:t>
            </w:r>
            <w:r w:rsidR="00A41013">
              <w:rPr>
                <w:rFonts w:hint="eastAsia"/>
                <w:kern w:val="0"/>
                <w:szCs w:val="21"/>
              </w:rPr>
              <w:t>。</w:t>
            </w:r>
            <w:r w:rsidR="002866C5" w:rsidRPr="009212EF">
              <w:rPr>
                <w:rFonts w:hint="eastAsia"/>
                <w:kern w:val="0"/>
                <w:szCs w:val="21"/>
              </w:rPr>
              <w:t>作为公司发展战略之一，</w:t>
            </w:r>
            <w:r w:rsidR="00A41013">
              <w:rPr>
                <w:rFonts w:hint="eastAsia"/>
                <w:kern w:val="0"/>
                <w:szCs w:val="21"/>
              </w:rPr>
              <w:t>公司后续</w:t>
            </w:r>
            <w:r w:rsidR="002866C5" w:rsidRPr="009212EF">
              <w:rPr>
                <w:rFonts w:hint="eastAsia"/>
                <w:kern w:val="0"/>
                <w:szCs w:val="21"/>
              </w:rPr>
              <w:t>会逐步向其他行业拓展。</w:t>
            </w:r>
          </w:p>
          <w:p w14:paraId="3A462329" w14:textId="33E4E501" w:rsidR="00940171" w:rsidRPr="009212EF" w:rsidRDefault="006933B2" w:rsidP="000D6E06">
            <w:pPr>
              <w:widowControl/>
              <w:adjustRightInd w:val="0"/>
              <w:snapToGrid w:val="0"/>
              <w:ind w:firstLineChars="100" w:firstLine="210"/>
              <w:rPr>
                <w:szCs w:val="21"/>
              </w:rPr>
            </w:pPr>
            <w:r w:rsidRPr="009212EF">
              <w:rPr>
                <w:rFonts w:hint="eastAsia"/>
                <w:szCs w:val="21"/>
              </w:rPr>
              <w:t>公司</w:t>
            </w:r>
            <w:r w:rsidRPr="009212EF">
              <w:rPr>
                <w:szCs w:val="21"/>
              </w:rPr>
              <w:t>以提高生产力，增强相关协同效应为目标，坚守主营业务相关的主赛道，积极关注产业链上下游及相关行业的优质投资标的。公司如有并购计划会严格按照法律法规的规定及时履行信息披露义务。</w:t>
            </w:r>
          </w:p>
          <w:p w14:paraId="06190BE0" w14:textId="09E9420E" w:rsidR="00DD6B5F" w:rsidRPr="009212EF" w:rsidRDefault="00DD6B5F" w:rsidP="000D6E06">
            <w:pPr>
              <w:widowControl/>
              <w:adjustRightInd w:val="0"/>
              <w:snapToGrid w:val="0"/>
              <w:ind w:firstLineChars="100" w:firstLine="210"/>
              <w:rPr>
                <w:kern w:val="0"/>
                <w:szCs w:val="21"/>
              </w:rPr>
            </w:pPr>
          </w:p>
          <w:p w14:paraId="5497D6F8" w14:textId="4EBE342E" w:rsidR="00DD6B5F" w:rsidRPr="009212EF" w:rsidRDefault="00DD6B5F" w:rsidP="00DD6B5F">
            <w:pPr>
              <w:widowControl/>
              <w:adjustRightInd w:val="0"/>
              <w:snapToGrid w:val="0"/>
              <w:rPr>
                <w:b/>
                <w:kern w:val="0"/>
                <w:szCs w:val="21"/>
              </w:rPr>
            </w:pPr>
            <w:r w:rsidRPr="009212EF">
              <w:rPr>
                <w:b/>
                <w:kern w:val="0"/>
                <w:szCs w:val="21"/>
              </w:rPr>
              <w:t>6</w:t>
            </w:r>
            <w:r w:rsidRPr="009212EF">
              <w:rPr>
                <w:rFonts w:hint="eastAsia"/>
                <w:b/>
                <w:kern w:val="0"/>
                <w:szCs w:val="21"/>
              </w:rPr>
              <w:t>．问：</w:t>
            </w:r>
            <w:r w:rsidRPr="009212EF">
              <w:rPr>
                <w:rFonts w:hint="eastAsia"/>
                <w:b/>
                <w:kern w:val="0"/>
                <w:szCs w:val="21"/>
              </w:rPr>
              <w:t>2023</w:t>
            </w:r>
            <w:r w:rsidRPr="009212EF">
              <w:rPr>
                <w:rFonts w:hint="eastAsia"/>
                <w:b/>
                <w:kern w:val="0"/>
                <w:szCs w:val="21"/>
              </w:rPr>
              <w:t>年海外订单整体情况怎么样？</w:t>
            </w:r>
            <w:r w:rsidR="008532D2" w:rsidRPr="009212EF">
              <w:rPr>
                <w:rFonts w:hint="eastAsia"/>
                <w:b/>
                <w:kern w:val="0"/>
                <w:szCs w:val="21"/>
              </w:rPr>
              <w:t>公司</w:t>
            </w:r>
            <w:r w:rsidR="008532D2" w:rsidRPr="009212EF">
              <w:rPr>
                <w:rFonts w:hint="eastAsia"/>
                <w:b/>
                <w:kern w:val="0"/>
                <w:szCs w:val="21"/>
              </w:rPr>
              <w:t>2</w:t>
            </w:r>
            <w:r w:rsidR="008532D2" w:rsidRPr="009212EF">
              <w:rPr>
                <w:b/>
                <w:kern w:val="0"/>
                <w:szCs w:val="21"/>
              </w:rPr>
              <w:t>023</w:t>
            </w:r>
            <w:r w:rsidR="008532D2" w:rsidRPr="009212EF">
              <w:rPr>
                <w:rFonts w:hint="eastAsia"/>
                <w:b/>
                <w:kern w:val="0"/>
                <w:szCs w:val="21"/>
              </w:rPr>
              <w:t>年年度报告中披露的</w:t>
            </w:r>
            <w:r w:rsidR="0022464A" w:rsidRPr="009212EF">
              <w:rPr>
                <w:rFonts w:hint="eastAsia"/>
                <w:b/>
                <w:kern w:val="0"/>
                <w:szCs w:val="21"/>
              </w:rPr>
              <w:t>海外客户</w:t>
            </w:r>
            <w:r w:rsidR="008532D2" w:rsidRPr="009212EF">
              <w:rPr>
                <w:rFonts w:hint="eastAsia"/>
                <w:b/>
                <w:kern w:val="0"/>
                <w:szCs w:val="21"/>
              </w:rPr>
              <w:t>合同是由</w:t>
            </w:r>
            <w:r w:rsidR="00FA4FA7" w:rsidRPr="009212EF">
              <w:rPr>
                <w:rFonts w:hint="eastAsia"/>
                <w:b/>
                <w:kern w:val="0"/>
                <w:szCs w:val="21"/>
              </w:rPr>
              <w:t>上海博隆还是由意大利格瓦尼</w:t>
            </w:r>
            <w:r w:rsidR="008532D2" w:rsidRPr="009212EF">
              <w:rPr>
                <w:rFonts w:hint="eastAsia"/>
                <w:b/>
                <w:kern w:val="0"/>
                <w:szCs w:val="21"/>
              </w:rPr>
              <w:t>取得的？</w:t>
            </w:r>
          </w:p>
          <w:p w14:paraId="68BD112F" w14:textId="6116CE69" w:rsidR="00DD6B5F" w:rsidRPr="009212EF" w:rsidRDefault="00DD6B5F" w:rsidP="000D6E06">
            <w:pPr>
              <w:widowControl/>
              <w:adjustRightInd w:val="0"/>
              <w:snapToGrid w:val="0"/>
              <w:ind w:firstLineChars="100" w:firstLine="210"/>
              <w:rPr>
                <w:rFonts w:ascii="宋体" w:hAnsi="宋体"/>
                <w:kern w:val="0"/>
                <w:szCs w:val="21"/>
              </w:rPr>
            </w:pPr>
            <w:r w:rsidRPr="009212EF">
              <w:rPr>
                <w:rFonts w:hint="eastAsia"/>
                <w:kern w:val="0"/>
                <w:szCs w:val="21"/>
              </w:rPr>
              <w:t>答：</w:t>
            </w:r>
            <w:r w:rsidR="008532D2" w:rsidRPr="009212EF">
              <w:rPr>
                <w:rFonts w:hint="eastAsia"/>
                <w:kern w:val="0"/>
                <w:szCs w:val="21"/>
              </w:rPr>
              <w:t>从新增订单所属地区来看，</w:t>
            </w:r>
            <w:r w:rsidR="008532D2" w:rsidRPr="009212EF">
              <w:rPr>
                <w:rFonts w:hint="eastAsia"/>
                <w:kern w:val="0"/>
                <w:szCs w:val="21"/>
              </w:rPr>
              <w:t>2</w:t>
            </w:r>
            <w:r w:rsidR="008532D2" w:rsidRPr="009212EF">
              <w:rPr>
                <w:kern w:val="0"/>
                <w:szCs w:val="21"/>
              </w:rPr>
              <w:t>023</w:t>
            </w:r>
            <w:r w:rsidR="008532D2" w:rsidRPr="009212EF">
              <w:rPr>
                <w:rFonts w:hint="eastAsia"/>
                <w:kern w:val="0"/>
                <w:szCs w:val="21"/>
              </w:rPr>
              <w:t>年度公司持续推进国际化发展战略，加大海外项目参与力度，较</w:t>
            </w:r>
            <w:r w:rsidR="008532D2" w:rsidRPr="009212EF">
              <w:rPr>
                <w:rFonts w:hint="eastAsia"/>
                <w:kern w:val="0"/>
                <w:szCs w:val="21"/>
              </w:rPr>
              <w:t>2022</w:t>
            </w:r>
            <w:r w:rsidR="008532D2" w:rsidRPr="009212EF">
              <w:rPr>
                <w:rFonts w:hint="eastAsia"/>
                <w:kern w:val="0"/>
                <w:szCs w:val="21"/>
              </w:rPr>
              <w:t>年增速明显</w:t>
            </w:r>
            <w:r w:rsidR="00825BE3" w:rsidRPr="009212EF">
              <w:rPr>
                <w:rFonts w:hint="eastAsia"/>
                <w:kern w:val="0"/>
                <w:szCs w:val="21"/>
              </w:rPr>
              <w:t>，公司国际化战略已初现成效</w:t>
            </w:r>
            <w:r w:rsidR="008532D2" w:rsidRPr="009212EF">
              <w:rPr>
                <w:rFonts w:hint="eastAsia"/>
                <w:kern w:val="0"/>
                <w:szCs w:val="21"/>
              </w:rPr>
              <w:t>。</w:t>
            </w:r>
            <w:r w:rsidR="0014424F" w:rsidRPr="0014424F">
              <w:rPr>
                <w:rFonts w:hint="eastAsia"/>
                <w:bCs/>
                <w:kern w:val="0"/>
                <w:szCs w:val="21"/>
              </w:rPr>
              <w:t>2</w:t>
            </w:r>
            <w:r w:rsidR="0014424F" w:rsidRPr="0014424F">
              <w:rPr>
                <w:bCs/>
                <w:kern w:val="0"/>
                <w:szCs w:val="21"/>
              </w:rPr>
              <w:t>023</w:t>
            </w:r>
            <w:r w:rsidR="0014424F" w:rsidRPr="0014424F">
              <w:rPr>
                <w:rFonts w:hint="eastAsia"/>
                <w:bCs/>
                <w:kern w:val="0"/>
                <w:szCs w:val="21"/>
              </w:rPr>
              <w:t>年年度报告</w:t>
            </w:r>
            <w:r w:rsidR="00C42B9E">
              <w:rPr>
                <w:rFonts w:hint="eastAsia"/>
                <w:kern w:val="0"/>
                <w:szCs w:val="21"/>
              </w:rPr>
              <w:t>中披露的</w:t>
            </w:r>
            <w:r w:rsidR="008532D2" w:rsidRPr="009212EF">
              <w:rPr>
                <w:rFonts w:hint="eastAsia"/>
                <w:kern w:val="0"/>
                <w:szCs w:val="21"/>
              </w:rPr>
              <w:t>已签订的</w:t>
            </w:r>
            <w:r w:rsidR="0022464A" w:rsidRPr="009212EF">
              <w:rPr>
                <w:rFonts w:hint="eastAsia"/>
                <w:bCs/>
                <w:kern w:val="0"/>
                <w:szCs w:val="21"/>
              </w:rPr>
              <w:t>海外客户</w:t>
            </w:r>
            <w:r w:rsidR="008532D2" w:rsidRPr="009212EF">
              <w:rPr>
                <w:rFonts w:hint="eastAsia"/>
                <w:kern w:val="0"/>
                <w:szCs w:val="21"/>
              </w:rPr>
              <w:t>合同是由</w:t>
            </w:r>
            <w:r w:rsidR="0022464A" w:rsidRPr="009212EF">
              <w:rPr>
                <w:rFonts w:hint="eastAsia"/>
                <w:kern w:val="0"/>
                <w:szCs w:val="21"/>
              </w:rPr>
              <w:t>上海博隆</w:t>
            </w:r>
            <w:r w:rsidR="008532D2" w:rsidRPr="009212EF">
              <w:rPr>
                <w:rFonts w:ascii="宋体" w:hAnsi="宋体" w:hint="eastAsia"/>
                <w:kern w:val="0"/>
                <w:szCs w:val="21"/>
              </w:rPr>
              <w:t>取得的。</w:t>
            </w:r>
          </w:p>
          <w:p w14:paraId="73E8CFB5" w14:textId="4575592D" w:rsidR="007E6105" w:rsidRPr="009212EF" w:rsidRDefault="007E6105" w:rsidP="000D6E06">
            <w:pPr>
              <w:widowControl/>
              <w:adjustRightInd w:val="0"/>
              <w:snapToGrid w:val="0"/>
              <w:ind w:firstLineChars="100" w:firstLine="210"/>
              <w:rPr>
                <w:kern w:val="0"/>
                <w:szCs w:val="21"/>
              </w:rPr>
            </w:pPr>
          </w:p>
          <w:p w14:paraId="41EAE817" w14:textId="77BF41C0" w:rsidR="007E6105" w:rsidRPr="009212EF" w:rsidRDefault="007E6105" w:rsidP="007E6105">
            <w:pPr>
              <w:widowControl/>
              <w:adjustRightInd w:val="0"/>
              <w:snapToGrid w:val="0"/>
              <w:rPr>
                <w:b/>
                <w:kern w:val="0"/>
                <w:szCs w:val="21"/>
              </w:rPr>
            </w:pPr>
            <w:r w:rsidRPr="009212EF">
              <w:rPr>
                <w:rFonts w:hint="eastAsia"/>
                <w:b/>
                <w:kern w:val="0"/>
                <w:szCs w:val="21"/>
              </w:rPr>
              <w:t>7</w:t>
            </w:r>
            <w:r w:rsidRPr="009212EF">
              <w:rPr>
                <w:rFonts w:hint="eastAsia"/>
                <w:b/>
                <w:kern w:val="0"/>
                <w:szCs w:val="21"/>
              </w:rPr>
              <w:t>．问：</w:t>
            </w:r>
            <w:r w:rsidR="00FE44F1" w:rsidRPr="009212EF">
              <w:rPr>
                <w:rFonts w:hint="eastAsia"/>
                <w:b/>
                <w:kern w:val="0"/>
                <w:szCs w:val="21"/>
              </w:rPr>
              <w:t>公司“</w:t>
            </w:r>
            <w:r w:rsidR="00FE44F1" w:rsidRPr="009212EF">
              <w:rPr>
                <w:b/>
                <w:kern w:val="0"/>
                <w:szCs w:val="21"/>
              </w:rPr>
              <w:t>BLOOM</w:t>
            </w:r>
            <w:r w:rsidR="00FE44F1" w:rsidRPr="009212EF">
              <w:rPr>
                <w:rFonts w:hint="eastAsia"/>
                <w:b/>
                <w:kern w:val="0"/>
                <w:szCs w:val="21"/>
              </w:rPr>
              <w:t>”和“</w:t>
            </w:r>
            <w:r w:rsidR="00FE44F1" w:rsidRPr="009212EF">
              <w:rPr>
                <w:rFonts w:hint="eastAsia"/>
                <w:b/>
                <w:kern w:val="0"/>
                <w:szCs w:val="21"/>
              </w:rPr>
              <w:t>GSBI</w:t>
            </w:r>
            <w:r w:rsidR="00FE44F1" w:rsidRPr="009212EF">
              <w:rPr>
                <w:rFonts w:hint="eastAsia"/>
                <w:b/>
                <w:kern w:val="0"/>
                <w:szCs w:val="21"/>
              </w:rPr>
              <w:t>”两个品牌在</w:t>
            </w:r>
            <w:r w:rsidRPr="009212EF">
              <w:rPr>
                <w:rFonts w:hint="eastAsia"/>
                <w:b/>
                <w:kern w:val="0"/>
                <w:szCs w:val="21"/>
              </w:rPr>
              <w:t>海外</w:t>
            </w:r>
            <w:r w:rsidR="00FE44F1" w:rsidRPr="009212EF">
              <w:rPr>
                <w:rFonts w:hint="eastAsia"/>
                <w:b/>
                <w:kern w:val="0"/>
                <w:szCs w:val="21"/>
              </w:rPr>
              <w:t>市场开拓上是否有定位？海外布局主要集中在哪里？</w:t>
            </w:r>
          </w:p>
          <w:p w14:paraId="7254D2F5" w14:textId="4FC60B53" w:rsidR="007E6105" w:rsidRPr="009212EF" w:rsidRDefault="007E6105" w:rsidP="000D6E06">
            <w:pPr>
              <w:widowControl/>
              <w:adjustRightInd w:val="0"/>
              <w:snapToGrid w:val="0"/>
              <w:ind w:firstLineChars="100" w:firstLine="210"/>
              <w:rPr>
                <w:kern w:val="0"/>
                <w:szCs w:val="21"/>
              </w:rPr>
            </w:pPr>
            <w:r w:rsidRPr="009212EF">
              <w:rPr>
                <w:rFonts w:hint="eastAsia"/>
                <w:kern w:val="0"/>
                <w:szCs w:val="21"/>
              </w:rPr>
              <w:t>答：随着公司业务的发展，</w:t>
            </w:r>
            <w:r w:rsidR="0022464A" w:rsidRPr="009212EF">
              <w:rPr>
                <w:rFonts w:hint="eastAsia"/>
                <w:kern w:val="0"/>
                <w:szCs w:val="21"/>
              </w:rPr>
              <w:t>国际化战略已初</w:t>
            </w:r>
            <w:r w:rsidR="00FA4FA7" w:rsidRPr="009212EF">
              <w:rPr>
                <w:rFonts w:hint="eastAsia"/>
                <w:kern w:val="0"/>
                <w:szCs w:val="21"/>
              </w:rPr>
              <w:t>现</w:t>
            </w:r>
            <w:r w:rsidR="0022464A" w:rsidRPr="009212EF">
              <w:rPr>
                <w:rFonts w:hint="eastAsia"/>
                <w:kern w:val="0"/>
                <w:szCs w:val="21"/>
              </w:rPr>
              <w:t>成效</w:t>
            </w:r>
            <w:r w:rsidRPr="009212EF">
              <w:rPr>
                <w:rFonts w:hint="eastAsia"/>
                <w:kern w:val="0"/>
                <w:szCs w:val="21"/>
              </w:rPr>
              <w:t>。一方面，通过收购的子公司意大利格瓦尼，布局欧美和印度市场；另一方面，通过国内公司布局一带一路沿线。</w:t>
            </w:r>
            <w:r w:rsidRPr="009212EF">
              <w:rPr>
                <w:rFonts w:hint="eastAsia"/>
                <w:kern w:val="0"/>
                <w:szCs w:val="21"/>
              </w:rPr>
              <w:t>2023</w:t>
            </w:r>
            <w:r w:rsidRPr="009212EF">
              <w:rPr>
                <w:rFonts w:hint="eastAsia"/>
                <w:kern w:val="0"/>
                <w:szCs w:val="21"/>
              </w:rPr>
              <w:t>年</w:t>
            </w:r>
            <w:r w:rsidR="006C261B" w:rsidRPr="009212EF">
              <w:rPr>
                <w:rFonts w:hint="eastAsia"/>
                <w:kern w:val="0"/>
                <w:szCs w:val="21"/>
              </w:rPr>
              <w:t>，公司</w:t>
            </w:r>
            <w:r w:rsidRPr="009212EF">
              <w:rPr>
                <w:rFonts w:hint="eastAsia"/>
                <w:kern w:val="0"/>
                <w:szCs w:val="21"/>
              </w:rPr>
              <w:t>海外订单取得了较好成绩。</w:t>
            </w:r>
          </w:p>
          <w:p w14:paraId="63265D98" w14:textId="297FA86B" w:rsidR="007E6105" w:rsidRPr="009212EF" w:rsidRDefault="007E6105" w:rsidP="000D6E06">
            <w:pPr>
              <w:widowControl/>
              <w:adjustRightInd w:val="0"/>
              <w:snapToGrid w:val="0"/>
              <w:ind w:firstLineChars="100" w:firstLine="210"/>
              <w:rPr>
                <w:kern w:val="0"/>
                <w:szCs w:val="21"/>
              </w:rPr>
            </w:pPr>
            <w:r w:rsidRPr="009212EF">
              <w:rPr>
                <w:rFonts w:hint="eastAsia"/>
                <w:kern w:val="0"/>
                <w:szCs w:val="21"/>
              </w:rPr>
              <w:lastRenderedPageBreak/>
              <w:t>未来</w:t>
            </w:r>
            <w:r w:rsidRPr="009212EF">
              <w:rPr>
                <w:rFonts w:hint="eastAsia"/>
                <w:kern w:val="0"/>
                <w:szCs w:val="21"/>
              </w:rPr>
              <w:t>3</w:t>
            </w:r>
            <w:r w:rsidRPr="009212EF">
              <w:rPr>
                <w:rFonts w:hint="eastAsia"/>
                <w:kern w:val="0"/>
                <w:szCs w:val="21"/>
              </w:rPr>
              <w:t>至</w:t>
            </w:r>
            <w:r w:rsidRPr="009212EF">
              <w:rPr>
                <w:rFonts w:hint="eastAsia"/>
                <w:kern w:val="0"/>
                <w:szCs w:val="21"/>
              </w:rPr>
              <w:t>5</w:t>
            </w:r>
            <w:r w:rsidRPr="009212EF">
              <w:rPr>
                <w:rFonts w:hint="eastAsia"/>
                <w:kern w:val="0"/>
                <w:szCs w:val="21"/>
              </w:rPr>
              <w:t>年，公司将在现有销售和服务中心的基础上，加大海外市场渠道建设，形成覆盖欧洲、美洲、东南亚及中东地区的营销网络，积极实施“</w:t>
            </w:r>
            <w:r w:rsidRPr="009212EF">
              <w:rPr>
                <w:rFonts w:hint="eastAsia"/>
                <w:kern w:val="0"/>
                <w:szCs w:val="21"/>
              </w:rPr>
              <w:t>BLOOM</w:t>
            </w:r>
            <w:r w:rsidRPr="009212EF">
              <w:rPr>
                <w:rFonts w:hint="eastAsia"/>
                <w:kern w:val="0"/>
                <w:szCs w:val="21"/>
              </w:rPr>
              <w:t>”和“</w:t>
            </w:r>
            <w:r w:rsidRPr="009212EF">
              <w:rPr>
                <w:rFonts w:hint="eastAsia"/>
                <w:kern w:val="0"/>
                <w:szCs w:val="21"/>
              </w:rPr>
              <w:t>GSBI</w:t>
            </w:r>
            <w:r w:rsidRPr="009212EF">
              <w:rPr>
                <w:rFonts w:hint="eastAsia"/>
                <w:kern w:val="0"/>
                <w:szCs w:val="21"/>
              </w:rPr>
              <w:t>”</w:t>
            </w:r>
            <w:proofErr w:type="gramStart"/>
            <w:r w:rsidRPr="009212EF">
              <w:rPr>
                <w:rFonts w:hint="eastAsia"/>
                <w:kern w:val="0"/>
                <w:szCs w:val="21"/>
              </w:rPr>
              <w:t>双品牌</w:t>
            </w:r>
            <w:proofErr w:type="gramEnd"/>
            <w:r w:rsidRPr="009212EF">
              <w:rPr>
                <w:rFonts w:hint="eastAsia"/>
                <w:kern w:val="0"/>
                <w:szCs w:val="21"/>
              </w:rPr>
              <w:t>战略，加快提升在海外的品牌知名度，加强与各行业优质客户的合作，提高海外市场份额。</w:t>
            </w:r>
          </w:p>
          <w:p w14:paraId="53DCCE8B" w14:textId="6E1A860F" w:rsidR="000D6E06" w:rsidRPr="009212EF" w:rsidRDefault="000D6E06" w:rsidP="0022490E">
            <w:pPr>
              <w:widowControl/>
              <w:adjustRightInd w:val="0"/>
              <w:snapToGrid w:val="0"/>
              <w:rPr>
                <w:b/>
                <w:kern w:val="0"/>
                <w:szCs w:val="21"/>
              </w:rPr>
            </w:pPr>
          </w:p>
          <w:p w14:paraId="3EC7F988" w14:textId="3E3F45CA" w:rsidR="00940171" w:rsidRPr="009212EF" w:rsidRDefault="007E6105" w:rsidP="00940171">
            <w:pPr>
              <w:widowControl/>
              <w:adjustRightInd w:val="0"/>
              <w:snapToGrid w:val="0"/>
              <w:rPr>
                <w:b/>
                <w:kern w:val="0"/>
                <w:szCs w:val="21"/>
              </w:rPr>
            </w:pPr>
            <w:r w:rsidRPr="009212EF">
              <w:rPr>
                <w:b/>
                <w:kern w:val="0"/>
                <w:szCs w:val="21"/>
              </w:rPr>
              <w:t>8</w:t>
            </w:r>
            <w:r w:rsidR="00940171" w:rsidRPr="009212EF">
              <w:rPr>
                <w:rFonts w:hint="eastAsia"/>
                <w:b/>
                <w:kern w:val="0"/>
                <w:szCs w:val="21"/>
              </w:rPr>
              <w:t>．问：展望公司未来</w:t>
            </w:r>
            <w:r w:rsidR="00940171" w:rsidRPr="009212EF">
              <w:rPr>
                <w:rFonts w:hint="eastAsia"/>
                <w:b/>
                <w:kern w:val="0"/>
                <w:szCs w:val="21"/>
              </w:rPr>
              <w:t>10</w:t>
            </w:r>
            <w:r w:rsidR="00940171" w:rsidRPr="009212EF">
              <w:rPr>
                <w:rFonts w:hint="eastAsia"/>
                <w:b/>
                <w:kern w:val="0"/>
                <w:szCs w:val="21"/>
              </w:rPr>
              <w:t>年</w:t>
            </w:r>
            <w:r w:rsidR="0095632E" w:rsidRPr="009212EF">
              <w:rPr>
                <w:rFonts w:hint="eastAsia"/>
                <w:b/>
                <w:kern w:val="0"/>
                <w:szCs w:val="21"/>
              </w:rPr>
              <w:t>-</w:t>
            </w:r>
            <w:r w:rsidR="00940171" w:rsidRPr="009212EF">
              <w:rPr>
                <w:rFonts w:hint="eastAsia"/>
                <w:b/>
                <w:kern w:val="0"/>
                <w:szCs w:val="21"/>
              </w:rPr>
              <w:t>20</w:t>
            </w:r>
            <w:r w:rsidR="00940171" w:rsidRPr="009212EF">
              <w:rPr>
                <w:rFonts w:hint="eastAsia"/>
                <w:b/>
                <w:kern w:val="0"/>
                <w:szCs w:val="21"/>
              </w:rPr>
              <w:t>年</w:t>
            </w:r>
            <w:r w:rsidR="00FA4FA7" w:rsidRPr="009212EF">
              <w:rPr>
                <w:rFonts w:hint="eastAsia"/>
                <w:b/>
                <w:kern w:val="0"/>
                <w:szCs w:val="21"/>
              </w:rPr>
              <w:t>预计</w:t>
            </w:r>
            <w:r w:rsidR="00940171" w:rsidRPr="009212EF">
              <w:rPr>
                <w:rFonts w:hint="eastAsia"/>
                <w:b/>
                <w:kern w:val="0"/>
                <w:szCs w:val="21"/>
              </w:rPr>
              <w:t>将会</w:t>
            </w:r>
            <w:r w:rsidR="006C261B" w:rsidRPr="009212EF">
              <w:rPr>
                <w:rFonts w:hint="eastAsia"/>
                <w:b/>
                <w:kern w:val="0"/>
                <w:szCs w:val="21"/>
              </w:rPr>
              <w:t>有</w:t>
            </w:r>
            <w:r w:rsidR="00940171" w:rsidRPr="009212EF">
              <w:rPr>
                <w:rFonts w:hint="eastAsia"/>
                <w:b/>
                <w:kern w:val="0"/>
                <w:szCs w:val="21"/>
              </w:rPr>
              <w:t>多大收入体量？</w:t>
            </w:r>
          </w:p>
          <w:p w14:paraId="0A95F0CD" w14:textId="53E44F57" w:rsidR="00940171" w:rsidRPr="009212EF" w:rsidRDefault="00940171" w:rsidP="00940171">
            <w:pPr>
              <w:widowControl/>
              <w:adjustRightInd w:val="0"/>
              <w:snapToGrid w:val="0"/>
              <w:ind w:firstLineChars="100" w:firstLine="210"/>
              <w:rPr>
                <w:kern w:val="0"/>
                <w:szCs w:val="21"/>
              </w:rPr>
            </w:pPr>
            <w:r w:rsidRPr="009212EF">
              <w:rPr>
                <w:rFonts w:hint="eastAsia"/>
                <w:kern w:val="0"/>
                <w:szCs w:val="21"/>
              </w:rPr>
              <w:t>答：公司</w:t>
            </w:r>
            <w:r w:rsidR="007A3374" w:rsidRPr="009212EF">
              <w:rPr>
                <w:rFonts w:hint="eastAsia"/>
                <w:kern w:val="0"/>
                <w:szCs w:val="21"/>
              </w:rPr>
              <w:t>近年来订单总规模保持增长，</w:t>
            </w:r>
            <w:r w:rsidRPr="009212EF">
              <w:rPr>
                <w:rFonts w:hint="eastAsia"/>
                <w:kern w:val="0"/>
                <w:szCs w:val="21"/>
              </w:rPr>
              <w:t>目前在手订单充足，业绩可期。公司将在保持合成树脂行业市场占有率优势的基础上，持续加大新材料、食品、医药等行业市场开发力度，提高公司产品在相关行业的覆盖率和渗透率，加大研发的人力、财力投入，并通过</w:t>
            </w:r>
            <w:proofErr w:type="gramStart"/>
            <w:r w:rsidRPr="009212EF">
              <w:rPr>
                <w:rFonts w:hint="eastAsia"/>
                <w:kern w:val="0"/>
                <w:szCs w:val="21"/>
              </w:rPr>
              <w:t>募投项目</w:t>
            </w:r>
            <w:proofErr w:type="gramEnd"/>
            <w:r w:rsidRPr="009212EF">
              <w:rPr>
                <w:rFonts w:hint="eastAsia"/>
                <w:kern w:val="0"/>
                <w:szCs w:val="21"/>
              </w:rPr>
              <w:t>实施等提升产能，不断自主创新，提高核心竞争力，力争取得经营业绩进一步提升。</w:t>
            </w:r>
          </w:p>
          <w:p w14:paraId="246309BD" w14:textId="77777777" w:rsidR="00940171" w:rsidRPr="009212EF" w:rsidRDefault="00940171" w:rsidP="00940171">
            <w:pPr>
              <w:widowControl/>
              <w:adjustRightInd w:val="0"/>
              <w:snapToGrid w:val="0"/>
              <w:rPr>
                <w:b/>
                <w:kern w:val="0"/>
                <w:szCs w:val="21"/>
              </w:rPr>
            </w:pPr>
          </w:p>
          <w:p w14:paraId="0029AF47" w14:textId="7F0A46A1" w:rsidR="00940171" w:rsidRPr="009212EF" w:rsidRDefault="007E6105" w:rsidP="0022490E">
            <w:pPr>
              <w:widowControl/>
              <w:adjustRightInd w:val="0"/>
              <w:snapToGrid w:val="0"/>
              <w:rPr>
                <w:b/>
                <w:kern w:val="0"/>
                <w:szCs w:val="21"/>
              </w:rPr>
            </w:pPr>
            <w:r w:rsidRPr="009212EF">
              <w:rPr>
                <w:b/>
                <w:kern w:val="0"/>
                <w:szCs w:val="21"/>
              </w:rPr>
              <w:t>9</w:t>
            </w:r>
            <w:r w:rsidR="002D6003" w:rsidRPr="009212EF">
              <w:rPr>
                <w:rFonts w:hint="eastAsia"/>
                <w:b/>
                <w:kern w:val="0"/>
                <w:szCs w:val="21"/>
              </w:rPr>
              <w:t>．问：公司</w:t>
            </w:r>
            <w:r w:rsidR="00660BEB" w:rsidRPr="009212EF">
              <w:rPr>
                <w:rFonts w:hint="eastAsia"/>
                <w:b/>
                <w:kern w:val="0"/>
                <w:szCs w:val="21"/>
              </w:rPr>
              <w:t>的核心竞争力有哪些</w:t>
            </w:r>
            <w:r w:rsidR="00A0654C" w:rsidRPr="009212EF">
              <w:rPr>
                <w:rFonts w:hint="eastAsia"/>
                <w:b/>
                <w:kern w:val="0"/>
                <w:szCs w:val="21"/>
              </w:rPr>
              <w:t>？</w:t>
            </w:r>
          </w:p>
          <w:p w14:paraId="58F784F5" w14:textId="079EDF6F" w:rsidR="00AF62C1" w:rsidRPr="009212EF" w:rsidRDefault="002D6003" w:rsidP="00220C11">
            <w:pPr>
              <w:widowControl/>
              <w:adjustRightInd w:val="0"/>
              <w:snapToGrid w:val="0"/>
              <w:ind w:firstLineChars="100" w:firstLine="210"/>
              <w:rPr>
                <w:kern w:val="0"/>
                <w:szCs w:val="21"/>
              </w:rPr>
            </w:pPr>
            <w:r w:rsidRPr="009212EF">
              <w:rPr>
                <w:rFonts w:hint="eastAsia"/>
                <w:kern w:val="0"/>
                <w:szCs w:val="21"/>
              </w:rPr>
              <w:t>答</w:t>
            </w:r>
            <w:r w:rsidR="00AF62C1" w:rsidRPr="009212EF">
              <w:rPr>
                <w:rFonts w:hint="eastAsia"/>
                <w:kern w:val="0"/>
                <w:szCs w:val="21"/>
              </w:rPr>
              <w:t>：公司拥有精准的专用系统算法和仿真模拟、突出的方案设计及工程应用能力、优秀的大型系统集成能力、完备的技术体系、</w:t>
            </w:r>
            <w:r w:rsidR="00AF62C1" w:rsidRPr="009212EF">
              <w:rPr>
                <w:rFonts w:hint="eastAsia"/>
              </w:rPr>
              <w:t>研发创新能力等</w:t>
            </w:r>
            <w:r w:rsidR="00AF62C1" w:rsidRPr="009212EF">
              <w:rPr>
                <w:rFonts w:hint="eastAsia"/>
                <w:kern w:val="0"/>
                <w:szCs w:val="21"/>
              </w:rPr>
              <w:t>技术研发优势，</w:t>
            </w:r>
            <w:r w:rsidR="00AF62C1" w:rsidRPr="009212EF">
              <w:rPr>
                <w:color w:val="000000" w:themeColor="text1"/>
                <w:szCs w:val="21"/>
              </w:rPr>
              <w:t>大型项目实施过程管理</w:t>
            </w:r>
            <w:r w:rsidR="00AF62C1" w:rsidRPr="009212EF">
              <w:rPr>
                <w:rFonts w:hint="eastAsia"/>
                <w:color w:val="000000" w:themeColor="text1"/>
                <w:szCs w:val="21"/>
              </w:rPr>
              <w:t>优势和经济效益与社会效益相统一等核心竞争力。</w:t>
            </w:r>
            <w:r w:rsidR="00AF62C1" w:rsidRPr="009212EF">
              <w:rPr>
                <w:rFonts w:hint="eastAsia"/>
                <w:kern w:val="0"/>
                <w:szCs w:val="21"/>
              </w:rPr>
              <w:t>公司近十年来承接了国内接近一半的聚烯烃气力输送系统项目，累计完成的大型气力输送系统项目达上百个，提供上千条气力输送线，覆盖多种产品种类、工艺路线。公司气力输送系统产品</w:t>
            </w:r>
            <w:r w:rsidR="00AF62C1" w:rsidRPr="009212EF">
              <w:rPr>
                <w:rFonts w:hint="eastAsia"/>
                <w:kern w:val="0"/>
                <w:szCs w:val="21"/>
              </w:rPr>
              <w:t>2020-2023</w:t>
            </w:r>
            <w:r w:rsidR="00AF62C1" w:rsidRPr="009212EF">
              <w:rPr>
                <w:rFonts w:hint="eastAsia"/>
                <w:kern w:val="0"/>
                <w:szCs w:val="21"/>
              </w:rPr>
              <w:t>年在国内合成树脂领域合计市场占有率持续保持在</w:t>
            </w:r>
            <w:r w:rsidR="00AF62C1" w:rsidRPr="009212EF">
              <w:rPr>
                <w:rFonts w:hint="eastAsia"/>
                <w:kern w:val="0"/>
                <w:szCs w:val="21"/>
              </w:rPr>
              <w:t>30%</w:t>
            </w:r>
            <w:r w:rsidR="00AF62C1" w:rsidRPr="009212EF">
              <w:rPr>
                <w:rFonts w:hint="eastAsia"/>
                <w:kern w:val="0"/>
                <w:szCs w:val="21"/>
              </w:rPr>
              <w:t>以上，居行业首位。公司设计生产的众多气力输送系统至今运行良好，各项指标稳定性、经济性均已达到同行业领先水平。在气力输送系统装备领域“博隆”品牌获得客户广泛认可。</w:t>
            </w:r>
          </w:p>
          <w:p w14:paraId="4CA4674C" w14:textId="02B90E2D" w:rsidR="00220C11" w:rsidRPr="009212EF" w:rsidRDefault="00220C11" w:rsidP="00220C11">
            <w:pPr>
              <w:widowControl/>
              <w:adjustRightInd w:val="0"/>
              <w:snapToGrid w:val="0"/>
              <w:ind w:firstLineChars="100" w:firstLine="210"/>
              <w:rPr>
                <w:kern w:val="0"/>
                <w:szCs w:val="21"/>
              </w:rPr>
            </w:pPr>
          </w:p>
          <w:p w14:paraId="10617DF0" w14:textId="6567C695" w:rsidR="00220C11" w:rsidRPr="009212EF" w:rsidRDefault="007E6105" w:rsidP="00220C11">
            <w:pPr>
              <w:widowControl/>
              <w:adjustRightInd w:val="0"/>
              <w:snapToGrid w:val="0"/>
              <w:rPr>
                <w:b/>
                <w:kern w:val="0"/>
                <w:szCs w:val="21"/>
              </w:rPr>
            </w:pPr>
            <w:r w:rsidRPr="009212EF">
              <w:rPr>
                <w:b/>
                <w:kern w:val="0"/>
                <w:szCs w:val="21"/>
              </w:rPr>
              <w:t>10</w:t>
            </w:r>
            <w:r w:rsidR="00220C11" w:rsidRPr="009212EF">
              <w:rPr>
                <w:rFonts w:hint="eastAsia"/>
                <w:b/>
                <w:kern w:val="0"/>
                <w:szCs w:val="21"/>
              </w:rPr>
              <w:t>．问：客户指定采购的原因是什么？公司是否具备相关设备生产能力？</w:t>
            </w:r>
          </w:p>
          <w:p w14:paraId="58B7B177" w14:textId="32171E6F" w:rsidR="00A806E5" w:rsidRPr="009212EF" w:rsidRDefault="00220C11" w:rsidP="00A806E5">
            <w:pPr>
              <w:widowControl/>
              <w:adjustRightInd w:val="0"/>
              <w:snapToGrid w:val="0"/>
              <w:ind w:firstLineChars="100" w:firstLine="210"/>
              <w:rPr>
                <w:kern w:val="0"/>
                <w:szCs w:val="21"/>
              </w:rPr>
            </w:pPr>
            <w:r w:rsidRPr="009212EF">
              <w:rPr>
                <w:rFonts w:hint="eastAsia"/>
                <w:kern w:val="0"/>
                <w:szCs w:val="21"/>
              </w:rPr>
              <w:t>答：由于大型石化、化工装置对</w:t>
            </w:r>
            <w:r w:rsidR="0014424F">
              <w:rPr>
                <w:rFonts w:hint="eastAsia"/>
                <w:kern w:val="0"/>
                <w:szCs w:val="21"/>
              </w:rPr>
              <w:t>安全性、</w:t>
            </w:r>
            <w:r w:rsidRPr="009212EF">
              <w:rPr>
                <w:rFonts w:hint="eastAsia"/>
                <w:kern w:val="0"/>
                <w:szCs w:val="21"/>
              </w:rPr>
              <w:t>生产稳定性的严苛要求，客户在前期技术交流和招标时通常会对系统中的部分关键设备及部件指定</w:t>
            </w:r>
            <w:r w:rsidR="0014424F">
              <w:rPr>
                <w:rFonts w:hint="eastAsia"/>
                <w:kern w:val="0"/>
                <w:szCs w:val="21"/>
              </w:rPr>
              <w:t>数家</w:t>
            </w:r>
            <w:r w:rsidRPr="009212EF">
              <w:rPr>
                <w:rFonts w:hint="eastAsia"/>
                <w:kern w:val="0"/>
                <w:szCs w:val="21"/>
              </w:rPr>
              <w:t>品牌，由投标单位</w:t>
            </w:r>
            <w:r w:rsidR="0014424F">
              <w:rPr>
                <w:rFonts w:hint="eastAsia"/>
                <w:kern w:val="0"/>
                <w:szCs w:val="21"/>
              </w:rPr>
              <w:t>在指定的品牌范围中自主定制及选型</w:t>
            </w:r>
            <w:r w:rsidRPr="009212EF">
              <w:rPr>
                <w:rFonts w:hint="eastAsia"/>
                <w:kern w:val="0"/>
                <w:szCs w:val="21"/>
              </w:rPr>
              <w:t>。</w:t>
            </w:r>
          </w:p>
          <w:p w14:paraId="451BF994" w14:textId="5D01A271" w:rsidR="00220C11" w:rsidRPr="009212EF" w:rsidRDefault="00A806E5" w:rsidP="00A806E5">
            <w:pPr>
              <w:widowControl/>
              <w:adjustRightInd w:val="0"/>
              <w:snapToGrid w:val="0"/>
              <w:ind w:firstLineChars="100" w:firstLine="210"/>
              <w:rPr>
                <w:kern w:val="0"/>
                <w:szCs w:val="21"/>
              </w:rPr>
            </w:pPr>
            <w:r w:rsidRPr="009212EF">
              <w:rPr>
                <w:rFonts w:hint="eastAsia"/>
                <w:kern w:val="0"/>
                <w:szCs w:val="21"/>
              </w:rPr>
              <w:t>近年来，公司经过多年自主研发和实际应用已经具备大部分关键部件的设计和生产能力，并取得和掌握多项相关专利和技术诀窍，能够满足各类气力输送项目的要求。目前，公司自主设计生产的关键部件已成功应用于部分气力输送系统项目中，并不断扩大应用范围。</w:t>
            </w:r>
          </w:p>
          <w:p w14:paraId="57D05937" w14:textId="77777777" w:rsidR="00220C11" w:rsidRPr="009212EF" w:rsidRDefault="00220C11" w:rsidP="0022490E">
            <w:pPr>
              <w:widowControl/>
              <w:adjustRightInd w:val="0"/>
              <w:snapToGrid w:val="0"/>
              <w:rPr>
                <w:b/>
                <w:kern w:val="0"/>
                <w:szCs w:val="21"/>
              </w:rPr>
            </w:pPr>
          </w:p>
          <w:p w14:paraId="370588D2" w14:textId="28A5845C" w:rsidR="00A0654C" w:rsidRPr="009212EF" w:rsidRDefault="00A806E5" w:rsidP="0022490E">
            <w:pPr>
              <w:widowControl/>
              <w:adjustRightInd w:val="0"/>
              <w:snapToGrid w:val="0"/>
              <w:rPr>
                <w:b/>
                <w:kern w:val="0"/>
                <w:szCs w:val="21"/>
              </w:rPr>
            </w:pPr>
            <w:r w:rsidRPr="009212EF">
              <w:rPr>
                <w:b/>
                <w:kern w:val="0"/>
                <w:szCs w:val="21"/>
              </w:rPr>
              <w:t>1</w:t>
            </w:r>
            <w:r w:rsidR="007E6105" w:rsidRPr="009212EF">
              <w:rPr>
                <w:b/>
                <w:kern w:val="0"/>
                <w:szCs w:val="21"/>
              </w:rPr>
              <w:t>1</w:t>
            </w:r>
            <w:r w:rsidRPr="009212EF">
              <w:rPr>
                <w:rFonts w:hint="eastAsia"/>
                <w:b/>
                <w:kern w:val="0"/>
                <w:szCs w:val="21"/>
              </w:rPr>
              <w:t>．问：</w:t>
            </w:r>
            <w:r w:rsidR="007E6105" w:rsidRPr="009212EF">
              <w:rPr>
                <w:rFonts w:hint="eastAsia"/>
                <w:b/>
                <w:kern w:val="0"/>
                <w:szCs w:val="21"/>
              </w:rPr>
              <w:t>公司产品的制造模式是怎样的？</w:t>
            </w:r>
          </w:p>
          <w:p w14:paraId="588ECB5E" w14:textId="1C5298DF" w:rsidR="00A806E5" w:rsidRPr="009212EF" w:rsidRDefault="00A806E5" w:rsidP="00A806E5">
            <w:pPr>
              <w:widowControl/>
              <w:adjustRightInd w:val="0"/>
              <w:snapToGrid w:val="0"/>
              <w:ind w:firstLineChars="100" w:firstLine="210"/>
              <w:rPr>
                <w:kern w:val="0"/>
                <w:szCs w:val="21"/>
              </w:rPr>
            </w:pPr>
            <w:r w:rsidRPr="009212EF">
              <w:rPr>
                <w:rFonts w:hint="eastAsia"/>
                <w:kern w:val="0"/>
                <w:szCs w:val="21"/>
              </w:rPr>
              <w:t>答：</w:t>
            </w:r>
            <w:r w:rsidR="00FA4FA7" w:rsidRPr="009212EF">
              <w:rPr>
                <w:rFonts w:hint="eastAsia"/>
                <w:kern w:val="0"/>
                <w:szCs w:val="21"/>
              </w:rPr>
              <w:t>公司主要产品属于定制化的大型成套装备</w:t>
            </w:r>
            <w:r w:rsidR="00535E9C" w:rsidRPr="009212EF">
              <w:rPr>
                <w:rFonts w:hint="eastAsia"/>
                <w:kern w:val="0"/>
                <w:szCs w:val="21"/>
              </w:rPr>
              <w:t>，</w:t>
            </w:r>
            <w:r w:rsidR="007E6105" w:rsidRPr="009212EF">
              <w:rPr>
                <w:rFonts w:hint="eastAsia"/>
                <w:kern w:val="0"/>
                <w:szCs w:val="21"/>
              </w:rPr>
              <w:t>在系统详细设计完成后，对于需要制造的设备，公司依据详细设计文件采用自制加工或外协加工方式安排加工制造工作。采购部根据生产情况及详细的技术文件对材料类、主要外协件、部分标准零部件开展采购工作，公司检验工程师对生产工序质量进行全程的管理和控制，保证生产的部件完全满足产品后续生产和组装的需求。</w:t>
            </w:r>
            <w:r w:rsidR="00C75781" w:rsidRPr="009212EF">
              <w:rPr>
                <w:rFonts w:hint="eastAsia"/>
                <w:kern w:val="0"/>
                <w:szCs w:val="21"/>
              </w:rPr>
              <w:t>机械加工中心依据详细设计文件编制生产计划</w:t>
            </w:r>
            <w:r w:rsidR="009912E0" w:rsidRPr="009212EF">
              <w:rPr>
                <w:rFonts w:hint="eastAsia"/>
                <w:kern w:val="0"/>
                <w:szCs w:val="21"/>
              </w:rPr>
              <w:t>，进行加工、装配、调试</w:t>
            </w:r>
            <w:r w:rsidR="00C02849" w:rsidRPr="009212EF">
              <w:rPr>
                <w:rFonts w:hint="eastAsia"/>
                <w:kern w:val="0"/>
                <w:szCs w:val="21"/>
              </w:rPr>
              <w:t>。</w:t>
            </w:r>
            <w:r w:rsidR="007E6105" w:rsidRPr="009212EF">
              <w:rPr>
                <w:rFonts w:hint="eastAsia"/>
                <w:kern w:val="0"/>
                <w:szCs w:val="21"/>
              </w:rPr>
              <w:t>对于预制管线、部分</w:t>
            </w:r>
            <w:proofErr w:type="gramStart"/>
            <w:r w:rsidR="007E6105" w:rsidRPr="009212EF">
              <w:rPr>
                <w:rFonts w:hint="eastAsia"/>
                <w:kern w:val="0"/>
                <w:szCs w:val="21"/>
              </w:rPr>
              <w:t>料仓以及</w:t>
            </w:r>
            <w:proofErr w:type="gramEnd"/>
            <w:r w:rsidR="007E6105" w:rsidRPr="009212EF">
              <w:rPr>
                <w:rFonts w:hint="eastAsia"/>
                <w:kern w:val="0"/>
                <w:szCs w:val="21"/>
              </w:rPr>
              <w:t>生产过程中的简单工序，由外协加工厂商按照公司提供的主要原材料、图纸或技术要求进行加工生产，公司检验工程师进行质量检验。</w:t>
            </w:r>
          </w:p>
          <w:p w14:paraId="394B13D1" w14:textId="77777777" w:rsidR="00A806E5" w:rsidRPr="009212EF" w:rsidRDefault="00A806E5" w:rsidP="0022490E">
            <w:pPr>
              <w:widowControl/>
              <w:adjustRightInd w:val="0"/>
              <w:snapToGrid w:val="0"/>
              <w:rPr>
                <w:b/>
                <w:kern w:val="0"/>
                <w:szCs w:val="21"/>
              </w:rPr>
            </w:pPr>
          </w:p>
          <w:p w14:paraId="4542B566" w14:textId="001AFDFB" w:rsidR="00497F54" w:rsidRPr="009212EF" w:rsidRDefault="00361F0C" w:rsidP="0022490E">
            <w:pPr>
              <w:widowControl/>
              <w:adjustRightInd w:val="0"/>
              <w:snapToGrid w:val="0"/>
              <w:rPr>
                <w:b/>
                <w:kern w:val="0"/>
                <w:szCs w:val="21"/>
              </w:rPr>
            </w:pPr>
            <w:r w:rsidRPr="009212EF">
              <w:rPr>
                <w:rFonts w:hint="eastAsia"/>
                <w:b/>
                <w:kern w:val="0"/>
                <w:szCs w:val="21"/>
              </w:rPr>
              <w:t>1</w:t>
            </w:r>
            <w:r w:rsidRPr="009212EF">
              <w:rPr>
                <w:b/>
                <w:kern w:val="0"/>
                <w:szCs w:val="21"/>
              </w:rPr>
              <w:t>2</w:t>
            </w:r>
            <w:r w:rsidRPr="009212EF">
              <w:rPr>
                <w:rFonts w:hint="eastAsia"/>
                <w:b/>
                <w:kern w:val="0"/>
                <w:szCs w:val="21"/>
              </w:rPr>
              <w:t>．问：</w:t>
            </w:r>
            <w:r w:rsidR="00121949" w:rsidRPr="009212EF">
              <w:rPr>
                <w:rFonts w:hint="eastAsia"/>
                <w:b/>
                <w:kern w:val="0"/>
                <w:szCs w:val="21"/>
              </w:rPr>
              <w:t>化工装置的使用寿命多久？</w:t>
            </w:r>
            <w:r w:rsidR="00497F54" w:rsidRPr="009212EF">
              <w:rPr>
                <w:rFonts w:hint="eastAsia"/>
                <w:b/>
                <w:kern w:val="0"/>
                <w:szCs w:val="21"/>
              </w:rPr>
              <w:t>国内旧项目更新改造未来两年是什么样的情况？</w:t>
            </w:r>
          </w:p>
          <w:p w14:paraId="3EE90D7E" w14:textId="6F82C8C8" w:rsidR="00121949" w:rsidRPr="009212EF" w:rsidRDefault="00361F0C" w:rsidP="006A252E">
            <w:pPr>
              <w:widowControl/>
              <w:adjustRightInd w:val="0"/>
              <w:snapToGrid w:val="0"/>
              <w:ind w:firstLineChars="100" w:firstLine="210"/>
              <w:rPr>
                <w:kern w:val="0"/>
                <w:szCs w:val="21"/>
              </w:rPr>
            </w:pPr>
            <w:r w:rsidRPr="009212EF">
              <w:rPr>
                <w:rFonts w:hint="eastAsia"/>
                <w:kern w:val="0"/>
                <w:szCs w:val="21"/>
              </w:rPr>
              <w:t>答：</w:t>
            </w:r>
            <w:r w:rsidR="0067057E">
              <w:t>一般来说，化工装置中的主要设备设计使用寿命在</w:t>
            </w:r>
            <w:r w:rsidR="0067057E">
              <w:t>30</w:t>
            </w:r>
            <w:r w:rsidR="0067057E">
              <w:t>年以内，国内上世纪八、九十年代建设投产的一大批装置面临更新和改造的时间窗口。</w:t>
            </w:r>
          </w:p>
          <w:p w14:paraId="1FD23BA2" w14:textId="4B90028D" w:rsidR="00121949" w:rsidRPr="009212EF" w:rsidRDefault="00121949" w:rsidP="00361F0C">
            <w:pPr>
              <w:widowControl/>
              <w:adjustRightInd w:val="0"/>
              <w:snapToGrid w:val="0"/>
              <w:ind w:firstLineChars="100" w:firstLine="210"/>
              <w:rPr>
                <w:kern w:val="0"/>
                <w:szCs w:val="21"/>
              </w:rPr>
            </w:pPr>
            <w:r w:rsidRPr="009212EF">
              <w:rPr>
                <w:rFonts w:hint="eastAsia"/>
                <w:kern w:val="0"/>
                <w:szCs w:val="21"/>
              </w:rPr>
              <w:lastRenderedPageBreak/>
              <w:t>近期，在国务院发布的政策下，工业和信息化部等七部门出台了《推动工业领域设备更新实施方案》，推动工业领域设备更新和技术改造。预计在相关政策的推动下，下游行业将加大转型升级、加大投资力度。</w:t>
            </w:r>
          </w:p>
          <w:p w14:paraId="6EBEBA4E" w14:textId="77777777" w:rsidR="009129A5" w:rsidRPr="009212EF" w:rsidRDefault="009129A5" w:rsidP="00361F0C">
            <w:pPr>
              <w:widowControl/>
              <w:adjustRightInd w:val="0"/>
              <w:snapToGrid w:val="0"/>
              <w:ind w:firstLineChars="100" w:firstLine="210"/>
              <w:rPr>
                <w:kern w:val="0"/>
                <w:szCs w:val="21"/>
              </w:rPr>
            </w:pPr>
          </w:p>
          <w:p w14:paraId="1F3F77A5" w14:textId="6069331B" w:rsidR="000F1B37" w:rsidRPr="009212EF" w:rsidRDefault="009129A5" w:rsidP="000F1B37">
            <w:pPr>
              <w:widowControl/>
              <w:adjustRightInd w:val="0"/>
              <w:snapToGrid w:val="0"/>
              <w:rPr>
                <w:b/>
                <w:kern w:val="0"/>
                <w:szCs w:val="21"/>
              </w:rPr>
            </w:pPr>
            <w:r w:rsidRPr="009212EF">
              <w:rPr>
                <w:rFonts w:hint="eastAsia"/>
                <w:b/>
                <w:kern w:val="0"/>
                <w:szCs w:val="21"/>
              </w:rPr>
              <w:t>1</w:t>
            </w:r>
            <w:r w:rsidRPr="009212EF">
              <w:rPr>
                <w:b/>
                <w:kern w:val="0"/>
                <w:szCs w:val="21"/>
              </w:rPr>
              <w:t>3</w:t>
            </w:r>
            <w:r w:rsidR="000F1B37" w:rsidRPr="009212EF">
              <w:rPr>
                <w:rFonts w:hint="eastAsia"/>
                <w:b/>
                <w:kern w:val="0"/>
                <w:szCs w:val="21"/>
              </w:rPr>
              <w:t>．问：</w:t>
            </w:r>
            <w:proofErr w:type="gramStart"/>
            <w:r w:rsidRPr="009212EF">
              <w:rPr>
                <w:rFonts w:hint="eastAsia"/>
                <w:b/>
                <w:kern w:val="0"/>
                <w:szCs w:val="21"/>
              </w:rPr>
              <w:t>公司员</w:t>
            </w:r>
            <w:proofErr w:type="gramEnd"/>
            <w:r w:rsidRPr="009212EF">
              <w:rPr>
                <w:rFonts w:hint="eastAsia"/>
                <w:b/>
                <w:kern w:val="0"/>
                <w:szCs w:val="21"/>
              </w:rPr>
              <w:t>工稳定性高吗？</w:t>
            </w:r>
            <w:r w:rsidR="005B64BA" w:rsidRPr="009212EF">
              <w:rPr>
                <w:rFonts w:hint="eastAsia"/>
                <w:b/>
                <w:kern w:val="0"/>
                <w:szCs w:val="21"/>
              </w:rPr>
              <w:t>业务人员的薪酬结算方案是怎样的？</w:t>
            </w:r>
            <w:r w:rsidRPr="009212EF">
              <w:rPr>
                <w:rFonts w:hint="eastAsia"/>
                <w:b/>
                <w:kern w:val="0"/>
                <w:szCs w:val="21"/>
              </w:rPr>
              <w:t>是否考虑股权激励？</w:t>
            </w:r>
          </w:p>
          <w:p w14:paraId="60DDAEB6" w14:textId="27BF6D7E" w:rsidR="000F1B37" w:rsidRPr="009212EF" w:rsidRDefault="000F1B37" w:rsidP="005E15CF">
            <w:pPr>
              <w:widowControl/>
              <w:adjustRightInd w:val="0"/>
              <w:snapToGrid w:val="0"/>
              <w:ind w:firstLineChars="100" w:firstLine="210"/>
              <w:rPr>
                <w:kern w:val="0"/>
                <w:szCs w:val="21"/>
              </w:rPr>
            </w:pPr>
            <w:r w:rsidRPr="009212EF">
              <w:rPr>
                <w:rFonts w:hint="eastAsia"/>
                <w:kern w:val="0"/>
                <w:szCs w:val="21"/>
              </w:rPr>
              <w:t>答：</w:t>
            </w:r>
            <w:r w:rsidR="00322B1B" w:rsidRPr="009212EF">
              <w:rPr>
                <w:rFonts w:hint="eastAsia"/>
                <w:kern w:val="0"/>
                <w:szCs w:val="21"/>
              </w:rPr>
              <w:t>公司</w:t>
            </w:r>
            <w:r w:rsidR="006158C5" w:rsidRPr="009212EF">
              <w:rPr>
                <w:rFonts w:hint="eastAsia"/>
                <w:kern w:val="0"/>
                <w:szCs w:val="21"/>
              </w:rPr>
              <w:t>主要技术人员在公司任职均超过</w:t>
            </w:r>
            <w:r w:rsidR="006158C5" w:rsidRPr="009212EF">
              <w:rPr>
                <w:rFonts w:hint="eastAsia"/>
                <w:kern w:val="0"/>
                <w:szCs w:val="21"/>
              </w:rPr>
              <w:t>10</w:t>
            </w:r>
            <w:r w:rsidR="006158C5" w:rsidRPr="009212EF">
              <w:rPr>
                <w:rFonts w:hint="eastAsia"/>
                <w:kern w:val="0"/>
                <w:szCs w:val="21"/>
              </w:rPr>
              <w:t>年</w:t>
            </w:r>
            <w:r w:rsidR="00C02849" w:rsidRPr="009212EF">
              <w:rPr>
                <w:rFonts w:hint="eastAsia"/>
                <w:kern w:val="0"/>
                <w:szCs w:val="21"/>
              </w:rPr>
              <w:t>。</w:t>
            </w:r>
            <w:r w:rsidR="005B64BA" w:rsidRPr="009212EF">
              <w:rPr>
                <w:rFonts w:hint="eastAsia"/>
                <w:kern w:val="0"/>
                <w:szCs w:val="21"/>
              </w:rPr>
              <w:t>公司积极创造有利于优秀人才脱颖而出的良好氛围，建立有利于员工发展成长的，以岗位为基础，以绩效为导向的薪酬管理体系。形成责权利相统一，报酬与贡献相对称的激励约束机制和薪酬体系。</w:t>
            </w:r>
            <w:r w:rsidR="00322B1B" w:rsidRPr="009212EF">
              <w:rPr>
                <w:rFonts w:hint="eastAsia"/>
                <w:kern w:val="0"/>
                <w:szCs w:val="21"/>
              </w:rPr>
              <w:t>公司后续将结合公司实际情况适时推出对核心骨干员工的</w:t>
            </w:r>
            <w:r w:rsidR="005E15CF" w:rsidRPr="009212EF">
              <w:rPr>
                <w:rFonts w:hint="eastAsia"/>
                <w:kern w:val="0"/>
                <w:szCs w:val="21"/>
              </w:rPr>
              <w:t>激励计划，激发员工的工作积极性和创造性，为公司发展提供人才支撑。</w:t>
            </w:r>
          </w:p>
          <w:p w14:paraId="29CCA126" w14:textId="4B6FE4B9" w:rsidR="000F1B37" w:rsidRPr="009212EF" w:rsidRDefault="000F1B37" w:rsidP="00121949">
            <w:pPr>
              <w:widowControl/>
              <w:adjustRightInd w:val="0"/>
              <w:snapToGrid w:val="0"/>
              <w:ind w:firstLineChars="100" w:firstLine="210"/>
              <w:rPr>
                <w:kern w:val="0"/>
                <w:szCs w:val="21"/>
              </w:rPr>
            </w:pPr>
          </w:p>
          <w:p w14:paraId="72BA72C9" w14:textId="32902D5A" w:rsidR="003F73D8" w:rsidRPr="009212EF" w:rsidRDefault="009129A5" w:rsidP="003F73D8">
            <w:pPr>
              <w:widowControl/>
              <w:adjustRightInd w:val="0"/>
              <w:snapToGrid w:val="0"/>
              <w:rPr>
                <w:b/>
                <w:kern w:val="0"/>
                <w:szCs w:val="21"/>
              </w:rPr>
            </w:pPr>
            <w:r w:rsidRPr="009212EF">
              <w:rPr>
                <w:rFonts w:hint="eastAsia"/>
                <w:b/>
                <w:kern w:val="0"/>
                <w:szCs w:val="21"/>
              </w:rPr>
              <w:t>1</w:t>
            </w:r>
            <w:r w:rsidRPr="009212EF">
              <w:rPr>
                <w:b/>
                <w:kern w:val="0"/>
                <w:szCs w:val="21"/>
              </w:rPr>
              <w:t>4</w:t>
            </w:r>
            <w:r w:rsidR="003F73D8" w:rsidRPr="009212EF">
              <w:rPr>
                <w:rFonts w:hint="eastAsia"/>
                <w:b/>
                <w:kern w:val="0"/>
                <w:szCs w:val="21"/>
              </w:rPr>
              <w:t>．问：公司现有人员结构</w:t>
            </w:r>
            <w:r w:rsidR="00C02849" w:rsidRPr="009212EF">
              <w:rPr>
                <w:rFonts w:hint="eastAsia"/>
                <w:b/>
                <w:kern w:val="0"/>
                <w:szCs w:val="21"/>
              </w:rPr>
              <w:t>能否满足公司的业务发展需要</w:t>
            </w:r>
            <w:r w:rsidR="003F73D8" w:rsidRPr="009212EF">
              <w:rPr>
                <w:rFonts w:hint="eastAsia"/>
                <w:b/>
                <w:kern w:val="0"/>
                <w:szCs w:val="21"/>
              </w:rPr>
              <w:t>？</w:t>
            </w:r>
          </w:p>
          <w:p w14:paraId="1EA673F0" w14:textId="3206C24B" w:rsidR="003F73D8" w:rsidRPr="009212EF" w:rsidRDefault="003F73D8" w:rsidP="00C02849">
            <w:pPr>
              <w:widowControl/>
              <w:adjustRightInd w:val="0"/>
              <w:snapToGrid w:val="0"/>
              <w:ind w:firstLineChars="100" w:firstLine="210"/>
              <w:rPr>
                <w:kern w:val="0"/>
                <w:szCs w:val="21"/>
              </w:rPr>
            </w:pPr>
            <w:r w:rsidRPr="009212EF">
              <w:rPr>
                <w:rFonts w:hint="eastAsia"/>
                <w:kern w:val="0"/>
                <w:szCs w:val="21"/>
              </w:rPr>
              <w:t>答：因业务规模持续扩大，</w:t>
            </w:r>
            <w:r w:rsidR="00A41013" w:rsidRPr="009212EF">
              <w:rPr>
                <w:rFonts w:hint="eastAsia"/>
                <w:kern w:val="0"/>
                <w:szCs w:val="21"/>
              </w:rPr>
              <w:t>近年</w:t>
            </w:r>
            <w:r w:rsidRPr="009212EF">
              <w:rPr>
                <w:rFonts w:hint="eastAsia"/>
                <w:kern w:val="0"/>
                <w:szCs w:val="21"/>
              </w:rPr>
              <w:t>公司产能饱和。一方面公司本部用于组装和发运的场地受限；另一方面市场、技术研发与生产人员短缺，无法有效满足公司扩大产能和向不同领域拓展的需要。公司近年来一直在大力加强培养、引进优秀人才，使人才数量、技能结构、梯队建设方面能够满足企业快速扩张和发展需要。随着</w:t>
            </w:r>
            <w:proofErr w:type="gramStart"/>
            <w:r w:rsidRPr="009212EF">
              <w:rPr>
                <w:rFonts w:hint="eastAsia"/>
                <w:kern w:val="0"/>
                <w:szCs w:val="21"/>
              </w:rPr>
              <w:t>募投项目</w:t>
            </w:r>
            <w:proofErr w:type="gramEnd"/>
            <w:r w:rsidRPr="009212EF">
              <w:rPr>
                <w:rFonts w:hint="eastAsia"/>
                <w:kern w:val="0"/>
                <w:szCs w:val="21"/>
              </w:rPr>
              <w:t>建设的推进和人才持续培养，预计将有效缓解公司的产能瓶颈，公司综合竞争力将进一步提升。</w:t>
            </w:r>
          </w:p>
          <w:p w14:paraId="5D830FEF" w14:textId="08072443" w:rsidR="003F73D8" w:rsidRPr="009212EF" w:rsidRDefault="003F73D8" w:rsidP="003F73D8">
            <w:pPr>
              <w:widowControl/>
              <w:adjustRightInd w:val="0"/>
              <w:snapToGrid w:val="0"/>
              <w:ind w:firstLineChars="100" w:firstLine="210"/>
              <w:rPr>
                <w:kern w:val="0"/>
                <w:szCs w:val="21"/>
              </w:rPr>
            </w:pPr>
          </w:p>
          <w:p w14:paraId="37182231" w14:textId="6E8826C4" w:rsidR="009129A5" w:rsidRPr="009212EF" w:rsidRDefault="009129A5" w:rsidP="009129A5">
            <w:pPr>
              <w:widowControl/>
              <w:adjustRightInd w:val="0"/>
              <w:snapToGrid w:val="0"/>
              <w:rPr>
                <w:b/>
                <w:kern w:val="0"/>
                <w:szCs w:val="21"/>
              </w:rPr>
            </w:pPr>
            <w:r w:rsidRPr="009212EF">
              <w:rPr>
                <w:rFonts w:hint="eastAsia"/>
                <w:b/>
                <w:kern w:val="0"/>
                <w:szCs w:val="21"/>
              </w:rPr>
              <w:t>1</w:t>
            </w:r>
            <w:r w:rsidRPr="009212EF">
              <w:rPr>
                <w:b/>
                <w:kern w:val="0"/>
                <w:szCs w:val="21"/>
              </w:rPr>
              <w:t>5</w:t>
            </w:r>
            <w:r w:rsidRPr="009212EF">
              <w:rPr>
                <w:rFonts w:hint="eastAsia"/>
                <w:b/>
                <w:kern w:val="0"/>
                <w:szCs w:val="21"/>
              </w:rPr>
              <w:t>．问：募集资金的使用情况如何？</w:t>
            </w:r>
          </w:p>
          <w:p w14:paraId="33E48DAA" w14:textId="6EDD424D" w:rsidR="009129A5" w:rsidRPr="009212EF" w:rsidRDefault="009129A5" w:rsidP="009129A5">
            <w:pPr>
              <w:widowControl/>
              <w:adjustRightInd w:val="0"/>
              <w:snapToGrid w:val="0"/>
              <w:ind w:firstLineChars="100" w:firstLine="210"/>
              <w:jc w:val="left"/>
              <w:rPr>
                <w:kern w:val="0"/>
                <w:szCs w:val="21"/>
              </w:rPr>
            </w:pPr>
            <w:r w:rsidRPr="009212EF">
              <w:rPr>
                <w:rFonts w:hint="eastAsia"/>
                <w:kern w:val="0"/>
                <w:szCs w:val="21"/>
              </w:rPr>
              <w:t>答：本次发行募集资金主要用于聚烯烃气力输送成套装备项目、智能化粉粒体物料处理系统扩能改造项目、研发及总部大楼建设项目及补充流动资金项目。</w:t>
            </w:r>
            <w:r w:rsidR="00424BA6" w:rsidRPr="009212EF">
              <w:rPr>
                <w:rFonts w:hint="eastAsia"/>
                <w:kern w:val="0"/>
                <w:szCs w:val="21"/>
              </w:rPr>
              <w:t>本次</w:t>
            </w:r>
            <w:proofErr w:type="gramStart"/>
            <w:r w:rsidR="00424BA6" w:rsidRPr="009212EF">
              <w:rPr>
                <w:rFonts w:hint="eastAsia"/>
                <w:kern w:val="0"/>
                <w:szCs w:val="21"/>
              </w:rPr>
              <w:t>募投项目</w:t>
            </w:r>
            <w:proofErr w:type="gramEnd"/>
            <w:r w:rsidR="00424BA6" w:rsidRPr="009212EF">
              <w:rPr>
                <w:rFonts w:hint="eastAsia"/>
                <w:kern w:val="0"/>
                <w:szCs w:val="21"/>
              </w:rPr>
              <w:t>正在按照项目规划有序推进建设，</w:t>
            </w:r>
            <w:r w:rsidRPr="009212EF">
              <w:rPr>
                <w:rFonts w:hint="eastAsia"/>
                <w:kern w:val="0"/>
                <w:szCs w:val="21"/>
              </w:rPr>
              <w:t>公司严格按照法律法规的规定使用募集资金。</w:t>
            </w:r>
          </w:p>
          <w:p w14:paraId="621B80C2" w14:textId="77777777" w:rsidR="009129A5" w:rsidRPr="009212EF" w:rsidRDefault="009129A5" w:rsidP="009129A5">
            <w:pPr>
              <w:widowControl/>
              <w:adjustRightInd w:val="0"/>
              <w:snapToGrid w:val="0"/>
              <w:ind w:firstLineChars="100" w:firstLine="210"/>
              <w:rPr>
                <w:kern w:val="0"/>
                <w:szCs w:val="21"/>
              </w:rPr>
            </w:pPr>
          </w:p>
          <w:p w14:paraId="54276FB0" w14:textId="57BAC566" w:rsidR="009129A5" w:rsidRPr="009212EF" w:rsidRDefault="009129A5" w:rsidP="009129A5">
            <w:pPr>
              <w:widowControl/>
              <w:adjustRightInd w:val="0"/>
              <w:snapToGrid w:val="0"/>
              <w:rPr>
                <w:b/>
                <w:kern w:val="0"/>
                <w:szCs w:val="21"/>
              </w:rPr>
            </w:pPr>
            <w:r w:rsidRPr="009212EF">
              <w:rPr>
                <w:rFonts w:hint="eastAsia"/>
                <w:b/>
                <w:kern w:val="0"/>
                <w:szCs w:val="21"/>
              </w:rPr>
              <w:t>1</w:t>
            </w:r>
            <w:r w:rsidRPr="009212EF">
              <w:rPr>
                <w:b/>
                <w:kern w:val="0"/>
                <w:szCs w:val="21"/>
              </w:rPr>
              <w:t>6</w:t>
            </w:r>
            <w:r w:rsidRPr="009212EF">
              <w:rPr>
                <w:rFonts w:hint="eastAsia"/>
                <w:b/>
                <w:kern w:val="0"/>
                <w:szCs w:val="21"/>
              </w:rPr>
              <w:t>．问：</w:t>
            </w:r>
            <w:r w:rsidR="00C31FA8" w:rsidRPr="009212EF">
              <w:rPr>
                <w:rFonts w:hint="eastAsia"/>
                <w:b/>
                <w:kern w:val="0"/>
                <w:szCs w:val="21"/>
              </w:rPr>
              <w:t>新“国九条”提出，要增强分红稳定性、持续性和</w:t>
            </w:r>
            <w:proofErr w:type="gramStart"/>
            <w:r w:rsidR="00C31FA8" w:rsidRPr="009212EF">
              <w:rPr>
                <w:rFonts w:hint="eastAsia"/>
                <w:b/>
                <w:kern w:val="0"/>
                <w:szCs w:val="21"/>
              </w:rPr>
              <w:t>可</w:t>
            </w:r>
            <w:proofErr w:type="gramEnd"/>
            <w:r w:rsidR="00C31FA8" w:rsidRPr="009212EF">
              <w:rPr>
                <w:rFonts w:hint="eastAsia"/>
                <w:b/>
                <w:kern w:val="0"/>
                <w:szCs w:val="21"/>
              </w:rPr>
              <w:t>预期性，推动一年多次分红、预分红、春节前分红，</w:t>
            </w:r>
            <w:r w:rsidRPr="009212EF">
              <w:rPr>
                <w:rFonts w:hint="eastAsia"/>
                <w:b/>
                <w:kern w:val="0"/>
                <w:szCs w:val="21"/>
              </w:rPr>
              <w:t>公司是否有具体的中期分红计划？分红比例多少？</w:t>
            </w:r>
          </w:p>
          <w:p w14:paraId="78C96C0F" w14:textId="52C101AB" w:rsidR="00121949" w:rsidRPr="009212EF" w:rsidRDefault="009129A5" w:rsidP="009129A5">
            <w:pPr>
              <w:widowControl/>
              <w:adjustRightInd w:val="0"/>
              <w:snapToGrid w:val="0"/>
              <w:ind w:firstLineChars="100" w:firstLine="210"/>
              <w:rPr>
                <w:kern w:val="0"/>
                <w:szCs w:val="21"/>
              </w:rPr>
            </w:pPr>
            <w:r w:rsidRPr="009212EF">
              <w:rPr>
                <w:rFonts w:hint="eastAsia"/>
                <w:kern w:val="0"/>
                <w:szCs w:val="21"/>
              </w:rPr>
              <w:t>答：为回馈广大投资者，与投资者共享发展成果，公司拟于</w:t>
            </w:r>
            <w:r w:rsidRPr="009212EF">
              <w:rPr>
                <w:rFonts w:hint="eastAsia"/>
                <w:kern w:val="0"/>
                <w:szCs w:val="21"/>
              </w:rPr>
              <w:t>2024</w:t>
            </w:r>
            <w:r w:rsidRPr="009212EF">
              <w:rPr>
                <w:rFonts w:hint="eastAsia"/>
                <w:kern w:val="0"/>
                <w:szCs w:val="21"/>
              </w:rPr>
              <w:t>年前三季度盈利且满足现金分红条件时进行中期现金分红，现金分红金额不高于相应期间归属于母公司股东的净利润的</w:t>
            </w:r>
            <w:r w:rsidRPr="009212EF">
              <w:rPr>
                <w:rFonts w:hint="eastAsia"/>
                <w:kern w:val="0"/>
                <w:szCs w:val="21"/>
              </w:rPr>
              <w:t>20%</w:t>
            </w:r>
            <w:r w:rsidRPr="009212EF">
              <w:rPr>
                <w:rFonts w:hint="eastAsia"/>
                <w:kern w:val="0"/>
                <w:szCs w:val="21"/>
              </w:rPr>
              <w:t>且不低于</w:t>
            </w:r>
            <w:r w:rsidRPr="009212EF">
              <w:rPr>
                <w:rFonts w:hint="eastAsia"/>
                <w:kern w:val="0"/>
                <w:szCs w:val="21"/>
              </w:rPr>
              <w:t>10%</w:t>
            </w:r>
            <w:r w:rsidRPr="009212EF">
              <w:rPr>
                <w:rFonts w:hint="eastAsia"/>
                <w:kern w:val="0"/>
                <w:szCs w:val="21"/>
              </w:rPr>
              <w:t>。</w:t>
            </w:r>
          </w:p>
        </w:tc>
      </w:tr>
      <w:tr w:rsidR="00444A39" w:rsidRPr="009212EF" w14:paraId="2DE3110A" w14:textId="77777777" w:rsidTr="00F076BC">
        <w:trPr>
          <w:trHeight w:val="397"/>
        </w:trPr>
        <w:tc>
          <w:tcPr>
            <w:tcW w:w="995" w:type="pct"/>
            <w:noWrap/>
            <w:vAlign w:val="center"/>
          </w:tcPr>
          <w:p w14:paraId="7AEA181A" w14:textId="5B64888A" w:rsidR="00444A39" w:rsidRPr="009212EF" w:rsidRDefault="00444A39" w:rsidP="00444A39">
            <w:pPr>
              <w:widowControl/>
              <w:adjustRightInd w:val="0"/>
              <w:snapToGrid w:val="0"/>
              <w:jc w:val="center"/>
              <w:rPr>
                <w:b/>
                <w:kern w:val="0"/>
                <w:szCs w:val="21"/>
              </w:rPr>
            </w:pPr>
            <w:r w:rsidRPr="009212EF">
              <w:rPr>
                <w:rFonts w:hint="eastAsia"/>
                <w:b/>
                <w:kern w:val="0"/>
                <w:szCs w:val="21"/>
              </w:rPr>
              <w:lastRenderedPageBreak/>
              <w:t>附件</w:t>
            </w:r>
            <w:r w:rsidR="0081488A" w:rsidRPr="009212EF">
              <w:rPr>
                <w:rFonts w:hint="eastAsia"/>
                <w:b/>
                <w:kern w:val="0"/>
                <w:szCs w:val="21"/>
              </w:rPr>
              <w:t>（如有）</w:t>
            </w:r>
          </w:p>
        </w:tc>
        <w:tc>
          <w:tcPr>
            <w:tcW w:w="4005" w:type="pct"/>
            <w:vAlign w:val="center"/>
          </w:tcPr>
          <w:p w14:paraId="01AB90EA" w14:textId="6638506E" w:rsidR="00444A39" w:rsidRPr="009212EF" w:rsidRDefault="0081488A" w:rsidP="0081488A">
            <w:pPr>
              <w:widowControl/>
              <w:adjustRightInd w:val="0"/>
              <w:snapToGrid w:val="0"/>
              <w:rPr>
                <w:kern w:val="0"/>
                <w:szCs w:val="21"/>
              </w:rPr>
            </w:pPr>
            <w:r w:rsidRPr="009212EF">
              <w:rPr>
                <w:rFonts w:hint="eastAsia"/>
                <w:kern w:val="0"/>
                <w:szCs w:val="21"/>
              </w:rPr>
              <w:t>无</w:t>
            </w:r>
          </w:p>
        </w:tc>
      </w:tr>
      <w:tr w:rsidR="00444A39" w:rsidRPr="009212EF" w14:paraId="2754A1A6" w14:textId="77777777" w:rsidTr="00F076BC">
        <w:trPr>
          <w:trHeight w:val="397"/>
        </w:trPr>
        <w:tc>
          <w:tcPr>
            <w:tcW w:w="995" w:type="pct"/>
            <w:noWrap/>
            <w:vAlign w:val="center"/>
          </w:tcPr>
          <w:p w14:paraId="4FE8A9E8" w14:textId="3B7EDC54" w:rsidR="00444A39" w:rsidRPr="009212EF" w:rsidRDefault="00444A39" w:rsidP="00444A39">
            <w:pPr>
              <w:widowControl/>
              <w:adjustRightInd w:val="0"/>
              <w:snapToGrid w:val="0"/>
              <w:jc w:val="center"/>
              <w:rPr>
                <w:b/>
                <w:kern w:val="0"/>
                <w:szCs w:val="21"/>
              </w:rPr>
            </w:pPr>
            <w:r w:rsidRPr="009212EF">
              <w:rPr>
                <w:rFonts w:hint="eastAsia"/>
                <w:b/>
                <w:kern w:val="0"/>
                <w:szCs w:val="21"/>
              </w:rPr>
              <w:t>日期</w:t>
            </w:r>
          </w:p>
        </w:tc>
        <w:tc>
          <w:tcPr>
            <w:tcW w:w="4005" w:type="pct"/>
            <w:vAlign w:val="center"/>
          </w:tcPr>
          <w:p w14:paraId="2BCB0A3D" w14:textId="10DC7621" w:rsidR="00444A39" w:rsidRPr="009212EF" w:rsidRDefault="0081488A" w:rsidP="0081488A">
            <w:pPr>
              <w:widowControl/>
              <w:adjustRightInd w:val="0"/>
              <w:snapToGrid w:val="0"/>
              <w:rPr>
                <w:kern w:val="0"/>
                <w:szCs w:val="21"/>
              </w:rPr>
            </w:pPr>
            <w:r w:rsidRPr="009212EF">
              <w:rPr>
                <w:rFonts w:hint="eastAsia"/>
                <w:kern w:val="0"/>
                <w:szCs w:val="21"/>
              </w:rPr>
              <w:t>2</w:t>
            </w:r>
            <w:r w:rsidRPr="009212EF">
              <w:rPr>
                <w:kern w:val="0"/>
                <w:szCs w:val="21"/>
              </w:rPr>
              <w:t>024</w:t>
            </w:r>
            <w:r w:rsidRPr="009212EF">
              <w:rPr>
                <w:rFonts w:hint="eastAsia"/>
                <w:kern w:val="0"/>
                <w:szCs w:val="21"/>
              </w:rPr>
              <w:t>年</w:t>
            </w:r>
            <w:r w:rsidR="000D0BEC" w:rsidRPr="009212EF">
              <w:rPr>
                <w:kern w:val="0"/>
                <w:szCs w:val="21"/>
              </w:rPr>
              <w:t>5</w:t>
            </w:r>
            <w:r w:rsidRPr="009212EF">
              <w:rPr>
                <w:rFonts w:hint="eastAsia"/>
                <w:kern w:val="0"/>
                <w:szCs w:val="21"/>
              </w:rPr>
              <w:t>月</w:t>
            </w:r>
            <w:r w:rsidR="000D0BEC" w:rsidRPr="009212EF">
              <w:rPr>
                <w:kern w:val="0"/>
                <w:szCs w:val="21"/>
              </w:rPr>
              <w:t>31</w:t>
            </w:r>
            <w:r w:rsidRPr="009212EF">
              <w:rPr>
                <w:rFonts w:hint="eastAsia"/>
                <w:kern w:val="0"/>
                <w:szCs w:val="21"/>
              </w:rPr>
              <w:t>日</w:t>
            </w:r>
          </w:p>
        </w:tc>
      </w:tr>
    </w:tbl>
    <w:p w14:paraId="63A344FD" w14:textId="3ED8DD5B" w:rsidR="00F076BC" w:rsidRPr="009212EF" w:rsidRDefault="00F076BC" w:rsidP="00A97539">
      <w:pPr>
        <w:jc w:val="left"/>
        <w:rPr>
          <w:szCs w:val="21"/>
        </w:rPr>
      </w:pPr>
      <w:r w:rsidRPr="009212EF">
        <w:rPr>
          <w:rFonts w:hint="eastAsia"/>
          <w:szCs w:val="21"/>
        </w:rPr>
        <w:t>注</w:t>
      </w:r>
      <w:r w:rsidRPr="009212EF">
        <w:rPr>
          <w:szCs w:val="21"/>
        </w:rPr>
        <w:t>1</w:t>
      </w:r>
      <w:r w:rsidRPr="009212EF">
        <w:rPr>
          <w:rFonts w:hint="eastAsia"/>
          <w:szCs w:val="21"/>
        </w:rPr>
        <w:t>：本记录表中宏观经济行业内容仅供参考，不构成投资建议。</w:t>
      </w:r>
    </w:p>
    <w:p w14:paraId="099A85B1" w14:textId="78E332F5" w:rsidR="00F076BC" w:rsidRPr="00A97539" w:rsidRDefault="00D30B79" w:rsidP="00FC47DF">
      <w:pPr>
        <w:jc w:val="left"/>
        <w:rPr>
          <w:szCs w:val="21"/>
        </w:rPr>
      </w:pPr>
      <w:r w:rsidRPr="009212EF">
        <w:rPr>
          <w:rFonts w:hint="eastAsia"/>
          <w:szCs w:val="21"/>
        </w:rPr>
        <w:t>注</w:t>
      </w:r>
      <w:r w:rsidR="00F076BC" w:rsidRPr="009212EF">
        <w:rPr>
          <w:szCs w:val="21"/>
        </w:rPr>
        <w:t>2</w:t>
      </w:r>
      <w:r w:rsidRPr="009212EF">
        <w:rPr>
          <w:rFonts w:hint="eastAsia"/>
          <w:szCs w:val="21"/>
        </w:rPr>
        <w:t>：调研</w:t>
      </w:r>
      <w:r w:rsidR="00FC47DF" w:rsidRPr="00FC47DF">
        <w:rPr>
          <w:rFonts w:hint="eastAsia"/>
          <w:szCs w:val="21"/>
        </w:rPr>
        <w:t>以现场或网络会议的</w:t>
      </w:r>
      <w:r w:rsidRPr="009212EF">
        <w:rPr>
          <w:rFonts w:hint="eastAsia"/>
          <w:szCs w:val="21"/>
        </w:rPr>
        <w:t>形式开展，</w:t>
      </w:r>
      <w:r w:rsidR="00FC47DF" w:rsidRPr="00FC47DF">
        <w:rPr>
          <w:rFonts w:hint="eastAsia"/>
          <w:szCs w:val="21"/>
        </w:rPr>
        <w:t>在交流活动中，公司严格遵守相关规定，没有发生未公开重大信息泄露等情况。</w:t>
      </w:r>
      <w:bookmarkStart w:id="2" w:name="_GoBack"/>
      <w:bookmarkEnd w:id="2"/>
    </w:p>
    <w:sectPr w:rsidR="00F076BC" w:rsidRPr="00A97539">
      <w:footerReference w:type="default" r:id="rId9"/>
      <w:pgSz w:w="11908" w:h="16838"/>
      <w:pgMar w:top="1418" w:right="1701" w:bottom="141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E18B" w14:textId="77777777" w:rsidR="00540DEC" w:rsidRDefault="00540DEC">
      <w:r>
        <w:separator/>
      </w:r>
    </w:p>
  </w:endnote>
  <w:endnote w:type="continuationSeparator" w:id="0">
    <w:p w14:paraId="59CDFFAE" w14:textId="77777777" w:rsidR="00540DEC" w:rsidRDefault="0054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194698"/>
      <w:docPartObj>
        <w:docPartGallery w:val="Page Numbers (Bottom of Page)"/>
        <w:docPartUnique/>
      </w:docPartObj>
    </w:sdtPr>
    <w:sdtEndPr/>
    <w:sdtContent>
      <w:p w14:paraId="1C5754AA" w14:textId="40C962EA" w:rsidR="00A14706" w:rsidRDefault="00A14706" w:rsidP="003011E8">
        <w:pPr>
          <w:pStyle w:val="a7"/>
          <w:jc w:val="center"/>
        </w:pPr>
        <w:r>
          <w:fldChar w:fldCharType="begin"/>
        </w:r>
        <w:r>
          <w:instrText>PAGE   \* MERGEFORMAT</w:instrText>
        </w:r>
        <w:r>
          <w:fldChar w:fldCharType="separate"/>
        </w:r>
        <w:r w:rsidR="00670CB5" w:rsidRPr="00670CB5">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20F40" w14:textId="77777777" w:rsidR="00540DEC" w:rsidRDefault="00540DEC">
      <w:r>
        <w:separator/>
      </w:r>
    </w:p>
  </w:footnote>
  <w:footnote w:type="continuationSeparator" w:id="0">
    <w:p w14:paraId="305F0662" w14:textId="77777777" w:rsidR="00540DEC" w:rsidRDefault="00540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C9C"/>
    <w:multiLevelType w:val="multilevel"/>
    <w:tmpl w:val="98183B80"/>
    <w:lvl w:ilvl="0">
      <w:start w:val="1"/>
      <w:numFmt w:val="chineseCountingThousand"/>
      <w:suff w:val="nothing"/>
      <w:lvlText w:val="%1、"/>
      <w:lvlJc w:val="left"/>
      <w:pPr>
        <w:ind w:left="2973"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15B3EF7"/>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 w15:restartNumberingAfterBreak="0">
    <w:nsid w:val="055A0100"/>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EB90876"/>
    <w:multiLevelType w:val="multilevel"/>
    <w:tmpl w:val="0EB90876"/>
    <w:lvl w:ilvl="0">
      <w:start w:val="1"/>
      <w:numFmt w:val="bullet"/>
      <w:lvlText w:val=""/>
      <w:lvlJc w:val="left"/>
      <w:pPr>
        <w:tabs>
          <w:tab w:val="left" w:pos="1005"/>
        </w:tabs>
        <w:ind w:left="1005" w:hanging="420"/>
      </w:pPr>
      <w:rPr>
        <w:rFonts w:ascii="Wingdings" w:hAnsi="Wingdings" w:hint="default"/>
      </w:rPr>
    </w:lvl>
    <w:lvl w:ilvl="1">
      <w:start w:val="1"/>
      <w:numFmt w:val="bullet"/>
      <w:lvlText w:val=""/>
      <w:lvlJc w:val="left"/>
      <w:pPr>
        <w:ind w:left="1425" w:hanging="420"/>
      </w:pPr>
      <w:rPr>
        <w:rFonts w:ascii="Wingdings" w:hAnsi="Wingdings" w:hint="default"/>
      </w:rPr>
    </w:lvl>
    <w:lvl w:ilvl="2">
      <w:start w:val="1"/>
      <w:numFmt w:val="bullet"/>
      <w:lvlText w:val=""/>
      <w:lvlJc w:val="left"/>
      <w:pPr>
        <w:ind w:left="1845" w:hanging="420"/>
      </w:pPr>
      <w:rPr>
        <w:rFonts w:ascii="Wingdings" w:hAnsi="Wingdings" w:hint="default"/>
      </w:rPr>
    </w:lvl>
    <w:lvl w:ilvl="3">
      <w:start w:val="1"/>
      <w:numFmt w:val="bullet"/>
      <w:lvlText w:val=""/>
      <w:lvlJc w:val="left"/>
      <w:pPr>
        <w:ind w:left="2265" w:hanging="420"/>
      </w:pPr>
      <w:rPr>
        <w:rFonts w:ascii="Wingdings" w:hAnsi="Wingdings" w:hint="default"/>
      </w:rPr>
    </w:lvl>
    <w:lvl w:ilvl="4">
      <w:start w:val="1"/>
      <w:numFmt w:val="bullet"/>
      <w:lvlText w:val=""/>
      <w:lvlJc w:val="left"/>
      <w:pPr>
        <w:ind w:left="2685" w:hanging="420"/>
      </w:pPr>
      <w:rPr>
        <w:rFonts w:ascii="Wingdings" w:hAnsi="Wingdings" w:hint="default"/>
      </w:rPr>
    </w:lvl>
    <w:lvl w:ilvl="5">
      <w:start w:val="1"/>
      <w:numFmt w:val="bullet"/>
      <w:lvlText w:val=""/>
      <w:lvlJc w:val="left"/>
      <w:pPr>
        <w:ind w:left="3105" w:hanging="420"/>
      </w:pPr>
      <w:rPr>
        <w:rFonts w:ascii="Wingdings" w:hAnsi="Wingdings" w:hint="default"/>
      </w:rPr>
    </w:lvl>
    <w:lvl w:ilvl="6">
      <w:start w:val="1"/>
      <w:numFmt w:val="bullet"/>
      <w:lvlText w:val=""/>
      <w:lvlJc w:val="left"/>
      <w:pPr>
        <w:ind w:left="3525" w:hanging="420"/>
      </w:pPr>
      <w:rPr>
        <w:rFonts w:ascii="Wingdings" w:hAnsi="Wingdings" w:hint="default"/>
      </w:rPr>
    </w:lvl>
    <w:lvl w:ilvl="7">
      <w:start w:val="1"/>
      <w:numFmt w:val="bullet"/>
      <w:lvlText w:val=""/>
      <w:lvlJc w:val="left"/>
      <w:pPr>
        <w:ind w:left="3945" w:hanging="420"/>
      </w:pPr>
      <w:rPr>
        <w:rFonts w:ascii="Wingdings" w:hAnsi="Wingdings" w:hint="default"/>
      </w:rPr>
    </w:lvl>
    <w:lvl w:ilvl="8">
      <w:start w:val="1"/>
      <w:numFmt w:val="bullet"/>
      <w:lvlText w:val=""/>
      <w:lvlJc w:val="left"/>
      <w:pPr>
        <w:ind w:left="4365" w:hanging="420"/>
      </w:pPr>
      <w:rPr>
        <w:rFonts w:ascii="Wingdings" w:hAnsi="Wingdings" w:hint="default"/>
      </w:rPr>
    </w:lvl>
  </w:abstractNum>
  <w:abstractNum w:abstractNumId="4" w15:restartNumberingAfterBreak="0">
    <w:nsid w:val="0F903783"/>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137A72FB"/>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17DB612E"/>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195F0019"/>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15:restartNumberingAfterBreak="0">
    <w:nsid w:val="1ABA16E5"/>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15:restartNumberingAfterBreak="0">
    <w:nsid w:val="1D6608F2"/>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15:restartNumberingAfterBreak="0">
    <w:nsid w:val="2CDD54AC"/>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15:restartNumberingAfterBreak="0">
    <w:nsid w:val="33172732"/>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15:restartNumberingAfterBreak="0">
    <w:nsid w:val="3EA15898"/>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 w15:restartNumberingAfterBreak="0">
    <w:nsid w:val="40D9742D"/>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4" w15:restartNumberingAfterBreak="0">
    <w:nsid w:val="47E30AEB"/>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 w15:restartNumberingAfterBreak="0">
    <w:nsid w:val="4A02767B"/>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6" w15:restartNumberingAfterBreak="0">
    <w:nsid w:val="4C3B4A8F"/>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7" w15:restartNumberingAfterBreak="0">
    <w:nsid w:val="4D6E28F9"/>
    <w:multiLevelType w:val="multilevel"/>
    <w:tmpl w:val="4D6E28F9"/>
    <w:lvl w:ilvl="0">
      <w:start w:val="1"/>
      <w:numFmt w:val="chineseCountingThousand"/>
      <w:suff w:val="nothing"/>
      <w:lvlText w:val="%1、"/>
      <w:lvlJc w:val="left"/>
      <w:pPr>
        <w:ind w:left="1048" w:hanging="420"/>
      </w:pPr>
      <w:rPr>
        <w:rFonts w:hint="eastAsia"/>
      </w:rPr>
    </w:lvl>
    <w:lvl w:ilvl="1">
      <w:start w:val="1"/>
      <w:numFmt w:val="lowerLetter"/>
      <w:lvlText w:val="%2)"/>
      <w:lvlJc w:val="left"/>
      <w:pPr>
        <w:ind w:left="1468" w:hanging="420"/>
      </w:pPr>
    </w:lvl>
    <w:lvl w:ilvl="2">
      <w:start w:val="1"/>
      <w:numFmt w:val="lowerRoman"/>
      <w:lvlText w:val="%3."/>
      <w:lvlJc w:val="right"/>
      <w:pPr>
        <w:ind w:left="1888" w:hanging="420"/>
      </w:pPr>
    </w:lvl>
    <w:lvl w:ilvl="3">
      <w:start w:val="1"/>
      <w:numFmt w:val="decimal"/>
      <w:lvlText w:val="%4."/>
      <w:lvlJc w:val="left"/>
      <w:pPr>
        <w:ind w:left="2308" w:hanging="420"/>
      </w:pPr>
    </w:lvl>
    <w:lvl w:ilvl="4">
      <w:start w:val="1"/>
      <w:numFmt w:val="lowerLetter"/>
      <w:lvlText w:val="%5)"/>
      <w:lvlJc w:val="left"/>
      <w:pPr>
        <w:ind w:left="2728" w:hanging="420"/>
      </w:pPr>
    </w:lvl>
    <w:lvl w:ilvl="5">
      <w:start w:val="1"/>
      <w:numFmt w:val="lowerRoman"/>
      <w:lvlText w:val="%6."/>
      <w:lvlJc w:val="right"/>
      <w:pPr>
        <w:ind w:left="3148" w:hanging="420"/>
      </w:pPr>
    </w:lvl>
    <w:lvl w:ilvl="6">
      <w:start w:val="1"/>
      <w:numFmt w:val="decimal"/>
      <w:lvlText w:val="%7."/>
      <w:lvlJc w:val="left"/>
      <w:pPr>
        <w:ind w:left="3568" w:hanging="420"/>
      </w:pPr>
    </w:lvl>
    <w:lvl w:ilvl="7">
      <w:start w:val="1"/>
      <w:numFmt w:val="lowerLetter"/>
      <w:lvlText w:val="%8)"/>
      <w:lvlJc w:val="left"/>
      <w:pPr>
        <w:ind w:left="3988" w:hanging="420"/>
      </w:pPr>
    </w:lvl>
    <w:lvl w:ilvl="8">
      <w:start w:val="1"/>
      <w:numFmt w:val="lowerRoman"/>
      <w:lvlText w:val="%9."/>
      <w:lvlJc w:val="right"/>
      <w:pPr>
        <w:ind w:left="4408" w:hanging="420"/>
      </w:pPr>
    </w:lvl>
  </w:abstractNum>
  <w:abstractNum w:abstractNumId="18" w15:restartNumberingAfterBreak="0">
    <w:nsid w:val="4FAF3B31"/>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9" w15:restartNumberingAfterBreak="0">
    <w:nsid w:val="50A917F6"/>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0" w15:restartNumberingAfterBreak="0">
    <w:nsid w:val="697B73D9"/>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1" w15:restartNumberingAfterBreak="0">
    <w:nsid w:val="69EC5EEA"/>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2" w15:restartNumberingAfterBreak="0">
    <w:nsid w:val="75AE6544"/>
    <w:multiLevelType w:val="multilevel"/>
    <w:tmpl w:val="98183B80"/>
    <w:lvl w:ilvl="0">
      <w:start w:val="1"/>
      <w:numFmt w:val="chineseCountingThousand"/>
      <w:suff w:val="nothing"/>
      <w:lvlText w:val="%1、"/>
      <w:lvlJc w:val="left"/>
      <w:pPr>
        <w:ind w:left="2973"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3" w15:restartNumberingAfterBreak="0">
    <w:nsid w:val="75CD1A94"/>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4" w15:restartNumberingAfterBreak="0">
    <w:nsid w:val="7D4C166E"/>
    <w:multiLevelType w:val="multilevel"/>
    <w:tmpl w:val="98183B80"/>
    <w:lvl w:ilvl="0">
      <w:start w:val="1"/>
      <w:numFmt w:val="chineseCountingThousand"/>
      <w:suff w:val="nothing"/>
      <w:lvlText w:val="%1、"/>
      <w:lvlJc w:val="left"/>
      <w:pPr>
        <w:ind w:left="840" w:hanging="420"/>
      </w:pPr>
      <w:rPr>
        <w:rFonts w:ascii="宋体" w:eastAsia="宋体" w:hAnsi="宋体" w:hint="default"/>
        <w:b/>
        <w:i w:val="0"/>
        <w:sz w:val="24"/>
        <w:szCs w:val="24"/>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22"/>
  </w:num>
  <w:num w:numId="2">
    <w:abstractNumId w:val="17"/>
  </w:num>
  <w:num w:numId="3">
    <w:abstractNumId w:val="6"/>
  </w:num>
  <w:num w:numId="4">
    <w:abstractNumId w:val="18"/>
  </w:num>
  <w:num w:numId="5">
    <w:abstractNumId w:val="11"/>
  </w:num>
  <w:num w:numId="6">
    <w:abstractNumId w:val="8"/>
  </w:num>
  <w:num w:numId="7">
    <w:abstractNumId w:val="13"/>
  </w:num>
  <w:num w:numId="8">
    <w:abstractNumId w:val="15"/>
  </w:num>
  <w:num w:numId="9">
    <w:abstractNumId w:val="23"/>
  </w:num>
  <w:num w:numId="10">
    <w:abstractNumId w:val="24"/>
  </w:num>
  <w:num w:numId="11">
    <w:abstractNumId w:val="14"/>
  </w:num>
  <w:num w:numId="12">
    <w:abstractNumId w:val="1"/>
  </w:num>
  <w:num w:numId="13">
    <w:abstractNumId w:val="16"/>
  </w:num>
  <w:num w:numId="14">
    <w:abstractNumId w:val="12"/>
  </w:num>
  <w:num w:numId="15">
    <w:abstractNumId w:val="4"/>
  </w:num>
  <w:num w:numId="16">
    <w:abstractNumId w:val="2"/>
  </w:num>
  <w:num w:numId="17">
    <w:abstractNumId w:val="5"/>
  </w:num>
  <w:num w:numId="18">
    <w:abstractNumId w:val="9"/>
  </w:num>
  <w:num w:numId="19">
    <w:abstractNumId w:val="10"/>
  </w:num>
  <w:num w:numId="20">
    <w:abstractNumId w:val="21"/>
  </w:num>
  <w:num w:numId="21">
    <w:abstractNumId w:val="7"/>
  </w:num>
  <w:num w:numId="22">
    <w:abstractNumId w:val="20"/>
  </w:num>
  <w:num w:numId="23">
    <w:abstractNumId w:val="19"/>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7E"/>
    <w:rsid w:val="00001234"/>
    <w:rsid w:val="0000153F"/>
    <w:rsid w:val="00001B50"/>
    <w:rsid w:val="00002233"/>
    <w:rsid w:val="000025AD"/>
    <w:rsid w:val="00010BAC"/>
    <w:rsid w:val="0001111F"/>
    <w:rsid w:val="00011E1E"/>
    <w:rsid w:val="000154FB"/>
    <w:rsid w:val="00015B65"/>
    <w:rsid w:val="00015CFB"/>
    <w:rsid w:val="000230C7"/>
    <w:rsid w:val="00025BEE"/>
    <w:rsid w:val="000266AA"/>
    <w:rsid w:val="00027101"/>
    <w:rsid w:val="000316BF"/>
    <w:rsid w:val="00031F5E"/>
    <w:rsid w:val="00032A46"/>
    <w:rsid w:val="000359E9"/>
    <w:rsid w:val="00041AF2"/>
    <w:rsid w:val="00044250"/>
    <w:rsid w:val="0004429C"/>
    <w:rsid w:val="00053383"/>
    <w:rsid w:val="0005410E"/>
    <w:rsid w:val="000543B5"/>
    <w:rsid w:val="00054476"/>
    <w:rsid w:val="00057FEE"/>
    <w:rsid w:val="00062E13"/>
    <w:rsid w:val="00065EA2"/>
    <w:rsid w:val="00072F87"/>
    <w:rsid w:val="00076B82"/>
    <w:rsid w:val="0008060F"/>
    <w:rsid w:val="00084E87"/>
    <w:rsid w:val="00085D7E"/>
    <w:rsid w:val="00086404"/>
    <w:rsid w:val="00087DE3"/>
    <w:rsid w:val="00090365"/>
    <w:rsid w:val="00092096"/>
    <w:rsid w:val="0009531D"/>
    <w:rsid w:val="000A08B8"/>
    <w:rsid w:val="000A5F27"/>
    <w:rsid w:val="000A6EB9"/>
    <w:rsid w:val="000B21B6"/>
    <w:rsid w:val="000B234A"/>
    <w:rsid w:val="000B2CFF"/>
    <w:rsid w:val="000B4787"/>
    <w:rsid w:val="000B4A4F"/>
    <w:rsid w:val="000B5B16"/>
    <w:rsid w:val="000B602A"/>
    <w:rsid w:val="000B60AB"/>
    <w:rsid w:val="000B76DC"/>
    <w:rsid w:val="000B7C87"/>
    <w:rsid w:val="000B7D1A"/>
    <w:rsid w:val="000B7FAA"/>
    <w:rsid w:val="000C06E8"/>
    <w:rsid w:val="000C37D6"/>
    <w:rsid w:val="000C38C3"/>
    <w:rsid w:val="000C3AD7"/>
    <w:rsid w:val="000C4407"/>
    <w:rsid w:val="000C5625"/>
    <w:rsid w:val="000C68FD"/>
    <w:rsid w:val="000D00C5"/>
    <w:rsid w:val="000D0A22"/>
    <w:rsid w:val="000D0BEC"/>
    <w:rsid w:val="000D2DD2"/>
    <w:rsid w:val="000D3A2A"/>
    <w:rsid w:val="000D428A"/>
    <w:rsid w:val="000D4550"/>
    <w:rsid w:val="000D4CD3"/>
    <w:rsid w:val="000D4E79"/>
    <w:rsid w:val="000D5196"/>
    <w:rsid w:val="000D6C71"/>
    <w:rsid w:val="000D6E06"/>
    <w:rsid w:val="000D7EF3"/>
    <w:rsid w:val="000E077A"/>
    <w:rsid w:val="000E2487"/>
    <w:rsid w:val="000E2CD7"/>
    <w:rsid w:val="000E4918"/>
    <w:rsid w:val="000E66A2"/>
    <w:rsid w:val="000E751C"/>
    <w:rsid w:val="000E7DEF"/>
    <w:rsid w:val="000F1B37"/>
    <w:rsid w:val="000F3FBC"/>
    <w:rsid w:val="000F5400"/>
    <w:rsid w:val="000F6057"/>
    <w:rsid w:val="000F7CD8"/>
    <w:rsid w:val="001000DD"/>
    <w:rsid w:val="00101F39"/>
    <w:rsid w:val="001038F9"/>
    <w:rsid w:val="0010618C"/>
    <w:rsid w:val="00115483"/>
    <w:rsid w:val="00115DAA"/>
    <w:rsid w:val="001176CA"/>
    <w:rsid w:val="00117921"/>
    <w:rsid w:val="00117FCC"/>
    <w:rsid w:val="00121949"/>
    <w:rsid w:val="00122C81"/>
    <w:rsid w:val="00126A64"/>
    <w:rsid w:val="00127CE2"/>
    <w:rsid w:val="00127D58"/>
    <w:rsid w:val="00132DB9"/>
    <w:rsid w:val="00133279"/>
    <w:rsid w:val="00133374"/>
    <w:rsid w:val="00136814"/>
    <w:rsid w:val="0014424F"/>
    <w:rsid w:val="00147558"/>
    <w:rsid w:val="00151E0C"/>
    <w:rsid w:val="0015559C"/>
    <w:rsid w:val="001576EE"/>
    <w:rsid w:val="001608C6"/>
    <w:rsid w:val="001618C3"/>
    <w:rsid w:val="00164E04"/>
    <w:rsid w:val="00165765"/>
    <w:rsid w:val="00174432"/>
    <w:rsid w:val="00182E27"/>
    <w:rsid w:val="0018324C"/>
    <w:rsid w:val="001844F7"/>
    <w:rsid w:val="00185B5B"/>
    <w:rsid w:val="00185E9A"/>
    <w:rsid w:val="00186E21"/>
    <w:rsid w:val="00187647"/>
    <w:rsid w:val="00193C7B"/>
    <w:rsid w:val="001943AC"/>
    <w:rsid w:val="00194E22"/>
    <w:rsid w:val="00194EC2"/>
    <w:rsid w:val="0019765C"/>
    <w:rsid w:val="001A5CCF"/>
    <w:rsid w:val="001A5CE3"/>
    <w:rsid w:val="001A687F"/>
    <w:rsid w:val="001A6B04"/>
    <w:rsid w:val="001B4753"/>
    <w:rsid w:val="001B57E1"/>
    <w:rsid w:val="001B6151"/>
    <w:rsid w:val="001C0F44"/>
    <w:rsid w:val="001C3039"/>
    <w:rsid w:val="001C58B7"/>
    <w:rsid w:val="001C7EA2"/>
    <w:rsid w:val="001D0ED8"/>
    <w:rsid w:val="001D4490"/>
    <w:rsid w:val="001D4A42"/>
    <w:rsid w:val="001D640A"/>
    <w:rsid w:val="001D7B3D"/>
    <w:rsid w:val="001E04F9"/>
    <w:rsid w:val="001E1934"/>
    <w:rsid w:val="001E1C71"/>
    <w:rsid w:val="001E2D8C"/>
    <w:rsid w:val="001E4537"/>
    <w:rsid w:val="001E4EAB"/>
    <w:rsid w:val="001E67B3"/>
    <w:rsid w:val="001F0E72"/>
    <w:rsid w:val="001F254C"/>
    <w:rsid w:val="001F3783"/>
    <w:rsid w:val="001F42D0"/>
    <w:rsid w:val="001F49D0"/>
    <w:rsid w:val="001F505A"/>
    <w:rsid w:val="001F582E"/>
    <w:rsid w:val="001F5B20"/>
    <w:rsid w:val="001F6D42"/>
    <w:rsid w:val="00200E5E"/>
    <w:rsid w:val="002020F0"/>
    <w:rsid w:val="00203B2A"/>
    <w:rsid w:val="00205799"/>
    <w:rsid w:val="00205895"/>
    <w:rsid w:val="00205F49"/>
    <w:rsid w:val="00206F7E"/>
    <w:rsid w:val="00207420"/>
    <w:rsid w:val="00211E1C"/>
    <w:rsid w:val="00212098"/>
    <w:rsid w:val="00215D8E"/>
    <w:rsid w:val="00216155"/>
    <w:rsid w:val="0021619A"/>
    <w:rsid w:val="00216CEA"/>
    <w:rsid w:val="00220502"/>
    <w:rsid w:val="00220C11"/>
    <w:rsid w:val="002226E3"/>
    <w:rsid w:val="00222BB7"/>
    <w:rsid w:val="00224151"/>
    <w:rsid w:val="0022464A"/>
    <w:rsid w:val="0022490E"/>
    <w:rsid w:val="00225673"/>
    <w:rsid w:val="00225A4C"/>
    <w:rsid w:val="00227334"/>
    <w:rsid w:val="00231C3E"/>
    <w:rsid w:val="00232808"/>
    <w:rsid w:val="00233057"/>
    <w:rsid w:val="00233622"/>
    <w:rsid w:val="00234AD5"/>
    <w:rsid w:val="00235F52"/>
    <w:rsid w:val="002372BA"/>
    <w:rsid w:val="00237FFA"/>
    <w:rsid w:val="00241C3B"/>
    <w:rsid w:val="00244B19"/>
    <w:rsid w:val="00245667"/>
    <w:rsid w:val="00245FFB"/>
    <w:rsid w:val="002501B4"/>
    <w:rsid w:val="0025323F"/>
    <w:rsid w:val="00253612"/>
    <w:rsid w:val="002614BF"/>
    <w:rsid w:val="002626B2"/>
    <w:rsid w:val="002657D3"/>
    <w:rsid w:val="002673AD"/>
    <w:rsid w:val="002722B6"/>
    <w:rsid w:val="00272C28"/>
    <w:rsid w:val="00276375"/>
    <w:rsid w:val="002764FA"/>
    <w:rsid w:val="00281FD6"/>
    <w:rsid w:val="002829B1"/>
    <w:rsid w:val="002835B2"/>
    <w:rsid w:val="0028527F"/>
    <w:rsid w:val="00286327"/>
    <w:rsid w:val="002866C5"/>
    <w:rsid w:val="00287B8B"/>
    <w:rsid w:val="00295751"/>
    <w:rsid w:val="00297550"/>
    <w:rsid w:val="002A0102"/>
    <w:rsid w:val="002A247C"/>
    <w:rsid w:val="002A2780"/>
    <w:rsid w:val="002A2CB4"/>
    <w:rsid w:val="002A458D"/>
    <w:rsid w:val="002A5483"/>
    <w:rsid w:val="002A6479"/>
    <w:rsid w:val="002B437E"/>
    <w:rsid w:val="002B6C18"/>
    <w:rsid w:val="002C164D"/>
    <w:rsid w:val="002C24FB"/>
    <w:rsid w:val="002C2B1D"/>
    <w:rsid w:val="002C4758"/>
    <w:rsid w:val="002C53C8"/>
    <w:rsid w:val="002C7481"/>
    <w:rsid w:val="002D0533"/>
    <w:rsid w:val="002D0D76"/>
    <w:rsid w:val="002D1358"/>
    <w:rsid w:val="002D153F"/>
    <w:rsid w:val="002D4CD9"/>
    <w:rsid w:val="002D6003"/>
    <w:rsid w:val="002E0333"/>
    <w:rsid w:val="002E6C03"/>
    <w:rsid w:val="002E7BB5"/>
    <w:rsid w:val="002F1FD4"/>
    <w:rsid w:val="002F3C7E"/>
    <w:rsid w:val="002F6EDE"/>
    <w:rsid w:val="002F7C8F"/>
    <w:rsid w:val="00300167"/>
    <w:rsid w:val="00300CA1"/>
    <w:rsid w:val="003011E8"/>
    <w:rsid w:val="00302DA6"/>
    <w:rsid w:val="0030420E"/>
    <w:rsid w:val="00306388"/>
    <w:rsid w:val="0030672B"/>
    <w:rsid w:val="0030742C"/>
    <w:rsid w:val="00310CA8"/>
    <w:rsid w:val="0031146E"/>
    <w:rsid w:val="00311EDD"/>
    <w:rsid w:val="00313678"/>
    <w:rsid w:val="00315455"/>
    <w:rsid w:val="0031552A"/>
    <w:rsid w:val="00317B97"/>
    <w:rsid w:val="00321F20"/>
    <w:rsid w:val="003226F2"/>
    <w:rsid w:val="00322B1B"/>
    <w:rsid w:val="00323EF3"/>
    <w:rsid w:val="00325C65"/>
    <w:rsid w:val="00331BF1"/>
    <w:rsid w:val="003322CA"/>
    <w:rsid w:val="0033338D"/>
    <w:rsid w:val="0033510A"/>
    <w:rsid w:val="00335EFC"/>
    <w:rsid w:val="00336573"/>
    <w:rsid w:val="003379E1"/>
    <w:rsid w:val="003404F8"/>
    <w:rsid w:val="00343A18"/>
    <w:rsid w:val="003443A9"/>
    <w:rsid w:val="00344FEA"/>
    <w:rsid w:val="00346632"/>
    <w:rsid w:val="00346E38"/>
    <w:rsid w:val="00347745"/>
    <w:rsid w:val="00351C2C"/>
    <w:rsid w:val="00353533"/>
    <w:rsid w:val="00353916"/>
    <w:rsid w:val="00356A0E"/>
    <w:rsid w:val="00361EA7"/>
    <w:rsid w:val="00361F0C"/>
    <w:rsid w:val="00365D88"/>
    <w:rsid w:val="00367B55"/>
    <w:rsid w:val="0037147F"/>
    <w:rsid w:val="00371C70"/>
    <w:rsid w:val="003737A9"/>
    <w:rsid w:val="00382569"/>
    <w:rsid w:val="00382C82"/>
    <w:rsid w:val="003855C1"/>
    <w:rsid w:val="003863F4"/>
    <w:rsid w:val="00387CA3"/>
    <w:rsid w:val="00390EE4"/>
    <w:rsid w:val="003915B3"/>
    <w:rsid w:val="00391940"/>
    <w:rsid w:val="00391E57"/>
    <w:rsid w:val="00392C0D"/>
    <w:rsid w:val="00393E3F"/>
    <w:rsid w:val="0039414F"/>
    <w:rsid w:val="00394714"/>
    <w:rsid w:val="00394C57"/>
    <w:rsid w:val="003964CA"/>
    <w:rsid w:val="00396C2C"/>
    <w:rsid w:val="0039729F"/>
    <w:rsid w:val="003A08C2"/>
    <w:rsid w:val="003A0AB0"/>
    <w:rsid w:val="003A1015"/>
    <w:rsid w:val="003A17D2"/>
    <w:rsid w:val="003A18E7"/>
    <w:rsid w:val="003A51A2"/>
    <w:rsid w:val="003A7146"/>
    <w:rsid w:val="003A7BD1"/>
    <w:rsid w:val="003B121E"/>
    <w:rsid w:val="003B27FE"/>
    <w:rsid w:val="003B30D2"/>
    <w:rsid w:val="003B31FD"/>
    <w:rsid w:val="003B443F"/>
    <w:rsid w:val="003B689C"/>
    <w:rsid w:val="003B7AD4"/>
    <w:rsid w:val="003C2E3A"/>
    <w:rsid w:val="003D0DB8"/>
    <w:rsid w:val="003D2EF0"/>
    <w:rsid w:val="003D487A"/>
    <w:rsid w:val="003D66D2"/>
    <w:rsid w:val="003D6A05"/>
    <w:rsid w:val="003D7195"/>
    <w:rsid w:val="003D7A97"/>
    <w:rsid w:val="003D7B7A"/>
    <w:rsid w:val="003E2FFB"/>
    <w:rsid w:val="003E3754"/>
    <w:rsid w:val="003E541A"/>
    <w:rsid w:val="003E6C4E"/>
    <w:rsid w:val="003F1246"/>
    <w:rsid w:val="003F2A25"/>
    <w:rsid w:val="003F38C9"/>
    <w:rsid w:val="003F3DB6"/>
    <w:rsid w:val="003F73D8"/>
    <w:rsid w:val="00402658"/>
    <w:rsid w:val="0040290A"/>
    <w:rsid w:val="00404D83"/>
    <w:rsid w:val="0040598E"/>
    <w:rsid w:val="0041000D"/>
    <w:rsid w:val="00410B73"/>
    <w:rsid w:val="004115C5"/>
    <w:rsid w:val="00411BDB"/>
    <w:rsid w:val="0041654F"/>
    <w:rsid w:val="00420843"/>
    <w:rsid w:val="00421B96"/>
    <w:rsid w:val="00423AD1"/>
    <w:rsid w:val="00424BA6"/>
    <w:rsid w:val="004257CD"/>
    <w:rsid w:val="00425A87"/>
    <w:rsid w:val="004261F6"/>
    <w:rsid w:val="00426E49"/>
    <w:rsid w:val="00434ADD"/>
    <w:rsid w:val="00435F8D"/>
    <w:rsid w:val="0043699A"/>
    <w:rsid w:val="00444A39"/>
    <w:rsid w:val="00444B61"/>
    <w:rsid w:val="00444CE2"/>
    <w:rsid w:val="00445EEF"/>
    <w:rsid w:val="004467A7"/>
    <w:rsid w:val="004478AB"/>
    <w:rsid w:val="0045036C"/>
    <w:rsid w:val="00450E48"/>
    <w:rsid w:val="00454CAB"/>
    <w:rsid w:val="0045660E"/>
    <w:rsid w:val="00456C72"/>
    <w:rsid w:val="00461C93"/>
    <w:rsid w:val="00461FF7"/>
    <w:rsid w:val="00464AB3"/>
    <w:rsid w:val="00466E26"/>
    <w:rsid w:val="00470592"/>
    <w:rsid w:val="00470DD5"/>
    <w:rsid w:val="0047106C"/>
    <w:rsid w:val="004733CA"/>
    <w:rsid w:val="00473942"/>
    <w:rsid w:val="004740EF"/>
    <w:rsid w:val="00474585"/>
    <w:rsid w:val="004775F3"/>
    <w:rsid w:val="00480F78"/>
    <w:rsid w:val="004827D0"/>
    <w:rsid w:val="00483D72"/>
    <w:rsid w:val="00485193"/>
    <w:rsid w:val="00492ABF"/>
    <w:rsid w:val="0049410B"/>
    <w:rsid w:val="0049460A"/>
    <w:rsid w:val="00496397"/>
    <w:rsid w:val="00497107"/>
    <w:rsid w:val="00497F54"/>
    <w:rsid w:val="004A1895"/>
    <w:rsid w:val="004A1D6E"/>
    <w:rsid w:val="004A2C46"/>
    <w:rsid w:val="004A486A"/>
    <w:rsid w:val="004A5C17"/>
    <w:rsid w:val="004B283D"/>
    <w:rsid w:val="004B2C34"/>
    <w:rsid w:val="004B7568"/>
    <w:rsid w:val="004B78D3"/>
    <w:rsid w:val="004B7DF0"/>
    <w:rsid w:val="004C3031"/>
    <w:rsid w:val="004C35F6"/>
    <w:rsid w:val="004C3C43"/>
    <w:rsid w:val="004D1B6E"/>
    <w:rsid w:val="004D229C"/>
    <w:rsid w:val="004D3DB9"/>
    <w:rsid w:val="004D458B"/>
    <w:rsid w:val="004D5D0E"/>
    <w:rsid w:val="004E30B8"/>
    <w:rsid w:val="004E387E"/>
    <w:rsid w:val="004E4D75"/>
    <w:rsid w:val="004E60D0"/>
    <w:rsid w:val="004E7142"/>
    <w:rsid w:val="004E7D93"/>
    <w:rsid w:val="004F074A"/>
    <w:rsid w:val="004F3EF4"/>
    <w:rsid w:val="004F403F"/>
    <w:rsid w:val="004F4C45"/>
    <w:rsid w:val="004F4D04"/>
    <w:rsid w:val="004F57F8"/>
    <w:rsid w:val="004F65BE"/>
    <w:rsid w:val="00502080"/>
    <w:rsid w:val="005023E0"/>
    <w:rsid w:val="00503D95"/>
    <w:rsid w:val="005042F2"/>
    <w:rsid w:val="00507E3C"/>
    <w:rsid w:val="00510D31"/>
    <w:rsid w:val="00511E29"/>
    <w:rsid w:val="0051658B"/>
    <w:rsid w:val="005208AB"/>
    <w:rsid w:val="00520A44"/>
    <w:rsid w:val="00523ACA"/>
    <w:rsid w:val="0052747C"/>
    <w:rsid w:val="00531025"/>
    <w:rsid w:val="005310C9"/>
    <w:rsid w:val="0053300E"/>
    <w:rsid w:val="00533393"/>
    <w:rsid w:val="00535E9C"/>
    <w:rsid w:val="005373A7"/>
    <w:rsid w:val="00540502"/>
    <w:rsid w:val="0054076E"/>
    <w:rsid w:val="00540DEC"/>
    <w:rsid w:val="005462C6"/>
    <w:rsid w:val="005477A7"/>
    <w:rsid w:val="0055040F"/>
    <w:rsid w:val="00552FA3"/>
    <w:rsid w:val="00553010"/>
    <w:rsid w:val="00564426"/>
    <w:rsid w:val="00564A66"/>
    <w:rsid w:val="005651F5"/>
    <w:rsid w:val="0057009E"/>
    <w:rsid w:val="005714B5"/>
    <w:rsid w:val="005759F7"/>
    <w:rsid w:val="00576706"/>
    <w:rsid w:val="00576731"/>
    <w:rsid w:val="005768BF"/>
    <w:rsid w:val="00580601"/>
    <w:rsid w:val="0058130A"/>
    <w:rsid w:val="00584C37"/>
    <w:rsid w:val="005851D7"/>
    <w:rsid w:val="00585803"/>
    <w:rsid w:val="005904A2"/>
    <w:rsid w:val="00590CB3"/>
    <w:rsid w:val="00591783"/>
    <w:rsid w:val="0059227D"/>
    <w:rsid w:val="005A4857"/>
    <w:rsid w:val="005A67B9"/>
    <w:rsid w:val="005B64BA"/>
    <w:rsid w:val="005C0114"/>
    <w:rsid w:val="005C1A53"/>
    <w:rsid w:val="005C1E0E"/>
    <w:rsid w:val="005C327C"/>
    <w:rsid w:val="005C41D0"/>
    <w:rsid w:val="005C53F5"/>
    <w:rsid w:val="005D044F"/>
    <w:rsid w:val="005D1ED1"/>
    <w:rsid w:val="005D3962"/>
    <w:rsid w:val="005D3A04"/>
    <w:rsid w:val="005D5796"/>
    <w:rsid w:val="005D5966"/>
    <w:rsid w:val="005D7082"/>
    <w:rsid w:val="005D779B"/>
    <w:rsid w:val="005D7931"/>
    <w:rsid w:val="005E1249"/>
    <w:rsid w:val="005E15CF"/>
    <w:rsid w:val="005E1F9D"/>
    <w:rsid w:val="005E5822"/>
    <w:rsid w:val="005E6451"/>
    <w:rsid w:val="005E6649"/>
    <w:rsid w:val="005F0A84"/>
    <w:rsid w:val="005F2B5B"/>
    <w:rsid w:val="005F47D0"/>
    <w:rsid w:val="005F6EE3"/>
    <w:rsid w:val="006002FA"/>
    <w:rsid w:val="00601768"/>
    <w:rsid w:val="00605B01"/>
    <w:rsid w:val="006158C5"/>
    <w:rsid w:val="0061668A"/>
    <w:rsid w:val="00617359"/>
    <w:rsid w:val="00617896"/>
    <w:rsid w:val="006220FA"/>
    <w:rsid w:val="0062237B"/>
    <w:rsid w:val="006231BF"/>
    <w:rsid w:val="00624A72"/>
    <w:rsid w:val="00626276"/>
    <w:rsid w:val="00626A21"/>
    <w:rsid w:val="006308F5"/>
    <w:rsid w:val="00636354"/>
    <w:rsid w:val="00637873"/>
    <w:rsid w:val="00642174"/>
    <w:rsid w:val="00642CBE"/>
    <w:rsid w:val="00645BA8"/>
    <w:rsid w:val="00650A6B"/>
    <w:rsid w:val="0065224A"/>
    <w:rsid w:val="0065237E"/>
    <w:rsid w:val="00655C7C"/>
    <w:rsid w:val="00657009"/>
    <w:rsid w:val="00660270"/>
    <w:rsid w:val="00660BEB"/>
    <w:rsid w:val="00661136"/>
    <w:rsid w:val="006612DA"/>
    <w:rsid w:val="00662BAA"/>
    <w:rsid w:val="00663380"/>
    <w:rsid w:val="00665927"/>
    <w:rsid w:val="00667CED"/>
    <w:rsid w:val="0067057E"/>
    <w:rsid w:val="00670CB5"/>
    <w:rsid w:val="00670D55"/>
    <w:rsid w:val="00671FC7"/>
    <w:rsid w:val="0067241A"/>
    <w:rsid w:val="006762FC"/>
    <w:rsid w:val="0068228B"/>
    <w:rsid w:val="0068454A"/>
    <w:rsid w:val="00684D66"/>
    <w:rsid w:val="00685AAA"/>
    <w:rsid w:val="006933B2"/>
    <w:rsid w:val="00693C6A"/>
    <w:rsid w:val="006946AF"/>
    <w:rsid w:val="00694B45"/>
    <w:rsid w:val="00694EFA"/>
    <w:rsid w:val="0069535B"/>
    <w:rsid w:val="006967D1"/>
    <w:rsid w:val="006976DD"/>
    <w:rsid w:val="006A1787"/>
    <w:rsid w:val="006A1CEB"/>
    <w:rsid w:val="006A252E"/>
    <w:rsid w:val="006A4E34"/>
    <w:rsid w:val="006A6A73"/>
    <w:rsid w:val="006A772F"/>
    <w:rsid w:val="006B285E"/>
    <w:rsid w:val="006B3174"/>
    <w:rsid w:val="006B430C"/>
    <w:rsid w:val="006B4845"/>
    <w:rsid w:val="006B79B5"/>
    <w:rsid w:val="006C13FE"/>
    <w:rsid w:val="006C1411"/>
    <w:rsid w:val="006C261B"/>
    <w:rsid w:val="006C6A0A"/>
    <w:rsid w:val="006D09B5"/>
    <w:rsid w:val="006D0D60"/>
    <w:rsid w:val="006D111F"/>
    <w:rsid w:val="006D1349"/>
    <w:rsid w:val="006D2F7D"/>
    <w:rsid w:val="006D3931"/>
    <w:rsid w:val="006D44EF"/>
    <w:rsid w:val="006D4B8D"/>
    <w:rsid w:val="006D5964"/>
    <w:rsid w:val="006D7D7F"/>
    <w:rsid w:val="006E19A4"/>
    <w:rsid w:val="006E1BFB"/>
    <w:rsid w:val="006E1D7A"/>
    <w:rsid w:val="006E2F22"/>
    <w:rsid w:val="006E58FE"/>
    <w:rsid w:val="006E707B"/>
    <w:rsid w:val="006F60CA"/>
    <w:rsid w:val="007006A3"/>
    <w:rsid w:val="007019FB"/>
    <w:rsid w:val="00701B21"/>
    <w:rsid w:val="00702EE3"/>
    <w:rsid w:val="00703B82"/>
    <w:rsid w:val="00704DF1"/>
    <w:rsid w:val="007056D1"/>
    <w:rsid w:val="00707403"/>
    <w:rsid w:val="00712EE6"/>
    <w:rsid w:val="007161FA"/>
    <w:rsid w:val="0072179E"/>
    <w:rsid w:val="00723988"/>
    <w:rsid w:val="00724704"/>
    <w:rsid w:val="00727B42"/>
    <w:rsid w:val="00732895"/>
    <w:rsid w:val="007336DA"/>
    <w:rsid w:val="00735692"/>
    <w:rsid w:val="00737E8B"/>
    <w:rsid w:val="0074040E"/>
    <w:rsid w:val="00742107"/>
    <w:rsid w:val="00742ABF"/>
    <w:rsid w:val="0074334C"/>
    <w:rsid w:val="00745E04"/>
    <w:rsid w:val="00745E86"/>
    <w:rsid w:val="0074603B"/>
    <w:rsid w:val="007465FA"/>
    <w:rsid w:val="00746813"/>
    <w:rsid w:val="00747DF1"/>
    <w:rsid w:val="007505DC"/>
    <w:rsid w:val="00750CF5"/>
    <w:rsid w:val="00751852"/>
    <w:rsid w:val="007527AF"/>
    <w:rsid w:val="0075453A"/>
    <w:rsid w:val="00754F08"/>
    <w:rsid w:val="00755B43"/>
    <w:rsid w:val="00755CD0"/>
    <w:rsid w:val="0075624A"/>
    <w:rsid w:val="0075686B"/>
    <w:rsid w:val="007604FB"/>
    <w:rsid w:val="007653E6"/>
    <w:rsid w:val="00766280"/>
    <w:rsid w:val="0076775E"/>
    <w:rsid w:val="00767ABE"/>
    <w:rsid w:val="0077266C"/>
    <w:rsid w:val="00775E09"/>
    <w:rsid w:val="007809D6"/>
    <w:rsid w:val="007843D9"/>
    <w:rsid w:val="00784A44"/>
    <w:rsid w:val="00786300"/>
    <w:rsid w:val="00786309"/>
    <w:rsid w:val="00786B2A"/>
    <w:rsid w:val="00791CB7"/>
    <w:rsid w:val="00792EBD"/>
    <w:rsid w:val="00795355"/>
    <w:rsid w:val="00795E35"/>
    <w:rsid w:val="0079662A"/>
    <w:rsid w:val="007974B6"/>
    <w:rsid w:val="007A2671"/>
    <w:rsid w:val="007A3374"/>
    <w:rsid w:val="007A3C21"/>
    <w:rsid w:val="007A474C"/>
    <w:rsid w:val="007A589D"/>
    <w:rsid w:val="007B5424"/>
    <w:rsid w:val="007C0381"/>
    <w:rsid w:val="007C06B8"/>
    <w:rsid w:val="007C3E9D"/>
    <w:rsid w:val="007C4A3B"/>
    <w:rsid w:val="007C61F7"/>
    <w:rsid w:val="007D364E"/>
    <w:rsid w:val="007D3891"/>
    <w:rsid w:val="007D7BAF"/>
    <w:rsid w:val="007E1A3B"/>
    <w:rsid w:val="007E2B68"/>
    <w:rsid w:val="007E2C09"/>
    <w:rsid w:val="007E32CF"/>
    <w:rsid w:val="007E37A5"/>
    <w:rsid w:val="007E486C"/>
    <w:rsid w:val="007E60F5"/>
    <w:rsid w:val="007E6105"/>
    <w:rsid w:val="007E68C4"/>
    <w:rsid w:val="007E6B21"/>
    <w:rsid w:val="007E7BA4"/>
    <w:rsid w:val="007F0838"/>
    <w:rsid w:val="007F0EDB"/>
    <w:rsid w:val="007F52BF"/>
    <w:rsid w:val="007F5A61"/>
    <w:rsid w:val="008009D6"/>
    <w:rsid w:val="008070DA"/>
    <w:rsid w:val="00807970"/>
    <w:rsid w:val="00810F16"/>
    <w:rsid w:val="008115AC"/>
    <w:rsid w:val="0081190B"/>
    <w:rsid w:val="00811BB0"/>
    <w:rsid w:val="0081404B"/>
    <w:rsid w:val="0081488A"/>
    <w:rsid w:val="008156D3"/>
    <w:rsid w:val="00815D6A"/>
    <w:rsid w:val="008161B6"/>
    <w:rsid w:val="008169E3"/>
    <w:rsid w:val="0082054C"/>
    <w:rsid w:val="0082336B"/>
    <w:rsid w:val="00825BE3"/>
    <w:rsid w:val="008300B6"/>
    <w:rsid w:val="008349EB"/>
    <w:rsid w:val="008406BF"/>
    <w:rsid w:val="00845E53"/>
    <w:rsid w:val="0084703C"/>
    <w:rsid w:val="00847211"/>
    <w:rsid w:val="00847D92"/>
    <w:rsid w:val="008524B2"/>
    <w:rsid w:val="00852DFE"/>
    <w:rsid w:val="008532D2"/>
    <w:rsid w:val="0085678B"/>
    <w:rsid w:val="00860B1F"/>
    <w:rsid w:val="008650E7"/>
    <w:rsid w:val="00866DEB"/>
    <w:rsid w:val="008771C5"/>
    <w:rsid w:val="00882289"/>
    <w:rsid w:val="00887410"/>
    <w:rsid w:val="008919EA"/>
    <w:rsid w:val="00892CC9"/>
    <w:rsid w:val="00893FEC"/>
    <w:rsid w:val="00895328"/>
    <w:rsid w:val="008A4E3B"/>
    <w:rsid w:val="008A63A2"/>
    <w:rsid w:val="008A6CCE"/>
    <w:rsid w:val="008A6DD8"/>
    <w:rsid w:val="008A7308"/>
    <w:rsid w:val="008A769A"/>
    <w:rsid w:val="008B5816"/>
    <w:rsid w:val="008C68C4"/>
    <w:rsid w:val="008D3FDE"/>
    <w:rsid w:val="008D4062"/>
    <w:rsid w:val="008D49F1"/>
    <w:rsid w:val="008D7464"/>
    <w:rsid w:val="008E2B76"/>
    <w:rsid w:val="008E2E77"/>
    <w:rsid w:val="008E35D8"/>
    <w:rsid w:val="008E4F47"/>
    <w:rsid w:val="008F073F"/>
    <w:rsid w:val="008F189D"/>
    <w:rsid w:val="008F2DC9"/>
    <w:rsid w:val="008F3110"/>
    <w:rsid w:val="008F3626"/>
    <w:rsid w:val="008F4372"/>
    <w:rsid w:val="008F54DD"/>
    <w:rsid w:val="008F7BE8"/>
    <w:rsid w:val="00901A16"/>
    <w:rsid w:val="00901DFC"/>
    <w:rsid w:val="009048D7"/>
    <w:rsid w:val="00906D27"/>
    <w:rsid w:val="0090707C"/>
    <w:rsid w:val="009129A5"/>
    <w:rsid w:val="0091409A"/>
    <w:rsid w:val="00914465"/>
    <w:rsid w:val="00916C0E"/>
    <w:rsid w:val="009204D6"/>
    <w:rsid w:val="009212EF"/>
    <w:rsid w:val="00922997"/>
    <w:rsid w:val="00925172"/>
    <w:rsid w:val="009306F6"/>
    <w:rsid w:val="00932693"/>
    <w:rsid w:val="00940171"/>
    <w:rsid w:val="009422D9"/>
    <w:rsid w:val="0094268E"/>
    <w:rsid w:val="00942CC9"/>
    <w:rsid w:val="00943C4B"/>
    <w:rsid w:val="00943F42"/>
    <w:rsid w:val="00945180"/>
    <w:rsid w:val="00946D1A"/>
    <w:rsid w:val="00946E78"/>
    <w:rsid w:val="00953CEC"/>
    <w:rsid w:val="00954D24"/>
    <w:rsid w:val="00955E50"/>
    <w:rsid w:val="0095632E"/>
    <w:rsid w:val="00960268"/>
    <w:rsid w:val="00963719"/>
    <w:rsid w:val="009641F8"/>
    <w:rsid w:val="00964F2B"/>
    <w:rsid w:val="00971ACF"/>
    <w:rsid w:val="00974AA7"/>
    <w:rsid w:val="0097689E"/>
    <w:rsid w:val="00977022"/>
    <w:rsid w:val="009803DF"/>
    <w:rsid w:val="009912E0"/>
    <w:rsid w:val="00995910"/>
    <w:rsid w:val="00996765"/>
    <w:rsid w:val="009A0AA2"/>
    <w:rsid w:val="009A2E21"/>
    <w:rsid w:val="009A4AC2"/>
    <w:rsid w:val="009A51E4"/>
    <w:rsid w:val="009A65FC"/>
    <w:rsid w:val="009A7E28"/>
    <w:rsid w:val="009B11A4"/>
    <w:rsid w:val="009B2794"/>
    <w:rsid w:val="009B2D93"/>
    <w:rsid w:val="009B5357"/>
    <w:rsid w:val="009B5BAE"/>
    <w:rsid w:val="009C0055"/>
    <w:rsid w:val="009C0D3E"/>
    <w:rsid w:val="009C2B47"/>
    <w:rsid w:val="009C33B8"/>
    <w:rsid w:val="009C7D60"/>
    <w:rsid w:val="009D143B"/>
    <w:rsid w:val="009D198E"/>
    <w:rsid w:val="009D1A13"/>
    <w:rsid w:val="009D6940"/>
    <w:rsid w:val="009D7749"/>
    <w:rsid w:val="009E1383"/>
    <w:rsid w:val="009E1704"/>
    <w:rsid w:val="009E1A03"/>
    <w:rsid w:val="009E2BD0"/>
    <w:rsid w:val="009E4757"/>
    <w:rsid w:val="009E7616"/>
    <w:rsid w:val="009F3339"/>
    <w:rsid w:val="009F3A49"/>
    <w:rsid w:val="009F411F"/>
    <w:rsid w:val="009F4F07"/>
    <w:rsid w:val="00A01ADB"/>
    <w:rsid w:val="00A0654C"/>
    <w:rsid w:val="00A108E9"/>
    <w:rsid w:val="00A10FC2"/>
    <w:rsid w:val="00A139BD"/>
    <w:rsid w:val="00A14706"/>
    <w:rsid w:val="00A14DE6"/>
    <w:rsid w:val="00A222FD"/>
    <w:rsid w:val="00A228CC"/>
    <w:rsid w:val="00A24229"/>
    <w:rsid w:val="00A25C6C"/>
    <w:rsid w:val="00A26865"/>
    <w:rsid w:val="00A3244B"/>
    <w:rsid w:val="00A33E1A"/>
    <w:rsid w:val="00A34ADB"/>
    <w:rsid w:val="00A40EBA"/>
    <w:rsid w:val="00A41013"/>
    <w:rsid w:val="00A432EC"/>
    <w:rsid w:val="00A43F9F"/>
    <w:rsid w:val="00A44D44"/>
    <w:rsid w:val="00A47762"/>
    <w:rsid w:val="00A47AB3"/>
    <w:rsid w:val="00A526AF"/>
    <w:rsid w:val="00A535AE"/>
    <w:rsid w:val="00A5447F"/>
    <w:rsid w:val="00A555B0"/>
    <w:rsid w:val="00A5738B"/>
    <w:rsid w:val="00A6366C"/>
    <w:rsid w:val="00A66764"/>
    <w:rsid w:val="00A70E06"/>
    <w:rsid w:val="00A71FE7"/>
    <w:rsid w:val="00A7410B"/>
    <w:rsid w:val="00A77A09"/>
    <w:rsid w:val="00A806E5"/>
    <w:rsid w:val="00A824D9"/>
    <w:rsid w:val="00A82C15"/>
    <w:rsid w:val="00A8333B"/>
    <w:rsid w:val="00A83BB6"/>
    <w:rsid w:val="00A843A4"/>
    <w:rsid w:val="00A85E79"/>
    <w:rsid w:val="00A91CAB"/>
    <w:rsid w:val="00A924B2"/>
    <w:rsid w:val="00A92D87"/>
    <w:rsid w:val="00A93704"/>
    <w:rsid w:val="00A94375"/>
    <w:rsid w:val="00A9467F"/>
    <w:rsid w:val="00A97539"/>
    <w:rsid w:val="00AA16A9"/>
    <w:rsid w:val="00AA2763"/>
    <w:rsid w:val="00AA4F13"/>
    <w:rsid w:val="00AB1182"/>
    <w:rsid w:val="00AB2260"/>
    <w:rsid w:val="00AB349B"/>
    <w:rsid w:val="00AB529B"/>
    <w:rsid w:val="00AB5977"/>
    <w:rsid w:val="00AB5B9C"/>
    <w:rsid w:val="00AC0130"/>
    <w:rsid w:val="00AC1F12"/>
    <w:rsid w:val="00AC1FCB"/>
    <w:rsid w:val="00AC714A"/>
    <w:rsid w:val="00AD165A"/>
    <w:rsid w:val="00AE6751"/>
    <w:rsid w:val="00AF217D"/>
    <w:rsid w:val="00AF2A27"/>
    <w:rsid w:val="00AF3FE4"/>
    <w:rsid w:val="00AF41F4"/>
    <w:rsid w:val="00AF56A9"/>
    <w:rsid w:val="00AF5F60"/>
    <w:rsid w:val="00AF62C1"/>
    <w:rsid w:val="00AF6E1B"/>
    <w:rsid w:val="00AF6F70"/>
    <w:rsid w:val="00AF7975"/>
    <w:rsid w:val="00AF7E38"/>
    <w:rsid w:val="00B028D4"/>
    <w:rsid w:val="00B0558E"/>
    <w:rsid w:val="00B06D79"/>
    <w:rsid w:val="00B11D8C"/>
    <w:rsid w:val="00B11EA8"/>
    <w:rsid w:val="00B17489"/>
    <w:rsid w:val="00B17B31"/>
    <w:rsid w:val="00B20FB0"/>
    <w:rsid w:val="00B210D4"/>
    <w:rsid w:val="00B21CFF"/>
    <w:rsid w:val="00B23161"/>
    <w:rsid w:val="00B23B23"/>
    <w:rsid w:val="00B24085"/>
    <w:rsid w:val="00B25652"/>
    <w:rsid w:val="00B267DE"/>
    <w:rsid w:val="00B31131"/>
    <w:rsid w:val="00B3151C"/>
    <w:rsid w:val="00B31774"/>
    <w:rsid w:val="00B33E1D"/>
    <w:rsid w:val="00B35981"/>
    <w:rsid w:val="00B4055C"/>
    <w:rsid w:val="00B40A9E"/>
    <w:rsid w:val="00B4105E"/>
    <w:rsid w:val="00B442CA"/>
    <w:rsid w:val="00B45822"/>
    <w:rsid w:val="00B45987"/>
    <w:rsid w:val="00B45CFD"/>
    <w:rsid w:val="00B5064B"/>
    <w:rsid w:val="00B532B4"/>
    <w:rsid w:val="00B55857"/>
    <w:rsid w:val="00B57AD8"/>
    <w:rsid w:val="00B61ECE"/>
    <w:rsid w:val="00B70522"/>
    <w:rsid w:val="00B70EBE"/>
    <w:rsid w:val="00B71ACE"/>
    <w:rsid w:val="00B73021"/>
    <w:rsid w:val="00B7307F"/>
    <w:rsid w:val="00B7413D"/>
    <w:rsid w:val="00B743FC"/>
    <w:rsid w:val="00B74762"/>
    <w:rsid w:val="00B75774"/>
    <w:rsid w:val="00B764C1"/>
    <w:rsid w:val="00B767AC"/>
    <w:rsid w:val="00B77642"/>
    <w:rsid w:val="00B80EDB"/>
    <w:rsid w:val="00B826A0"/>
    <w:rsid w:val="00B849C8"/>
    <w:rsid w:val="00B84A61"/>
    <w:rsid w:val="00B8603A"/>
    <w:rsid w:val="00B903DF"/>
    <w:rsid w:val="00B92222"/>
    <w:rsid w:val="00B9238D"/>
    <w:rsid w:val="00B929FC"/>
    <w:rsid w:val="00B9344A"/>
    <w:rsid w:val="00B94ABD"/>
    <w:rsid w:val="00B951EC"/>
    <w:rsid w:val="00B963A1"/>
    <w:rsid w:val="00BA36E9"/>
    <w:rsid w:val="00BA6194"/>
    <w:rsid w:val="00BB0BB8"/>
    <w:rsid w:val="00BB354F"/>
    <w:rsid w:val="00BB36AA"/>
    <w:rsid w:val="00BB3AC0"/>
    <w:rsid w:val="00BB4BD8"/>
    <w:rsid w:val="00BB56C2"/>
    <w:rsid w:val="00BB639C"/>
    <w:rsid w:val="00BB7B7D"/>
    <w:rsid w:val="00BC04A2"/>
    <w:rsid w:val="00BC3795"/>
    <w:rsid w:val="00BC43B2"/>
    <w:rsid w:val="00BC5A8C"/>
    <w:rsid w:val="00BD055B"/>
    <w:rsid w:val="00BD173D"/>
    <w:rsid w:val="00BD185F"/>
    <w:rsid w:val="00BD4846"/>
    <w:rsid w:val="00BD66CA"/>
    <w:rsid w:val="00BE2996"/>
    <w:rsid w:val="00BE2E56"/>
    <w:rsid w:val="00BE449C"/>
    <w:rsid w:val="00BE4593"/>
    <w:rsid w:val="00BE46FB"/>
    <w:rsid w:val="00BE48EE"/>
    <w:rsid w:val="00BE5146"/>
    <w:rsid w:val="00BE5BDB"/>
    <w:rsid w:val="00BF2569"/>
    <w:rsid w:val="00BF794E"/>
    <w:rsid w:val="00C00100"/>
    <w:rsid w:val="00C0196D"/>
    <w:rsid w:val="00C0228F"/>
    <w:rsid w:val="00C02849"/>
    <w:rsid w:val="00C033A7"/>
    <w:rsid w:val="00C124DE"/>
    <w:rsid w:val="00C13BA0"/>
    <w:rsid w:val="00C167FE"/>
    <w:rsid w:val="00C16A30"/>
    <w:rsid w:val="00C21DF8"/>
    <w:rsid w:val="00C3009F"/>
    <w:rsid w:val="00C30407"/>
    <w:rsid w:val="00C31FA8"/>
    <w:rsid w:val="00C33BD8"/>
    <w:rsid w:val="00C34542"/>
    <w:rsid w:val="00C34D6A"/>
    <w:rsid w:val="00C35581"/>
    <w:rsid w:val="00C42125"/>
    <w:rsid w:val="00C42B9E"/>
    <w:rsid w:val="00C4582E"/>
    <w:rsid w:val="00C45C78"/>
    <w:rsid w:val="00C467B2"/>
    <w:rsid w:val="00C50185"/>
    <w:rsid w:val="00C5168E"/>
    <w:rsid w:val="00C55B91"/>
    <w:rsid w:val="00C56652"/>
    <w:rsid w:val="00C602A9"/>
    <w:rsid w:val="00C62607"/>
    <w:rsid w:val="00C6480E"/>
    <w:rsid w:val="00C707E2"/>
    <w:rsid w:val="00C75781"/>
    <w:rsid w:val="00C767EB"/>
    <w:rsid w:val="00C77EF6"/>
    <w:rsid w:val="00C77F41"/>
    <w:rsid w:val="00C827C5"/>
    <w:rsid w:val="00C84409"/>
    <w:rsid w:val="00C84A63"/>
    <w:rsid w:val="00C866AE"/>
    <w:rsid w:val="00C9276F"/>
    <w:rsid w:val="00C927EF"/>
    <w:rsid w:val="00C9418B"/>
    <w:rsid w:val="00C95A66"/>
    <w:rsid w:val="00C95BBD"/>
    <w:rsid w:val="00C97CEF"/>
    <w:rsid w:val="00CA0CFC"/>
    <w:rsid w:val="00CA11E3"/>
    <w:rsid w:val="00CA1546"/>
    <w:rsid w:val="00CA230E"/>
    <w:rsid w:val="00CA3149"/>
    <w:rsid w:val="00CA34B7"/>
    <w:rsid w:val="00CA71D8"/>
    <w:rsid w:val="00CA7518"/>
    <w:rsid w:val="00CB11C4"/>
    <w:rsid w:val="00CB39FE"/>
    <w:rsid w:val="00CB3CEB"/>
    <w:rsid w:val="00CB51F1"/>
    <w:rsid w:val="00CB7307"/>
    <w:rsid w:val="00CB7D05"/>
    <w:rsid w:val="00CC137C"/>
    <w:rsid w:val="00CC22AF"/>
    <w:rsid w:val="00CD3603"/>
    <w:rsid w:val="00CD6E35"/>
    <w:rsid w:val="00CD7516"/>
    <w:rsid w:val="00CE007A"/>
    <w:rsid w:val="00CE0518"/>
    <w:rsid w:val="00CE07C7"/>
    <w:rsid w:val="00CE0BA2"/>
    <w:rsid w:val="00CE1E33"/>
    <w:rsid w:val="00CE3CDF"/>
    <w:rsid w:val="00CE3F5A"/>
    <w:rsid w:val="00CE6ECF"/>
    <w:rsid w:val="00CF0AFC"/>
    <w:rsid w:val="00CF2D1C"/>
    <w:rsid w:val="00CF4BB7"/>
    <w:rsid w:val="00CF529E"/>
    <w:rsid w:val="00CF56E3"/>
    <w:rsid w:val="00CF66EB"/>
    <w:rsid w:val="00CF729D"/>
    <w:rsid w:val="00CF7FFC"/>
    <w:rsid w:val="00D00165"/>
    <w:rsid w:val="00D029B5"/>
    <w:rsid w:val="00D03E2A"/>
    <w:rsid w:val="00D076D4"/>
    <w:rsid w:val="00D1122F"/>
    <w:rsid w:val="00D11737"/>
    <w:rsid w:val="00D11C09"/>
    <w:rsid w:val="00D1295A"/>
    <w:rsid w:val="00D139C5"/>
    <w:rsid w:val="00D1615E"/>
    <w:rsid w:val="00D16F93"/>
    <w:rsid w:val="00D2178C"/>
    <w:rsid w:val="00D2540E"/>
    <w:rsid w:val="00D257A5"/>
    <w:rsid w:val="00D30B79"/>
    <w:rsid w:val="00D319BE"/>
    <w:rsid w:val="00D31D93"/>
    <w:rsid w:val="00D3231F"/>
    <w:rsid w:val="00D35DDE"/>
    <w:rsid w:val="00D369CC"/>
    <w:rsid w:val="00D37CD6"/>
    <w:rsid w:val="00D4033B"/>
    <w:rsid w:val="00D40718"/>
    <w:rsid w:val="00D41527"/>
    <w:rsid w:val="00D43C8B"/>
    <w:rsid w:val="00D4531E"/>
    <w:rsid w:val="00D4629E"/>
    <w:rsid w:val="00D4720D"/>
    <w:rsid w:val="00D47A27"/>
    <w:rsid w:val="00D5172C"/>
    <w:rsid w:val="00D53762"/>
    <w:rsid w:val="00D54262"/>
    <w:rsid w:val="00D556A1"/>
    <w:rsid w:val="00D6498A"/>
    <w:rsid w:val="00D66991"/>
    <w:rsid w:val="00D66C09"/>
    <w:rsid w:val="00D75BBD"/>
    <w:rsid w:val="00D83996"/>
    <w:rsid w:val="00D8446D"/>
    <w:rsid w:val="00D90C97"/>
    <w:rsid w:val="00D91867"/>
    <w:rsid w:val="00D944FD"/>
    <w:rsid w:val="00D9762D"/>
    <w:rsid w:val="00D97B79"/>
    <w:rsid w:val="00DA0AEA"/>
    <w:rsid w:val="00DA2147"/>
    <w:rsid w:val="00DA3594"/>
    <w:rsid w:val="00DA3A5B"/>
    <w:rsid w:val="00DA4214"/>
    <w:rsid w:val="00DA439E"/>
    <w:rsid w:val="00DA4E73"/>
    <w:rsid w:val="00DA564D"/>
    <w:rsid w:val="00DA5ACF"/>
    <w:rsid w:val="00DA60CA"/>
    <w:rsid w:val="00DB0C27"/>
    <w:rsid w:val="00DB1E2F"/>
    <w:rsid w:val="00DB2B36"/>
    <w:rsid w:val="00DB2C37"/>
    <w:rsid w:val="00DB31A9"/>
    <w:rsid w:val="00DB58C3"/>
    <w:rsid w:val="00DB7D38"/>
    <w:rsid w:val="00DC1820"/>
    <w:rsid w:val="00DC1A50"/>
    <w:rsid w:val="00DC45AA"/>
    <w:rsid w:val="00DC5974"/>
    <w:rsid w:val="00DC5DA5"/>
    <w:rsid w:val="00DD05E0"/>
    <w:rsid w:val="00DD6B5F"/>
    <w:rsid w:val="00DE1FB3"/>
    <w:rsid w:val="00DE33D2"/>
    <w:rsid w:val="00DE3455"/>
    <w:rsid w:val="00DE616D"/>
    <w:rsid w:val="00DF0F56"/>
    <w:rsid w:val="00DF15AC"/>
    <w:rsid w:val="00DF74BA"/>
    <w:rsid w:val="00DF79E0"/>
    <w:rsid w:val="00E04790"/>
    <w:rsid w:val="00E06C62"/>
    <w:rsid w:val="00E070EB"/>
    <w:rsid w:val="00E07B55"/>
    <w:rsid w:val="00E10DD5"/>
    <w:rsid w:val="00E11CD2"/>
    <w:rsid w:val="00E12BCC"/>
    <w:rsid w:val="00E143F8"/>
    <w:rsid w:val="00E158F3"/>
    <w:rsid w:val="00E16195"/>
    <w:rsid w:val="00E16B2A"/>
    <w:rsid w:val="00E1700E"/>
    <w:rsid w:val="00E24C62"/>
    <w:rsid w:val="00E26222"/>
    <w:rsid w:val="00E26ED7"/>
    <w:rsid w:val="00E319B2"/>
    <w:rsid w:val="00E337CC"/>
    <w:rsid w:val="00E33CCC"/>
    <w:rsid w:val="00E401A6"/>
    <w:rsid w:val="00E46079"/>
    <w:rsid w:val="00E4683F"/>
    <w:rsid w:val="00E52FDE"/>
    <w:rsid w:val="00E53FF7"/>
    <w:rsid w:val="00E5581E"/>
    <w:rsid w:val="00E57DA0"/>
    <w:rsid w:val="00E60FF4"/>
    <w:rsid w:val="00E6245E"/>
    <w:rsid w:val="00E658D8"/>
    <w:rsid w:val="00E6796C"/>
    <w:rsid w:val="00E707DC"/>
    <w:rsid w:val="00E71601"/>
    <w:rsid w:val="00E74071"/>
    <w:rsid w:val="00E74349"/>
    <w:rsid w:val="00E7554C"/>
    <w:rsid w:val="00E762BB"/>
    <w:rsid w:val="00E765D9"/>
    <w:rsid w:val="00E77C12"/>
    <w:rsid w:val="00E80876"/>
    <w:rsid w:val="00E87DA3"/>
    <w:rsid w:val="00E90215"/>
    <w:rsid w:val="00E92130"/>
    <w:rsid w:val="00E929C3"/>
    <w:rsid w:val="00E93823"/>
    <w:rsid w:val="00E9445C"/>
    <w:rsid w:val="00E9528A"/>
    <w:rsid w:val="00E964FA"/>
    <w:rsid w:val="00E975D6"/>
    <w:rsid w:val="00E97FE1"/>
    <w:rsid w:val="00EA08C7"/>
    <w:rsid w:val="00EA403E"/>
    <w:rsid w:val="00EA501C"/>
    <w:rsid w:val="00EA6D37"/>
    <w:rsid w:val="00EB44D8"/>
    <w:rsid w:val="00EB7642"/>
    <w:rsid w:val="00EB77BE"/>
    <w:rsid w:val="00EC184F"/>
    <w:rsid w:val="00EC35DC"/>
    <w:rsid w:val="00EC5443"/>
    <w:rsid w:val="00ED36A2"/>
    <w:rsid w:val="00ED3796"/>
    <w:rsid w:val="00ED49C2"/>
    <w:rsid w:val="00EE0C19"/>
    <w:rsid w:val="00EE2434"/>
    <w:rsid w:val="00EE786D"/>
    <w:rsid w:val="00EE7C03"/>
    <w:rsid w:val="00EF07B8"/>
    <w:rsid w:val="00EF1597"/>
    <w:rsid w:val="00EF5E42"/>
    <w:rsid w:val="00F00662"/>
    <w:rsid w:val="00F01D88"/>
    <w:rsid w:val="00F02259"/>
    <w:rsid w:val="00F04ABE"/>
    <w:rsid w:val="00F05482"/>
    <w:rsid w:val="00F0704B"/>
    <w:rsid w:val="00F076BC"/>
    <w:rsid w:val="00F105E5"/>
    <w:rsid w:val="00F12C6A"/>
    <w:rsid w:val="00F15586"/>
    <w:rsid w:val="00F156A1"/>
    <w:rsid w:val="00F20575"/>
    <w:rsid w:val="00F20712"/>
    <w:rsid w:val="00F208B8"/>
    <w:rsid w:val="00F233E4"/>
    <w:rsid w:val="00F27AF1"/>
    <w:rsid w:val="00F3354C"/>
    <w:rsid w:val="00F35C59"/>
    <w:rsid w:val="00F4378A"/>
    <w:rsid w:val="00F474AE"/>
    <w:rsid w:val="00F5156D"/>
    <w:rsid w:val="00F51D19"/>
    <w:rsid w:val="00F55544"/>
    <w:rsid w:val="00F57BED"/>
    <w:rsid w:val="00F6087E"/>
    <w:rsid w:val="00F61B54"/>
    <w:rsid w:val="00F64DDB"/>
    <w:rsid w:val="00F70BE0"/>
    <w:rsid w:val="00F74121"/>
    <w:rsid w:val="00F7534F"/>
    <w:rsid w:val="00F77E9D"/>
    <w:rsid w:val="00F828C3"/>
    <w:rsid w:val="00F8713B"/>
    <w:rsid w:val="00F90181"/>
    <w:rsid w:val="00F92C05"/>
    <w:rsid w:val="00F9588B"/>
    <w:rsid w:val="00F96349"/>
    <w:rsid w:val="00F96C76"/>
    <w:rsid w:val="00F96E2F"/>
    <w:rsid w:val="00FA0109"/>
    <w:rsid w:val="00FA3D83"/>
    <w:rsid w:val="00FA4EE8"/>
    <w:rsid w:val="00FA4FA7"/>
    <w:rsid w:val="00FA6411"/>
    <w:rsid w:val="00FB0DED"/>
    <w:rsid w:val="00FB124A"/>
    <w:rsid w:val="00FB3366"/>
    <w:rsid w:val="00FC04F8"/>
    <w:rsid w:val="00FC0D95"/>
    <w:rsid w:val="00FC12FA"/>
    <w:rsid w:val="00FC26C6"/>
    <w:rsid w:val="00FC47DF"/>
    <w:rsid w:val="00FC4B3C"/>
    <w:rsid w:val="00FD3315"/>
    <w:rsid w:val="00FD459F"/>
    <w:rsid w:val="00FD5A34"/>
    <w:rsid w:val="00FD6059"/>
    <w:rsid w:val="00FE44F1"/>
    <w:rsid w:val="00FE4579"/>
    <w:rsid w:val="00FE794C"/>
    <w:rsid w:val="00FF27E8"/>
    <w:rsid w:val="00FF28CC"/>
    <w:rsid w:val="00FF65E8"/>
    <w:rsid w:val="1C894B2C"/>
    <w:rsid w:val="26945303"/>
    <w:rsid w:val="2D5D2702"/>
    <w:rsid w:val="439F59EA"/>
    <w:rsid w:val="71C0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09805"/>
  <w15:docId w15:val="{2E5B9995-59D2-4173-9465-CBF1F009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1B3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楷体_GB2312"/>
      <w:sz w:val="28"/>
    </w:rPr>
  </w:style>
  <w:style w:type="paragraph" w:styleId="a4">
    <w:name w:val="annotation text"/>
    <w:basedOn w:val="a"/>
    <w:link w:val="a5"/>
    <w:uiPriority w:val="99"/>
    <w:qFormat/>
    <w:pPr>
      <w:jc w:val="left"/>
    </w:pPr>
  </w:style>
  <w:style w:type="paragraph" w:styleId="a6">
    <w:name w:val="Balloon Text"/>
    <w:basedOn w:val="a"/>
    <w:semiHidden/>
    <w:qFormat/>
    <w:rPr>
      <w:sz w:val="18"/>
      <w:szCs w:val="18"/>
    </w:rPr>
  </w:style>
  <w:style w:type="paragraph" w:styleId="a7">
    <w:name w:val="footer"/>
    <w:basedOn w:val="a"/>
    <w:link w:val="1"/>
    <w:uiPriority w:val="99"/>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ab"/>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Pr>
      <w:sz w:val="21"/>
      <w:szCs w:val="21"/>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character" w:customStyle="1" w:styleId="a9">
    <w:name w:val="页眉 字符"/>
    <w:link w:val="a8"/>
    <w:rPr>
      <w:kern w:val="2"/>
      <w:sz w:val="18"/>
      <w:szCs w:val="18"/>
    </w:rPr>
  </w:style>
  <w:style w:type="character" w:customStyle="1" w:styleId="1">
    <w:name w:val="页脚 字符1"/>
    <w:link w:val="a7"/>
    <w:qFormat/>
    <w:rPr>
      <w:kern w:val="2"/>
      <w:sz w:val="18"/>
      <w:szCs w:val="18"/>
    </w:rPr>
  </w:style>
  <w:style w:type="character" w:customStyle="1" w:styleId="ae">
    <w:name w:val="页脚 字符"/>
    <w:uiPriority w:val="99"/>
    <w:qFormat/>
  </w:style>
  <w:style w:type="character" w:customStyle="1" w:styleId="a5">
    <w:name w:val="批注文字 字符"/>
    <w:basedOn w:val="a0"/>
    <w:link w:val="a4"/>
    <w:uiPriority w:val="99"/>
    <w:qFormat/>
    <w:rPr>
      <w:kern w:val="2"/>
      <w:sz w:val="21"/>
      <w:szCs w:val="24"/>
    </w:rPr>
  </w:style>
  <w:style w:type="character" w:customStyle="1" w:styleId="ab">
    <w:name w:val="批注主题 字符"/>
    <w:basedOn w:val="a5"/>
    <w:link w:val="aa"/>
    <w:qFormat/>
    <w:rPr>
      <w:b/>
      <w:bCs/>
      <w:kern w:val="2"/>
      <w:sz w:val="21"/>
      <w:szCs w:val="24"/>
    </w:rPr>
  </w:style>
  <w:style w:type="paragraph" w:styleId="af">
    <w:name w:val="List Paragraph"/>
    <w:basedOn w:val="a"/>
    <w:uiPriority w:val="99"/>
    <w:rsid w:val="006E58FE"/>
    <w:pPr>
      <w:ind w:firstLineChars="200" w:firstLine="420"/>
    </w:pPr>
  </w:style>
  <w:style w:type="table" w:customStyle="1" w:styleId="10">
    <w:name w:val="网格型1"/>
    <w:basedOn w:val="a1"/>
    <w:next w:val="ac"/>
    <w:uiPriority w:val="39"/>
    <w:qFormat/>
    <w:rsid w:val="00BD66C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0704B"/>
    <w:rPr>
      <w:rFonts w:ascii="Times New Roman" w:eastAsia="宋体" w:hAnsi="Times New Roman" w:cs="Times New Roman"/>
      <w:kern w:val="2"/>
      <w:sz w:val="21"/>
      <w:szCs w:val="24"/>
    </w:rPr>
  </w:style>
  <w:style w:type="table" w:customStyle="1" w:styleId="2">
    <w:name w:val="网格型2"/>
    <w:basedOn w:val="a1"/>
    <w:next w:val="ac"/>
    <w:uiPriority w:val="39"/>
    <w:qFormat/>
    <w:rsid w:val="00EB4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DA150-1F15-4753-9540-BBC088AF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4</Pages>
  <Words>699</Words>
  <Characters>3988</Characters>
  <Application>Microsoft Office Word</Application>
  <DocSecurity>0</DocSecurity>
  <Lines>33</Lines>
  <Paragraphs>9</Paragraphs>
  <ScaleCrop>false</ScaleCrop>
  <Company>debon</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博隆技术</dc:creator>
  <cp:lastModifiedBy>林佳琪</cp:lastModifiedBy>
  <cp:revision>164</cp:revision>
  <cp:lastPrinted>2009-06-22T07:04:00Z</cp:lastPrinted>
  <dcterms:created xsi:type="dcterms:W3CDTF">2024-04-25T03:26:00Z</dcterms:created>
  <dcterms:modified xsi:type="dcterms:W3CDTF">2024-05-31T08:56:00Z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