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宋体" w:cs="宋体"/>
          <w:b/>
          <w:sz w:val="28"/>
          <w:szCs w:val="28"/>
        </w:rPr>
      </w:pPr>
      <w:r>
        <w:rPr>
          <w:rFonts w:hint="eastAsia" w:ascii="Times New Roman" w:hAnsi="Times New Roman" w:eastAsia="宋体"/>
          <w:bCs/>
          <w:sz w:val="24"/>
          <w:szCs w:val="24"/>
        </w:rPr>
        <w:t>证券代码：</w:t>
      </w:r>
      <w:r>
        <w:rPr>
          <w:rFonts w:ascii="Times New Roman" w:hAnsi="Times New Roman" w:eastAsia="宋体"/>
          <w:bCs/>
          <w:sz w:val="24"/>
          <w:szCs w:val="24"/>
        </w:rPr>
        <w:t xml:space="preserve">601567                                   </w:t>
      </w:r>
      <w:r>
        <w:rPr>
          <w:rFonts w:hint="eastAsia" w:ascii="Times New Roman" w:hAnsi="Times New Roman" w:eastAsia="宋体"/>
          <w:bCs/>
          <w:sz w:val="24"/>
          <w:szCs w:val="24"/>
        </w:rPr>
        <w:t>证券简称：三星医疗</w:t>
      </w:r>
    </w:p>
    <w:p>
      <w:pPr>
        <w:spacing w:after="156" w:afterLines="50" w:line="360" w:lineRule="auto"/>
        <w:jc w:val="center"/>
        <w:rPr>
          <w:rFonts w:ascii="Times New Roman" w:hAnsi="Times New Roman" w:eastAsia="宋体" w:cs="宋体"/>
          <w:b/>
          <w:color w:val="FF0000"/>
          <w:sz w:val="32"/>
          <w:szCs w:val="32"/>
        </w:rPr>
      </w:pPr>
      <w:r>
        <w:rPr>
          <w:rFonts w:hint="eastAsia" w:ascii="Times New Roman" w:hAnsi="Times New Roman" w:eastAsia="宋体" w:cs="宋体"/>
          <w:b/>
          <w:color w:val="FF0000"/>
          <w:sz w:val="32"/>
          <w:szCs w:val="32"/>
        </w:rPr>
        <w:t>宁波三星医疗电气股份有限公司</w:t>
      </w:r>
      <w:r>
        <w:rPr>
          <w:rFonts w:ascii="Times New Roman" w:hAnsi="Times New Roman" w:eastAsia="宋体" w:cs="宋体"/>
          <w:b/>
          <w:color w:val="FF0000"/>
          <w:sz w:val="32"/>
          <w:szCs w:val="32"/>
        </w:rPr>
        <w:br w:type="textWrapping"/>
      </w:r>
      <w:r>
        <w:rPr>
          <w:rFonts w:hint="eastAsia" w:ascii="Times New Roman" w:hAnsi="Times New Roman" w:eastAsia="宋体" w:cs="宋体"/>
          <w:b/>
          <w:color w:val="FF0000"/>
          <w:sz w:val="32"/>
          <w:szCs w:val="32"/>
        </w:rPr>
        <w:t>投资者关系活动记录表</w:t>
      </w:r>
    </w:p>
    <w:tbl>
      <w:tblPr>
        <w:tblStyle w:val="7"/>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65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投资者关系</w:t>
            </w:r>
            <w:r>
              <w:rPr>
                <w:rFonts w:ascii="Times New Roman" w:hAnsi="Times New Roman" w:eastAsia="宋体" w:cs="宋体"/>
                <w:b/>
                <w:bCs/>
                <w:szCs w:val="21"/>
              </w:rPr>
              <w:br w:type="textWrapping"/>
            </w:r>
            <w:r>
              <w:rPr>
                <w:rFonts w:hint="eastAsia" w:ascii="Times New Roman" w:hAnsi="Times New Roman" w:eastAsia="宋体" w:cs="宋体"/>
                <w:b/>
                <w:bCs/>
                <w:szCs w:val="21"/>
              </w:rPr>
              <w:t>活动类别</w:t>
            </w:r>
          </w:p>
        </w:tc>
        <w:tc>
          <w:tcPr>
            <w:tcW w:w="3855" w:type="pct"/>
            <w:vAlign w:val="center"/>
          </w:tcPr>
          <w:p>
            <w:pPr>
              <w:spacing w:line="360" w:lineRule="auto"/>
              <w:jc w:val="left"/>
              <w:rPr>
                <w:rFonts w:ascii="Times New Roman" w:hAnsi="Times New Roman" w:eastAsia="宋体" w:cs="宋体"/>
                <w:szCs w:val="21"/>
              </w:rPr>
            </w:pPr>
            <w:r>
              <w:rPr>
                <w:rFonts w:ascii="Times New Roman" w:hAnsi="Times New Roman" w:eastAsia="宋体" w:cs="宋体"/>
                <w:szCs w:val="21"/>
              </w:rPr>
              <w:sym w:font="Wingdings 2" w:char="0052"/>
            </w:r>
            <w:r>
              <w:rPr>
                <w:rFonts w:hint="eastAsia" w:ascii="Times New Roman" w:hAnsi="Times New Roman" w:eastAsia="宋体" w:cs="宋体"/>
                <w:szCs w:val="21"/>
              </w:rPr>
              <w:t>特定对象调研</w:t>
            </w:r>
            <w:r>
              <w:rPr>
                <w:rFonts w:ascii="Times New Roman" w:hAnsi="Times New Roman" w:eastAsia="宋体" w:cs="宋体"/>
                <w:szCs w:val="21"/>
              </w:rPr>
              <w:t xml:space="preserve">    </w:t>
            </w:r>
            <w:r>
              <w:rPr>
                <w:rFonts w:ascii="Times New Roman" w:hAnsi="Times New Roman" w:eastAsia="宋体" w:cs="宋体"/>
                <w:szCs w:val="21"/>
              </w:rPr>
              <w:sym w:font="Wingdings 2" w:char="00A3"/>
            </w:r>
            <w:r>
              <w:rPr>
                <w:rFonts w:hint="eastAsia" w:ascii="Times New Roman" w:hAnsi="Times New Roman" w:eastAsia="宋体" w:cs="宋体"/>
                <w:szCs w:val="21"/>
              </w:rPr>
              <w:t>分析师会议</w:t>
            </w:r>
          </w:p>
          <w:p>
            <w:pPr>
              <w:spacing w:line="360" w:lineRule="auto"/>
              <w:jc w:val="left"/>
              <w:rPr>
                <w:rFonts w:ascii="Times New Roman" w:hAnsi="Times New Roman" w:eastAsia="宋体" w:cs="宋体"/>
                <w:szCs w:val="21"/>
              </w:rPr>
            </w:pPr>
            <w:r>
              <w:rPr>
                <w:rFonts w:ascii="Times New Roman" w:hAnsi="Times New Roman" w:eastAsia="宋体" w:cs="宋体"/>
                <w:szCs w:val="21"/>
              </w:rPr>
              <w:sym w:font="Wingdings 2" w:char="00A3"/>
            </w:r>
            <w:r>
              <w:rPr>
                <w:rFonts w:hint="eastAsia" w:ascii="Times New Roman" w:hAnsi="Times New Roman" w:eastAsia="宋体" w:cs="宋体"/>
                <w:szCs w:val="21"/>
              </w:rPr>
              <w:t>媒体采访</w:t>
            </w:r>
            <w:r>
              <w:rPr>
                <w:rFonts w:ascii="Times New Roman" w:hAnsi="Times New Roman" w:eastAsia="宋体" w:cs="宋体"/>
                <w:szCs w:val="21"/>
              </w:rPr>
              <w:t xml:space="preserve">         </w:t>
            </w:r>
            <w:r>
              <w:rPr>
                <w:rFonts w:ascii="Times New Roman" w:hAnsi="Times New Roman" w:eastAsia="宋体" w:cs="宋体"/>
                <w:szCs w:val="21"/>
              </w:rPr>
              <w:sym w:font="Wingdings 2" w:char="00A3"/>
            </w:r>
            <w:r>
              <w:rPr>
                <w:rFonts w:hint="eastAsia" w:ascii="Times New Roman" w:hAnsi="Times New Roman" w:eastAsia="宋体" w:cs="宋体"/>
                <w:szCs w:val="21"/>
              </w:rPr>
              <w:t>业绩说明会</w:t>
            </w:r>
          </w:p>
          <w:p>
            <w:pPr>
              <w:spacing w:line="360" w:lineRule="auto"/>
              <w:jc w:val="left"/>
              <w:rPr>
                <w:rFonts w:ascii="Times New Roman" w:hAnsi="Times New Roman" w:eastAsia="宋体" w:cs="宋体"/>
                <w:szCs w:val="21"/>
              </w:rPr>
            </w:pPr>
            <w:r>
              <w:rPr>
                <w:rFonts w:ascii="Times New Roman" w:hAnsi="Times New Roman" w:eastAsia="宋体" w:cs="宋体"/>
                <w:szCs w:val="21"/>
              </w:rPr>
              <w:sym w:font="Wingdings 2" w:char="00A3"/>
            </w:r>
            <w:r>
              <w:rPr>
                <w:rFonts w:hint="eastAsia" w:ascii="Times New Roman" w:hAnsi="Times New Roman" w:eastAsia="宋体" w:cs="宋体"/>
                <w:szCs w:val="21"/>
              </w:rPr>
              <w:t>新闻发布会</w:t>
            </w:r>
            <w:r>
              <w:rPr>
                <w:rFonts w:ascii="Times New Roman" w:hAnsi="Times New Roman" w:eastAsia="宋体" w:cs="宋体"/>
                <w:szCs w:val="21"/>
              </w:rPr>
              <w:t xml:space="preserve">       </w:t>
            </w:r>
            <w:r>
              <w:rPr>
                <w:rFonts w:ascii="Times New Roman" w:hAnsi="Times New Roman" w:eastAsia="宋体" w:cs="宋体"/>
                <w:szCs w:val="21"/>
              </w:rPr>
              <w:sym w:font="Wingdings 2" w:char="0052"/>
            </w:r>
            <w:r>
              <w:rPr>
                <w:rFonts w:hint="eastAsia" w:ascii="Times New Roman" w:hAnsi="Times New Roman" w:eastAsia="宋体" w:cs="宋体"/>
                <w:szCs w:val="21"/>
              </w:rPr>
              <w:t>路演活动</w:t>
            </w:r>
          </w:p>
          <w:p>
            <w:pPr>
              <w:spacing w:line="360" w:lineRule="auto"/>
              <w:jc w:val="left"/>
              <w:rPr>
                <w:rFonts w:ascii="Times New Roman" w:hAnsi="Times New Roman" w:eastAsia="宋体" w:cs="宋体"/>
                <w:szCs w:val="21"/>
              </w:rPr>
            </w:pPr>
            <w:r>
              <w:rPr>
                <w:rFonts w:ascii="Times New Roman" w:hAnsi="Times New Roman" w:eastAsia="宋体" w:cs="宋体"/>
                <w:szCs w:val="21"/>
              </w:rPr>
              <w:sym w:font="Wingdings 2" w:char="00A3"/>
            </w:r>
            <w:r>
              <w:rPr>
                <w:rFonts w:hint="eastAsia" w:ascii="Times New Roman" w:hAnsi="Times New Roman" w:eastAsia="宋体" w:cs="宋体"/>
                <w:szCs w:val="21"/>
              </w:rPr>
              <w:t>现场参观</w:t>
            </w:r>
            <w:r>
              <w:rPr>
                <w:rFonts w:ascii="Times New Roman" w:hAnsi="Times New Roman" w:eastAsia="宋体" w:cs="宋体"/>
                <w:szCs w:val="21"/>
              </w:rPr>
              <w:t xml:space="preserve">       </w:t>
            </w:r>
            <w:r>
              <w:rPr>
                <w:rFonts w:hint="eastAsia" w:ascii="Times New Roman" w:hAnsi="Times New Roman" w:eastAsia="宋体" w:cs="宋体"/>
                <w:szCs w:val="21"/>
              </w:rPr>
              <w:t xml:space="preserve"> </w:t>
            </w:r>
            <w:r>
              <w:rPr>
                <w:rFonts w:ascii="Times New Roman" w:hAnsi="Times New Roman" w:eastAsia="宋体" w:cs="宋体"/>
                <w:szCs w:val="21"/>
              </w:rPr>
              <w:t xml:space="preserve"> </w:t>
            </w:r>
            <w:r>
              <w:rPr>
                <w:rFonts w:ascii="Times New Roman" w:hAnsi="Times New Roman" w:eastAsia="宋体" w:cs="宋体"/>
                <w:szCs w:val="21"/>
              </w:rPr>
              <w:sym w:font="Wingdings 2" w:char="0052"/>
            </w:r>
            <w:r>
              <w:rPr>
                <w:rFonts w:hint="eastAsia" w:ascii="Times New Roman" w:hAnsi="Times New Roman" w:eastAsia="宋体" w:cs="宋体"/>
                <w:szCs w:val="21"/>
              </w:rPr>
              <w:t>电话会议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5" w:hRule="atLeast"/>
        </w:trPr>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参与单位名称</w:t>
            </w:r>
            <w:r>
              <w:rPr>
                <w:rFonts w:ascii="Times New Roman" w:hAnsi="Times New Roman" w:eastAsia="宋体" w:cs="宋体"/>
                <w:b/>
                <w:bCs/>
                <w:szCs w:val="21"/>
              </w:rPr>
              <w:br w:type="textWrapping"/>
            </w:r>
            <w:r>
              <w:rPr>
                <w:rFonts w:hint="eastAsia" w:ascii="Times New Roman" w:hAnsi="Times New Roman" w:eastAsia="宋体" w:cs="宋体"/>
                <w:b/>
                <w:bCs/>
                <w:szCs w:val="21"/>
              </w:rPr>
              <w:t>（排名不分先后）</w:t>
            </w:r>
          </w:p>
        </w:tc>
        <w:tc>
          <w:tcPr>
            <w:tcW w:w="3855" w:type="pct"/>
            <w:shd w:val="clear" w:color="auto" w:fill="auto"/>
            <w:vAlign w:val="center"/>
          </w:tcPr>
          <w:p>
            <w:pPr>
              <w:spacing w:line="360" w:lineRule="auto"/>
              <w:jc w:val="left"/>
              <w:rPr>
                <w:rFonts w:ascii="Times New Roman" w:hAnsi="Times New Roman" w:eastAsia="宋体" w:cs="宋体"/>
                <w:szCs w:val="21"/>
              </w:rPr>
            </w:pPr>
            <w:r>
              <w:rPr>
                <w:rFonts w:hint="eastAsia" w:ascii="Times New Roman" w:hAnsi="Times New Roman" w:eastAsia="宋体" w:cs="宋体"/>
                <w:szCs w:val="21"/>
              </w:rPr>
              <w:t>富国基金、东方红基金、华夏基金、广发基金、交银施罗德基金、中欧基金、建信基金、汇添富基金、前海开源基金、申万菱信基金、创金合信基金、宝盈基金、瓴仁资本、中金公司、华泰证券、国盛证券、长江证券、东吴证券、</w:t>
            </w:r>
            <w:bookmarkStart w:id="0" w:name="_GoBack"/>
            <w:bookmarkEnd w:id="0"/>
            <w:r>
              <w:rPr>
                <w:rFonts w:hint="eastAsia" w:ascii="Times New Roman" w:hAnsi="Times New Roman" w:eastAsia="宋体" w:cs="宋体"/>
                <w:szCs w:val="21"/>
              </w:rPr>
              <w:t>Aspoon Capital、Cl Global Investments Asia Ltd等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时间</w:t>
            </w:r>
          </w:p>
        </w:tc>
        <w:tc>
          <w:tcPr>
            <w:tcW w:w="3855" w:type="pct"/>
            <w:vAlign w:val="center"/>
          </w:tcPr>
          <w:p>
            <w:pPr>
              <w:spacing w:line="360" w:lineRule="auto"/>
              <w:jc w:val="left"/>
              <w:rPr>
                <w:rFonts w:ascii="Times New Roman" w:hAnsi="Times New Roman" w:eastAsia="宋体" w:cs="宋体"/>
                <w:szCs w:val="21"/>
              </w:rPr>
            </w:pPr>
            <w:r>
              <w:rPr>
                <w:rFonts w:ascii="Times New Roman" w:hAnsi="Times New Roman" w:eastAsia="宋体" w:cs="宋体"/>
                <w:szCs w:val="21"/>
              </w:rPr>
              <w:t>2024</w:t>
            </w:r>
            <w:r>
              <w:rPr>
                <w:rFonts w:hint="eastAsia" w:ascii="Times New Roman" w:hAnsi="Times New Roman" w:eastAsia="宋体" w:cs="宋体"/>
                <w:szCs w:val="21"/>
              </w:rPr>
              <w:t>年</w:t>
            </w:r>
            <w:r>
              <w:rPr>
                <w:rFonts w:ascii="Times New Roman" w:hAnsi="Times New Roman" w:eastAsia="宋体" w:cs="宋体"/>
                <w:szCs w:val="21"/>
              </w:rPr>
              <w:t>5</w:t>
            </w:r>
            <w:r>
              <w:rPr>
                <w:rFonts w:hint="eastAsia" w:ascii="Times New Roman" w:hAnsi="Times New Roman" w:eastAsia="宋体" w:cs="宋体"/>
                <w:szCs w:val="21"/>
              </w:rPr>
              <w:t>月</w:t>
            </w:r>
            <w:r>
              <w:rPr>
                <w:rFonts w:ascii="Times New Roman" w:hAnsi="Times New Roman" w:eastAsia="宋体" w:cs="宋体"/>
                <w:szCs w:val="21"/>
              </w:rPr>
              <w:t>7</w:t>
            </w:r>
            <w:r>
              <w:rPr>
                <w:rFonts w:hint="eastAsia" w:ascii="Times New Roman" w:hAnsi="Times New Roman" w:eastAsia="宋体" w:cs="宋体"/>
                <w:szCs w:val="21"/>
              </w:rPr>
              <w:t>日、</w:t>
            </w:r>
            <w:r>
              <w:rPr>
                <w:rFonts w:ascii="Times New Roman" w:hAnsi="Times New Roman" w:eastAsia="宋体" w:cs="宋体"/>
                <w:szCs w:val="21"/>
              </w:rPr>
              <w:t>5</w:t>
            </w:r>
            <w:r>
              <w:rPr>
                <w:rFonts w:hint="eastAsia" w:ascii="Times New Roman" w:hAnsi="Times New Roman" w:eastAsia="宋体" w:cs="宋体"/>
                <w:szCs w:val="21"/>
              </w:rPr>
              <w:t>月8日、</w:t>
            </w:r>
            <w:r>
              <w:rPr>
                <w:rFonts w:ascii="Times New Roman" w:hAnsi="Times New Roman" w:eastAsia="宋体" w:cs="宋体"/>
                <w:szCs w:val="21"/>
              </w:rPr>
              <w:t>5</w:t>
            </w:r>
            <w:r>
              <w:rPr>
                <w:rFonts w:hint="eastAsia" w:ascii="Times New Roman" w:hAnsi="Times New Roman" w:eastAsia="宋体" w:cs="宋体"/>
                <w:szCs w:val="21"/>
              </w:rPr>
              <w:t>月9日、</w:t>
            </w:r>
            <w:r>
              <w:rPr>
                <w:rFonts w:ascii="Times New Roman" w:hAnsi="Times New Roman" w:eastAsia="宋体" w:cs="宋体"/>
                <w:szCs w:val="21"/>
              </w:rPr>
              <w:t>5</w:t>
            </w:r>
            <w:r>
              <w:rPr>
                <w:rFonts w:hint="eastAsia" w:ascii="Times New Roman" w:hAnsi="Times New Roman" w:eastAsia="宋体" w:cs="宋体"/>
                <w:szCs w:val="21"/>
              </w:rPr>
              <w:t>月10日、</w:t>
            </w:r>
            <w:r>
              <w:rPr>
                <w:rFonts w:ascii="Times New Roman" w:hAnsi="Times New Roman" w:eastAsia="宋体" w:cs="宋体"/>
                <w:szCs w:val="21"/>
              </w:rPr>
              <w:t>5</w:t>
            </w:r>
            <w:r>
              <w:rPr>
                <w:rFonts w:hint="eastAsia" w:ascii="Times New Roman" w:hAnsi="Times New Roman" w:eastAsia="宋体" w:cs="宋体"/>
                <w:szCs w:val="21"/>
              </w:rPr>
              <w:t>月17日、</w:t>
            </w:r>
            <w:r>
              <w:rPr>
                <w:rFonts w:ascii="Times New Roman" w:hAnsi="Times New Roman" w:eastAsia="宋体" w:cs="宋体"/>
                <w:szCs w:val="21"/>
              </w:rPr>
              <w:t>5</w:t>
            </w:r>
            <w:r>
              <w:rPr>
                <w:rFonts w:hint="eastAsia" w:ascii="Times New Roman" w:hAnsi="Times New Roman" w:eastAsia="宋体" w:cs="宋体"/>
                <w:szCs w:val="21"/>
              </w:rPr>
              <w:t>月21日、</w:t>
            </w:r>
            <w:r>
              <w:rPr>
                <w:rFonts w:ascii="Times New Roman" w:hAnsi="Times New Roman" w:eastAsia="宋体" w:cs="宋体"/>
                <w:szCs w:val="21"/>
              </w:rPr>
              <w:t>5</w:t>
            </w:r>
            <w:r>
              <w:rPr>
                <w:rFonts w:hint="eastAsia" w:ascii="Times New Roman" w:hAnsi="Times New Roman" w:eastAsia="宋体" w:cs="宋体"/>
                <w:szCs w:val="21"/>
              </w:rPr>
              <w:t>月23日、</w:t>
            </w:r>
            <w:r>
              <w:rPr>
                <w:rFonts w:ascii="Times New Roman" w:hAnsi="Times New Roman" w:eastAsia="宋体" w:cs="宋体"/>
                <w:szCs w:val="21"/>
              </w:rPr>
              <w:t>5</w:t>
            </w:r>
            <w:r>
              <w:rPr>
                <w:rFonts w:hint="eastAsia" w:ascii="Times New Roman" w:hAnsi="Times New Roman" w:eastAsia="宋体" w:cs="宋体"/>
                <w:szCs w:val="21"/>
              </w:rPr>
              <w:t>月30日、</w:t>
            </w:r>
            <w:r>
              <w:rPr>
                <w:rFonts w:ascii="Times New Roman" w:hAnsi="Times New Roman" w:eastAsia="宋体" w:cs="宋体"/>
                <w:szCs w:val="21"/>
              </w:rPr>
              <w:t>5</w:t>
            </w:r>
            <w:r>
              <w:rPr>
                <w:rFonts w:hint="eastAsia" w:ascii="Times New Roman" w:hAnsi="Times New Roman" w:eastAsia="宋体" w:cs="宋体"/>
                <w:szCs w:val="21"/>
              </w:rPr>
              <w:t>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地点</w:t>
            </w:r>
          </w:p>
        </w:tc>
        <w:tc>
          <w:tcPr>
            <w:tcW w:w="3855" w:type="pct"/>
            <w:vAlign w:val="center"/>
          </w:tcPr>
          <w:p>
            <w:pPr>
              <w:spacing w:line="360" w:lineRule="auto"/>
              <w:jc w:val="left"/>
              <w:rPr>
                <w:rFonts w:ascii="Times New Roman" w:hAnsi="Times New Roman" w:eastAsia="宋体" w:cs="宋体"/>
                <w:szCs w:val="21"/>
              </w:rPr>
            </w:pPr>
            <w:r>
              <w:rPr>
                <w:rFonts w:hint="eastAsia" w:ascii="Times New Roman" w:hAnsi="Times New Roman" w:eastAsia="宋体" w:cs="宋体"/>
                <w:szCs w:val="21"/>
              </w:rPr>
              <w:t>公司会议室/线上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1" w:hRule="atLeast"/>
        </w:trPr>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上市公司</w:t>
            </w:r>
            <w:r>
              <w:rPr>
                <w:rFonts w:ascii="Times New Roman" w:hAnsi="Times New Roman" w:eastAsia="宋体" w:cs="宋体"/>
                <w:b/>
                <w:bCs/>
                <w:szCs w:val="21"/>
              </w:rPr>
              <w:br w:type="textWrapping"/>
            </w:r>
            <w:r>
              <w:rPr>
                <w:rFonts w:hint="eastAsia" w:ascii="Times New Roman" w:hAnsi="Times New Roman" w:eastAsia="宋体" w:cs="宋体"/>
                <w:b/>
                <w:bCs/>
                <w:szCs w:val="21"/>
              </w:rPr>
              <w:t>接待人员</w:t>
            </w:r>
          </w:p>
        </w:tc>
        <w:tc>
          <w:tcPr>
            <w:tcW w:w="3855" w:type="pct"/>
            <w:vAlign w:val="center"/>
          </w:tcPr>
          <w:p>
            <w:pPr>
              <w:spacing w:line="360" w:lineRule="auto"/>
              <w:jc w:val="left"/>
              <w:rPr>
                <w:rFonts w:ascii="Times New Roman" w:hAnsi="Times New Roman" w:eastAsia="宋体" w:cs="宋体"/>
                <w:szCs w:val="21"/>
              </w:rPr>
            </w:pPr>
            <w:r>
              <w:rPr>
                <w:rFonts w:hint="eastAsia" w:ascii="Times New Roman" w:hAnsi="Times New Roman" w:eastAsia="宋体" w:cs="宋体"/>
                <w:szCs w:val="21"/>
              </w:rPr>
              <w:t>董事长沈国英女士</w:t>
            </w:r>
          </w:p>
          <w:p>
            <w:pPr>
              <w:spacing w:line="360" w:lineRule="auto"/>
              <w:jc w:val="left"/>
              <w:rPr>
                <w:rFonts w:ascii="Times New Roman" w:hAnsi="Times New Roman" w:eastAsia="宋体" w:cs="宋体"/>
                <w:szCs w:val="21"/>
              </w:rPr>
            </w:pPr>
            <w:r>
              <w:rPr>
                <w:rFonts w:hint="eastAsia" w:ascii="Times New Roman" w:hAnsi="Times New Roman" w:eastAsia="宋体" w:cs="宋体"/>
                <w:szCs w:val="21"/>
              </w:rPr>
              <w:t>董事会秘书郭粟女士</w:t>
            </w:r>
          </w:p>
          <w:p>
            <w:pPr>
              <w:spacing w:line="360" w:lineRule="auto"/>
              <w:jc w:val="left"/>
              <w:rPr>
                <w:rFonts w:ascii="Times New Roman" w:hAnsi="Times New Roman" w:eastAsia="宋体" w:cs="宋体"/>
                <w:szCs w:val="21"/>
              </w:rPr>
            </w:pPr>
            <w:r>
              <w:rPr>
                <w:rFonts w:hint="eastAsia" w:ascii="Times New Roman" w:hAnsi="Times New Roman" w:eastAsia="宋体" w:cs="宋体"/>
                <w:szCs w:val="21"/>
              </w:rPr>
              <w:t>财务负责人葛瑜斌先生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投资者关系活动</w:t>
            </w:r>
          </w:p>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主要内容介绍</w:t>
            </w:r>
          </w:p>
        </w:tc>
        <w:tc>
          <w:tcPr>
            <w:tcW w:w="3855" w:type="pct"/>
            <w:vAlign w:val="center"/>
          </w:tcPr>
          <w:p>
            <w:pPr>
              <w:spacing w:before="156" w:beforeLines="50" w:line="360" w:lineRule="auto"/>
              <w:ind w:left="420" w:leftChars="200"/>
              <w:rPr>
                <w:rFonts w:ascii="Times New Roman" w:hAnsi="Times New Roman" w:eastAsia="宋体" w:cs="宋体"/>
                <w:b/>
                <w:szCs w:val="21"/>
              </w:rPr>
            </w:pPr>
            <w:r>
              <w:rPr>
                <w:rFonts w:hint="eastAsia" w:ascii="Times New Roman" w:hAnsi="Times New Roman" w:eastAsia="宋体" w:cs="宋体"/>
                <w:b/>
                <w:szCs w:val="21"/>
              </w:rPr>
              <w:t>1、海外配电需求的驱动因素有哪些？</w:t>
            </w:r>
          </w:p>
          <w:p>
            <w:pPr>
              <w:spacing w:before="156" w:beforeLines="50" w:line="360" w:lineRule="auto"/>
              <w:ind w:firstLine="420" w:firstLineChars="200"/>
              <w:rPr>
                <w:rFonts w:ascii="Times New Roman" w:hAnsi="Times New Roman" w:eastAsia="宋体" w:cs="宋体"/>
                <w:b/>
                <w:szCs w:val="21"/>
              </w:rPr>
            </w:pPr>
            <w:r>
              <w:rPr>
                <w:rFonts w:hint="eastAsia" w:ascii="Times New Roman" w:hAnsi="Times New Roman" w:eastAsia="宋体" w:cs="宋体"/>
                <w:bCs/>
                <w:szCs w:val="21"/>
              </w:rPr>
              <w:t>答：海外配电需求在不同区域的驱动因素不同。在发达国家，电网设施老化，处于替换周期；在新兴市场，用电高增，基建拉动了电力设备需求。同时也有数据中心、AI技术、新能源加速等驱动因素。</w:t>
            </w:r>
          </w:p>
          <w:p>
            <w:pPr>
              <w:numPr>
                <w:ilvl w:val="0"/>
                <w:numId w:val="1"/>
              </w:numPr>
              <w:spacing w:before="156" w:beforeLines="50" w:line="360" w:lineRule="auto"/>
              <w:ind w:firstLine="422" w:firstLineChars="200"/>
              <w:rPr>
                <w:rFonts w:ascii="Times New Roman" w:hAnsi="Times New Roman" w:eastAsia="宋体" w:cs="宋体"/>
                <w:b/>
                <w:szCs w:val="21"/>
              </w:rPr>
            </w:pPr>
            <w:r>
              <w:rPr>
                <w:rFonts w:hint="eastAsia" w:ascii="Times New Roman" w:hAnsi="Times New Roman" w:eastAsia="宋体" w:cs="宋体"/>
                <w:b/>
                <w:szCs w:val="21"/>
              </w:rPr>
              <w:t>公司海外配电业务考虑如何布局?</w:t>
            </w:r>
          </w:p>
          <w:p>
            <w:pPr>
              <w:spacing w:before="156" w:beforeLines="50"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答：目前海外配电行业需求较大，公司在积极推动配电业务出海。主要基于原有海外用电的渠道、客户基础，以及国内配电的产品生产制造基础。公司去年已</w:t>
            </w:r>
            <w:r>
              <w:rPr>
                <w:rFonts w:ascii="Times New Roman" w:hAnsi="Times New Roman" w:eastAsia="宋体" w:cs="sans-serif"/>
                <w:sz w:val="20"/>
                <w:szCs w:val="20"/>
                <w:shd w:val="clear" w:color="auto" w:fill="FFFFFF"/>
              </w:rPr>
              <w:t>成功中标沙特国家电力公司配网智能化改造项目</w:t>
            </w:r>
            <w:r>
              <w:rPr>
                <w:rFonts w:hint="eastAsia" w:ascii="Times New Roman" w:hAnsi="Times New Roman" w:eastAsia="宋体" w:cs="宋体"/>
                <w:bCs/>
                <w:szCs w:val="21"/>
              </w:rPr>
              <w:t>，并于今年在希腊中标4.66亿人民币的三相变压器项目。总体来看，海外配电是公司未来发展的重要方向，核心是按节奏稳步落地。</w:t>
            </w:r>
          </w:p>
          <w:p>
            <w:pPr>
              <w:numPr>
                <w:ilvl w:val="0"/>
                <w:numId w:val="1"/>
              </w:numPr>
              <w:spacing w:before="156" w:beforeLines="50" w:line="360" w:lineRule="auto"/>
              <w:ind w:firstLine="422" w:firstLineChars="200"/>
              <w:rPr>
                <w:rFonts w:ascii="Times New Roman" w:hAnsi="Times New Roman" w:eastAsia="宋体" w:cs="宋体"/>
                <w:b/>
                <w:szCs w:val="21"/>
              </w:rPr>
            </w:pPr>
            <w:r>
              <w:rPr>
                <w:rFonts w:hint="eastAsia" w:ascii="Times New Roman" w:hAnsi="Times New Roman" w:eastAsia="宋体" w:cs="宋体"/>
                <w:b/>
                <w:szCs w:val="21"/>
              </w:rPr>
              <w:t>公司海外配电销售团队情况？</w:t>
            </w:r>
          </w:p>
          <w:p>
            <w:pPr>
              <w:spacing w:before="156" w:beforeLines="50"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答：公司整体海外布局较早，且团队相对稳定。在组织架构上配电和用电分别有独立团队，但目前配电业务聚焦电网客户，与原有用电的渠道客户复用度较高，因此仍会依托原有的用电团队资源来发展客户。公司制定了相应的激励考核机制不断驱动团队开展业务。</w:t>
            </w:r>
          </w:p>
          <w:p>
            <w:pPr>
              <w:numPr>
                <w:ilvl w:val="0"/>
                <w:numId w:val="1"/>
              </w:numPr>
              <w:spacing w:before="156" w:beforeLines="50" w:line="360" w:lineRule="auto"/>
              <w:ind w:firstLine="422"/>
              <w:rPr>
                <w:rFonts w:ascii="Times New Roman" w:hAnsi="Times New Roman" w:eastAsia="宋体" w:cs="宋体"/>
                <w:bCs/>
                <w:szCs w:val="21"/>
              </w:rPr>
            </w:pPr>
            <w:r>
              <w:rPr>
                <w:rFonts w:hint="eastAsia" w:ascii="Times New Roman" w:hAnsi="Times New Roman" w:eastAsia="宋体" w:cs="宋体"/>
                <w:b/>
                <w:szCs w:val="21"/>
              </w:rPr>
              <w:t>公司在国内非电网市场是否有提升份额的可能性？</w:t>
            </w:r>
            <w:r>
              <w:rPr>
                <w:rFonts w:hint="eastAsia" w:ascii="Times New Roman" w:hAnsi="Times New Roman" w:eastAsia="宋体" w:cs="宋体"/>
                <w:b/>
                <w:szCs w:val="21"/>
              </w:rPr>
              <w:br w:type="textWrapping"/>
            </w:r>
            <w:r>
              <w:rPr>
                <w:rFonts w:hint="eastAsia" w:ascii="Times New Roman" w:hAnsi="Times New Roman" w:eastAsia="宋体" w:cs="宋体"/>
                <w:b/>
                <w:szCs w:val="21"/>
              </w:rPr>
              <w:t xml:space="preserve">    </w:t>
            </w:r>
            <w:r>
              <w:rPr>
                <w:rFonts w:hint="eastAsia" w:ascii="Times New Roman" w:hAnsi="Times New Roman" w:eastAsia="宋体" w:cs="宋体"/>
                <w:bCs/>
                <w:szCs w:val="21"/>
              </w:rPr>
              <w:t>答：非电网市场主要为配电产品，如变压器、开关柜、环网柜等。在市场端，非电网市场空间大但相对分散；在用户端，工业、轨交、市政、建筑等应用场景不断扩展；在客户端，我们</w:t>
            </w:r>
            <w:r>
              <w:rPr>
                <w:rFonts w:hint="eastAsia" w:ascii="Times New Roman" w:hAnsi="Times New Roman" w:eastAsia="宋体"/>
              </w:rPr>
              <w:t>聚焦新能源、五大六小等发电央企。</w:t>
            </w:r>
            <w:r>
              <w:rPr>
                <w:rFonts w:hint="eastAsia" w:ascii="Times New Roman" w:hAnsi="Times New Roman" w:eastAsia="宋体" w:cs="宋体"/>
                <w:bCs/>
                <w:szCs w:val="21"/>
              </w:rPr>
              <w:t>这些都有助于我们提高市场份额。</w:t>
            </w:r>
          </w:p>
          <w:p>
            <w:pPr>
              <w:numPr>
                <w:ilvl w:val="0"/>
                <w:numId w:val="1"/>
              </w:numPr>
              <w:spacing w:before="156" w:beforeLines="50" w:line="360" w:lineRule="auto"/>
              <w:ind w:firstLine="422" w:firstLineChars="200"/>
              <w:rPr>
                <w:rFonts w:ascii="Times New Roman" w:hAnsi="Times New Roman" w:eastAsia="宋体" w:cs="宋体"/>
                <w:b/>
                <w:szCs w:val="21"/>
              </w:rPr>
            </w:pPr>
            <w:r>
              <w:rPr>
                <w:rFonts w:hint="eastAsia" w:ascii="Times New Roman" w:hAnsi="Times New Roman" w:eastAsia="宋体" w:cs="宋体"/>
                <w:b/>
                <w:bCs/>
                <w:szCs w:val="21"/>
              </w:rPr>
              <w:t>今年公司在成本管控方面情况如何？</w:t>
            </w:r>
          </w:p>
          <w:p>
            <w:pPr>
              <w:adjustRightInd w:val="0"/>
              <w:snapToGrid w:val="0"/>
              <w:spacing w:before="156" w:beforeLines="50"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答：在智能配用电板块，公司通过持续的技术创新，产品迭代，保持技术优势；同时，公司作为行业头部企业，订单更集约化、生产过程标准化，能较好把控成本，降本增效。在医疗服务板块，随着康复医院占比提升，结构优化，医疗板块毛利率有所提升。</w:t>
            </w:r>
          </w:p>
          <w:p>
            <w:pPr>
              <w:numPr>
                <w:ilvl w:val="0"/>
                <w:numId w:val="1"/>
              </w:numPr>
              <w:spacing w:before="156" w:beforeLines="50" w:line="360" w:lineRule="auto"/>
              <w:ind w:firstLine="422" w:firstLineChars="200"/>
              <w:rPr>
                <w:rFonts w:ascii="Times New Roman" w:hAnsi="Times New Roman" w:eastAsia="宋体" w:cs="宋体"/>
                <w:b/>
                <w:szCs w:val="21"/>
              </w:rPr>
            </w:pPr>
            <w:r>
              <w:rPr>
                <w:rFonts w:hint="eastAsia" w:ascii="Times New Roman" w:hAnsi="Times New Roman" w:eastAsia="宋体" w:cs="宋体"/>
                <w:b/>
                <w:szCs w:val="21"/>
              </w:rPr>
              <w:t>公司前湾项目情况如何？</w:t>
            </w:r>
          </w:p>
          <w:p>
            <w:pPr>
              <w:spacing w:before="156" w:beforeLines="50" w:line="360" w:lineRule="auto"/>
              <w:ind w:firstLine="420" w:firstLineChars="200"/>
              <w:rPr>
                <w:rFonts w:ascii="Times New Roman" w:hAnsi="Times New Roman" w:eastAsia="宋体"/>
              </w:rPr>
            </w:pPr>
            <w:r>
              <w:rPr>
                <w:rFonts w:hint="eastAsia" w:ascii="Times New Roman" w:hAnsi="Times New Roman" w:eastAsia="宋体" w:cs="宋体"/>
                <w:bCs/>
                <w:szCs w:val="21"/>
              </w:rPr>
              <w:t>答：</w:t>
            </w:r>
            <w:r>
              <w:rPr>
                <w:rFonts w:ascii="Times New Roman" w:hAnsi="Times New Roman" w:eastAsia="宋体"/>
              </w:rPr>
              <w:t>公司于2024年1月26日披露了《关于全资子公司对外投资建设新能源箱式变电站及储能系统设备研发生产项目的公告》：公司将在取得海域成交确认书之日起6个月内开工，30个月内竣工（具体工期取决于当地的施工条件、项目资金到位等情况）。</w:t>
            </w:r>
          </w:p>
          <w:p>
            <w:pPr>
              <w:spacing w:before="156" w:beforeLines="50" w:line="360" w:lineRule="auto"/>
              <w:ind w:firstLine="420" w:firstLineChars="200"/>
              <w:rPr>
                <w:rFonts w:ascii="Times New Roman" w:hAnsi="Times New Roman" w:eastAsia="宋体" w:cs="宋体"/>
                <w:bCs/>
                <w:szCs w:val="21"/>
              </w:rPr>
            </w:pPr>
            <w:r>
              <w:rPr>
                <w:rFonts w:ascii="Times New Roman" w:hAnsi="Times New Roman" w:eastAsia="宋体"/>
              </w:rPr>
              <w:t>项目规划总用地505亩，分两期建设。一期项目主要为新建年产1.6万套新能源箱式变电站项目及年产5GW新型储能系统设备项目。目前，该项目按计划正常有序推进。</w:t>
            </w:r>
          </w:p>
          <w:p>
            <w:pPr>
              <w:numPr>
                <w:ilvl w:val="0"/>
                <w:numId w:val="1"/>
              </w:numPr>
              <w:spacing w:before="156" w:beforeLines="50" w:line="360" w:lineRule="auto"/>
              <w:ind w:firstLine="422" w:firstLineChars="200"/>
              <w:rPr>
                <w:rFonts w:ascii="Times New Roman" w:hAnsi="Times New Roman" w:eastAsia="宋体" w:cs="宋体"/>
                <w:b/>
                <w:szCs w:val="21"/>
              </w:rPr>
            </w:pPr>
            <w:r>
              <w:rPr>
                <w:rFonts w:hint="eastAsia" w:ascii="Times New Roman" w:hAnsi="Times New Roman" w:eastAsia="宋体" w:cs="宋体"/>
                <w:b/>
                <w:szCs w:val="21"/>
              </w:rPr>
              <w:t>大宗商品近期上涨，对公司影响如何？</w:t>
            </w:r>
          </w:p>
          <w:p>
            <w:pPr>
              <w:adjustRightInd w:val="0"/>
              <w:snapToGrid w:val="0"/>
              <w:spacing w:before="156" w:beforeLines="50" w:line="360" w:lineRule="auto"/>
              <w:ind w:firstLine="420" w:firstLineChars="200"/>
              <w:rPr>
                <w:rFonts w:ascii="Times New Roman" w:hAnsi="Times New Roman" w:eastAsia="宋体" w:cs="宋体"/>
                <w:bCs/>
                <w:szCs w:val="21"/>
              </w:rPr>
            </w:pPr>
            <w:r>
              <w:rPr>
                <w:rFonts w:hint="eastAsia" w:ascii="Times New Roman" w:hAnsi="Times New Roman" w:eastAsia="宋体" w:cs="宋体"/>
                <w:bCs/>
                <w:szCs w:val="21"/>
              </w:rPr>
              <w:t>答：公司为降低大宗商品价格波动的影响，在年度计划范围内开展了套期保值业务，防控市场波动风险。由于近期原材料上涨趋势明显，公司对锁定比例及时进行了动态调整。</w:t>
            </w:r>
          </w:p>
          <w:p>
            <w:pPr>
              <w:numPr>
                <w:ilvl w:val="0"/>
                <w:numId w:val="1"/>
              </w:numPr>
              <w:spacing w:before="156" w:beforeLines="50" w:line="360" w:lineRule="auto"/>
              <w:ind w:firstLine="422" w:firstLineChars="200"/>
              <w:rPr>
                <w:rFonts w:ascii="Times New Roman" w:hAnsi="Times New Roman" w:eastAsia="宋体" w:cs="宋体"/>
                <w:b/>
                <w:szCs w:val="21"/>
              </w:rPr>
            </w:pPr>
            <w:r>
              <w:rPr>
                <w:rFonts w:hint="eastAsia" w:ascii="Times New Roman" w:hAnsi="Times New Roman" w:eastAsia="宋体" w:cs="宋体"/>
                <w:b/>
                <w:szCs w:val="21"/>
              </w:rPr>
              <w:t>医疗远期拓展规划？</w:t>
            </w:r>
          </w:p>
          <w:p>
            <w:pPr>
              <w:adjustRightInd w:val="0"/>
              <w:snapToGrid w:val="0"/>
              <w:spacing w:before="156" w:beforeLines="50" w:line="360" w:lineRule="auto"/>
              <w:ind w:firstLine="420" w:firstLineChars="200"/>
              <w:rPr>
                <w:rFonts w:ascii="Times New Roman" w:hAnsi="Times New Roman" w:eastAsia="宋体" w:cs="黑体"/>
                <w:sz w:val="24"/>
                <w:szCs w:val="24"/>
              </w:rPr>
            </w:pPr>
            <w:r>
              <w:rPr>
                <w:rFonts w:hint="eastAsia" w:ascii="Times New Roman" w:hAnsi="Times New Roman" w:eastAsia="宋体" w:cs="宋体"/>
                <w:bCs/>
                <w:szCs w:val="21"/>
              </w:rPr>
              <w:t>答：截至2023年度末，公司下属已有28家医院，根据公司股权激励目标，计划2022-2024每年新增10家，目前根据计划正常推进医院建设项目。随着自建模式逐步成熟，未来会考虑提升自建比例。</w:t>
            </w:r>
          </w:p>
          <w:p>
            <w:pPr>
              <w:adjustRightInd w:val="0"/>
              <w:snapToGrid w:val="0"/>
              <w:spacing w:line="360" w:lineRule="auto"/>
              <w:ind w:firstLine="420" w:firstLineChars="200"/>
              <w:rPr>
                <w:rFonts w:ascii="Times New Roman" w:hAnsi="Times New Roman" w:eastAsia="宋体" w:cs="宋体"/>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145" w:type="pct"/>
            <w:vAlign w:val="center"/>
          </w:tcPr>
          <w:p>
            <w:pPr>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rPr>
              <w:t>附件清单（如有）</w:t>
            </w:r>
          </w:p>
        </w:tc>
        <w:tc>
          <w:tcPr>
            <w:tcW w:w="3855" w:type="pct"/>
            <w:vAlign w:val="center"/>
          </w:tcPr>
          <w:p>
            <w:pPr>
              <w:spacing w:line="360" w:lineRule="auto"/>
              <w:jc w:val="left"/>
              <w:rPr>
                <w:rFonts w:ascii="Times New Roman" w:hAnsi="Times New Roman" w:eastAsia="宋体" w:cs="宋体"/>
                <w:szCs w:val="21"/>
              </w:rPr>
            </w:pPr>
            <w:r>
              <w:rPr>
                <w:rFonts w:hint="eastAsia" w:ascii="Times New Roman" w:hAnsi="Times New Roman" w:eastAsia="宋体" w:cs="宋体"/>
                <w:szCs w:val="21"/>
              </w:rPr>
              <w:t>无</w:t>
            </w:r>
          </w:p>
        </w:tc>
      </w:tr>
    </w:tbl>
    <w:p>
      <w:pPr>
        <w:spacing w:line="360" w:lineRule="auto"/>
        <w:rPr>
          <w:rFonts w:ascii="Times New Roman" w:hAnsi="Times New Roman"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1A786"/>
    <w:multiLevelType w:val="singleLevel"/>
    <w:tmpl w:val="E451A78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M2FiZjU2ZTg3M2YwNzBiNmZjNmQ3MGJhODRlNTEifQ=="/>
  </w:docVars>
  <w:rsids>
    <w:rsidRoot w:val="00EE6814"/>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2062"/>
    <w:rsid w:val="00033BA5"/>
    <w:rsid w:val="00035075"/>
    <w:rsid w:val="000372FF"/>
    <w:rsid w:val="00042BEB"/>
    <w:rsid w:val="00044214"/>
    <w:rsid w:val="00046547"/>
    <w:rsid w:val="0004700E"/>
    <w:rsid w:val="00051C9D"/>
    <w:rsid w:val="00051F1F"/>
    <w:rsid w:val="00051F96"/>
    <w:rsid w:val="000524B9"/>
    <w:rsid w:val="00052AC7"/>
    <w:rsid w:val="00052CED"/>
    <w:rsid w:val="00055045"/>
    <w:rsid w:val="00056B81"/>
    <w:rsid w:val="00062F13"/>
    <w:rsid w:val="00062F60"/>
    <w:rsid w:val="00064750"/>
    <w:rsid w:val="000657B9"/>
    <w:rsid w:val="00070455"/>
    <w:rsid w:val="00070C60"/>
    <w:rsid w:val="0007202E"/>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43B2"/>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2382F"/>
    <w:rsid w:val="00125EE8"/>
    <w:rsid w:val="00126B23"/>
    <w:rsid w:val="00127571"/>
    <w:rsid w:val="00127C9D"/>
    <w:rsid w:val="001331CE"/>
    <w:rsid w:val="00133F9D"/>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7912"/>
    <w:rsid w:val="001B20C2"/>
    <w:rsid w:val="001B3AE7"/>
    <w:rsid w:val="001B403B"/>
    <w:rsid w:val="001C0437"/>
    <w:rsid w:val="001C3043"/>
    <w:rsid w:val="001C7C5C"/>
    <w:rsid w:val="001D10D0"/>
    <w:rsid w:val="001D299C"/>
    <w:rsid w:val="001D4F23"/>
    <w:rsid w:val="001D6095"/>
    <w:rsid w:val="001D692D"/>
    <w:rsid w:val="001D7361"/>
    <w:rsid w:val="001E459A"/>
    <w:rsid w:val="001E4F16"/>
    <w:rsid w:val="001E59CC"/>
    <w:rsid w:val="001E749B"/>
    <w:rsid w:val="001F0884"/>
    <w:rsid w:val="001F2837"/>
    <w:rsid w:val="001F301F"/>
    <w:rsid w:val="001F5089"/>
    <w:rsid w:val="00201C18"/>
    <w:rsid w:val="00201E76"/>
    <w:rsid w:val="00202985"/>
    <w:rsid w:val="0020308A"/>
    <w:rsid w:val="0020319E"/>
    <w:rsid w:val="00203AB7"/>
    <w:rsid w:val="00203C14"/>
    <w:rsid w:val="00204672"/>
    <w:rsid w:val="002046C2"/>
    <w:rsid w:val="00204846"/>
    <w:rsid w:val="002053E8"/>
    <w:rsid w:val="00206FE5"/>
    <w:rsid w:val="00207288"/>
    <w:rsid w:val="002100AF"/>
    <w:rsid w:val="00214A5E"/>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425FB"/>
    <w:rsid w:val="00247387"/>
    <w:rsid w:val="00250789"/>
    <w:rsid w:val="002518D0"/>
    <w:rsid w:val="002521DD"/>
    <w:rsid w:val="00253726"/>
    <w:rsid w:val="0025383E"/>
    <w:rsid w:val="00254D26"/>
    <w:rsid w:val="002556E3"/>
    <w:rsid w:val="0025659B"/>
    <w:rsid w:val="002605A8"/>
    <w:rsid w:val="002638CF"/>
    <w:rsid w:val="00266CF7"/>
    <w:rsid w:val="00272658"/>
    <w:rsid w:val="00272AED"/>
    <w:rsid w:val="00273169"/>
    <w:rsid w:val="00274B34"/>
    <w:rsid w:val="0027593E"/>
    <w:rsid w:val="00277759"/>
    <w:rsid w:val="00281E4D"/>
    <w:rsid w:val="00282115"/>
    <w:rsid w:val="002823C6"/>
    <w:rsid w:val="00283749"/>
    <w:rsid w:val="00284696"/>
    <w:rsid w:val="00286807"/>
    <w:rsid w:val="00287CB5"/>
    <w:rsid w:val="00287E74"/>
    <w:rsid w:val="002915B6"/>
    <w:rsid w:val="00291EEF"/>
    <w:rsid w:val="00294A14"/>
    <w:rsid w:val="002A1E09"/>
    <w:rsid w:val="002A1FD1"/>
    <w:rsid w:val="002A2774"/>
    <w:rsid w:val="002A2A31"/>
    <w:rsid w:val="002A57DE"/>
    <w:rsid w:val="002A673D"/>
    <w:rsid w:val="002A7C17"/>
    <w:rsid w:val="002B19E5"/>
    <w:rsid w:val="002B2F53"/>
    <w:rsid w:val="002B41E6"/>
    <w:rsid w:val="002B46AA"/>
    <w:rsid w:val="002B47C8"/>
    <w:rsid w:val="002B664A"/>
    <w:rsid w:val="002B6B48"/>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15C0"/>
    <w:rsid w:val="002F2626"/>
    <w:rsid w:val="002F60FE"/>
    <w:rsid w:val="00303A1A"/>
    <w:rsid w:val="003078A0"/>
    <w:rsid w:val="00310091"/>
    <w:rsid w:val="003108ED"/>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3878"/>
    <w:rsid w:val="00326415"/>
    <w:rsid w:val="00326B90"/>
    <w:rsid w:val="00330FC9"/>
    <w:rsid w:val="003312F4"/>
    <w:rsid w:val="00333B38"/>
    <w:rsid w:val="003344EB"/>
    <w:rsid w:val="00334E05"/>
    <w:rsid w:val="003352AB"/>
    <w:rsid w:val="003403E6"/>
    <w:rsid w:val="00343B61"/>
    <w:rsid w:val="00345221"/>
    <w:rsid w:val="003500EC"/>
    <w:rsid w:val="0035054A"/>
    <w:rsid w:val="00353722"/>
    <w:rsid w:val="0035530C"/>
    <w:rsid w:val="0035717B"/>
    <w:rsid w:val="00357953"/>
    <w:rsid w:val="00363B1A"/>
    <w:rsid w:val="003647E7"/>
    <w:rsid w:val="00365C6A"/>
    <w:rsid w:val="00370147"/>
    <w:rsid w:val="00374EA0"/>
    <w:rsid w:val="00377273"/>
    <w:rsid w:val="00377328"/>
    <w:rsid w:val="003814E0"/>
    <w:rsid w:val="00382090"/>
    <w:rsid w:val="003821C2"/>
    <w:rsid w:val="003869C4"/>
    <w:rsid w:val="00386FB0"/>
    <w:rsid w:val="00393AF2"/>
    <w:rsid w:val="00394F1B"/>
    <w:rsid w:val="003956AD"/>
    <w:rsid w:val="00395960"/>
    <w:rsid w:val="00395BBD"/>
    <w:rsid w:val="003A18E3"/>
    <w:rsid w:val="003A1BF4"/>
    <w:rsid w:val="003A2705"/>
    <w:rsid w:val="003A66DA"/>
    <w:rsid w:val="003A758B"/>
    <w:rsid w:val="003B1F58"/>
    <w:rsid w:val="003B2B65"/>
    <w:rsid w:val="003B3C32"/>
    <w:rsid w:val="003B6824"/>
    <w:rsid w:val="003C1439"/>
    <w:rsid w:val="003C2C6C"/>
    <w:rsid w:val="003C2FFA"/>
    <w:rsid w:val="003C351C"/>
    <w:rsid w:val="003C4455"/>
    <w:rsid w:val="003D42AF"/>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CF1"/>
    <w:rsid w:val="00406847"/>
    <w:rsid w:val="00410495"/>
    <w:rsid w:val="00411C71"/>
    <w:rsid w:val="00412769"/>
    <w:rsid w:val="00416653"/>
    <w:rsid w:val="004171E8"/>
    <w:rsid w:val="00417DE1"/>
    <w:rsid w:val="00421303"/>
    <w:rsid w:val="004224C0"/>
    <w:rsid w:val="00425075"/>
    <w:rsid w:val="00425925"/>
    <w:rsid w:val="00425A50"/>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FFC"/>
    <w:rsid w:val="00497994"/>
    <w:rsid w:val="004A03D1"/>
    <w:rsid w:val="004A0E23"/>
    <w:rsid w:val="004A10E0"/>
    <w:rsid w:val="004A5C69"/>
    <w:rsid w:val="004A6A66"/>
    <w:rsid w:val="004A6E88"/>
    <w:rsid w:val="004B105A"/>
    <w:rsid w:val="004B6A87"/>
    <w:rsid w:val="004B7BB2"/>
    <w:rsid w:val="004C2B0D"/>
    <w:rsid w:val="004C38FA"/>
    <w:rsid w:val="004C3C76"/>
    <w:rsid w:val="004C40EE"/>
    <w:rsid w:val="004D29EB"/>
    <w:rsid w:val="004D2A5B"/>
    <w:rsid w:val="004D3324"/>
    <w:rsid w:val="004D3CE7"/>
    <w:rsid w:val="004D497C"/>
    <w:rsid w:val="004D4A98"/>
    <w:rsid w:val="004D7C98"/>
    <w:rsid w:val="004E1FCE"/>
    <w:rsid w:val="004E2E6B"/>
    <w:rsid w:val="004E3C4F"/>
    <w:rsid w:val="004E4AE0"/>
    <w:rsid w:val="004E63F2"/>
    <w:rsid w:val="004E711F"/>
    <w:rsid w:val="004E71CD"/>
    <w:rsid w:val="004F010E"/>
    <w:rsid w:val="004F0887"/>
    <w:rsid w:val="004F5412"/>
    <w:rsid w:val="004F7C0A"/>
    <w:rsid w:val="00501F98"/>
    <w:rsid w:val="0050349D"/>
    <w:rsid w:val="0050565C"/>
    <w:rsid w:val="00505BE4"/>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78A"/>
    <w:rsid w:val="005467C3"/>
    <w:rsid w:val="0054733D"/>
    <w:rsid w:val="00547D24"/>
    <w:rsid w:val="0055119E"/>
    <w:rsid w:val="00551CBF"/>
    <w:rsid w:val="00555BA1"/>
    <w:rsid w:val="0055714F"/>
    <w:rsid w:val="00557204"/>
    <w:rsid w:val="005678D7"/>
    <w:rsid w:val="00567F04"/>
    <w:rsid w:val="00575137"/>
    <w:rsid w:val="00576B85"/>
    <w:rsid w:val="005772ED"/>
    <w:rsid w:val="005777DC"/>
    <w:rsid w:val="0058015B"/>
    <w:rsid w:val="00582868"/>
    <w:rsid w:val="00584053"/>
    <w:rsid w:val="005849C6"/>
    <w:rsid w:val="00586987"/>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38A7"/>
    <w:rsid w:val="005B4171"/>
    <w:rsid w:val="005B4657"/>
    <w:rsid w:val="005B77C4"/>
    <w:rsid w:val="005B7F69"/>
    <w:rsid w:val="005C0753"/>
    <w:rsid w:val="005C0F56"/>
    <w:rsid w:val="005C1A4E"/>
    <w:rsid w:val="005C591A"/>
    <w:rsid w:val="005D3557"/>
    <w:rsid w:val="005D5462"/>
    <w:rsid w:val="005D7F58"/>
    <w:rsid w:val="005E1BBC"/>
    <w:rsid w:val="005E2239"/>
    <w:rsid w:val="005E31AA"/>
    <w:rsid w:val="005E45C7"/>
    <w:rsid w:val="005F0367"/>
    <w:rsid w:val="005F161B"/>
    <w:rsid w:val="005F3433"/>
    <w:rsid w:val="005F37A4"/>
    <w:rsid w:val="005F4088"/>
    <w:rsid w:val="005F44A1"/>
    <w:rsid w:val="005F4CB5"/>
    <w:rsid w:val="005F5A81"/>
    <w:rsid w:val="005F7F32"/>
    <w:rsid w:val="00605F47"/>
    <w:rsid w:val="0060671D"/>
    <w:rsid w:val="0060688C"/>
    <w:rsid w:val="00612E01"/>
    <w:rsid w:val="00613B7F"/>
    <w:rsid w:val="00614095"/>
    <w:rsid w:val="006169F1"/>
    <w:rsid w:val="00616A56"/>
    <w:rsid w:val="00620A3E"/>
    <w:rsid w:val="006213C0"/>
    <w:rsid w:val="00621925"/>
    <w:rsid w:val="00621BA8"/>
    <w:rsid w:val="00622580"/>
    <w:rsid w:val="006238F9"/>
    <w:rsid w:val="00625264"/>
    <w:rsid w:val="00630DE7"/>
    <w:rsid w:val="006313A0"/>
    <w:rsid w:val="00631E58"/>
    <w:rsid w:val="00632A72"/>
    <w:rsid w:val="00632C2D"/>
    <w:rsid w:val="006342EA"/>
    <w:rsid w:val="006351D0"/>
    <w:rsid w:val="0063537D"/>
    <w:rsid w:val="0063610C"/>
    <w:rsid w:val="0063758E"/>
    <w:rsid w:val="00642A0C"/>
    <w:rsid w:val="00643CF4"/>
    <w:rsid w:val="006457E8"/>
    <w:rsid w:val="00645F9A"/>
    <w:rsid w:val="00647146"/>
    <w:rsid w:val="0065242C"/>
    <w:rsid w:val="00653EDE"/>
    <w:rsid w:val="006572FB"/>
    <w:rsid w:val="0066077F"/>
    <w:rsid w:val="00661280"/>
    <w:rsid w:val="00661722"/>
    <w:rsid w:val="00661803"/>
    <w:rsid w:val="00662810"/>
    <w:rsid w:val="00665174"/>
    <w:rsid w:val="00666547"/>
    <w:rsid w:val="00671243"/>
    <w:rsid w:val="0067127A"/>
    <w:rsid w:val="006714EC"/>
    <w:rsid w:val="00676718"/>
    <w:rsid w:val="006809D6"/>
    <w:rsid w:val="00681985"/>
    <w:rsid w:val="0068407F"/>
    <w:rsid w:val="00685536"/>
    <w:rsid w:val="006855EB"/>
    <w:rsid w:val="0068728F"/>
    <w:rsid w:val="006956C9"/>
    <w:rsid w:val="006A047A"/>
    <w:rsid w:val="006A17AF"/>
    <w:rsid w:val="006A5945"/>
    <w:rsid w:val="006A6E5F"/>
    <w:rsid w:val="006B0B1E"/>
    <w:rsid w:val="006B1920"/>
    <w:rsid w:val="006B4361"/>
    <w:rsid w:val="006B69F0"/>
    <w:rsid w:val="006B7BE4"/>
    <w:rsid w:val="006C19AD"/>
    <w:rsid w:val="006C26C1"/>
    <w:rsid w:val="006C35A1"/>
    <w:rsid w:val="006C542C"/>
    <w:rsid w:val="006D0214"/>
    <w:rsid w:val="006D03B8"/>
    <w:rsid w:val="006D1E62"/>
    <w:rsid w:val="006D30E9"/>
    <w:rsid w:val="006D3A0A"/>
    <w:rsid w:val="006D3DBF"/>
    <w:rsid w:val="006D5F9C"/>
    <w:rsid w:val="006D60D9"/>
    <w:rsid w:val="006D6A34"/>
    <w:rsid w:val="006E12E7"/>
    <w:rsid w:val="006E177C"/>
    <w:rsid w:val="006E1861"/>
    <w:rsid w:val="006E22E6"/>
    <w:rsid w:val="006E5602"/>
    <w:rsid w:val="006E7F34"/>
    <w:rsid w:val="006F0E35"/>
    <w:rsid w:val="006F1875"/>
    <w:rsid w:val="006F210E"/>
    <w:rsid w:val="006F2A94"/>
    <w:rsid w:val="006F50AC"/>
    <w:rsid w:val="006F622F"/>
    <w:rsid w:val="006F6B84"/>
    <w:rsid w:val="007009D1"/>
    <w:rsid w:val="00702383"/>
    <w:rsid w:val="00703B1C"/>
    <w:rsid w:val="00705906"/>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79E"/>
    <w:rsid w:val="007637A1"/>
    <w:rsid w:val="00764420"/>
    <w:rsid w:val="007665AF"/>
    <w:rsid w:val="00770162"/>
    <w:rsid w:val="00774FAA"/>
    <w:rsid w:val="00775258"/>
    <w:rsid w:val="00777F48"/>
    <w:rsid w:val="00782936"/>
    <w:rsid w:val="00782AC1"/>
    <w:rsid w:val="00783014"/>
    <w:rsid w:val="0078607B"/>
    <w:rsid w:val="0079099A"/>
    <w:rsid w:val="007935F0"/>
    <w:rsid w:val="007943B3"/>
    <w:rsid w:val="00794B39"/>
    <w:rsid w:val="00797420"/>
    <w:rsid w:val="00797C88"/>
    <w:rsid w:val="007A1918"/>
    <w:rsid w:val="007A2F73"/>
    <w:rsid w:val="007A322F"/>
    <w:rsid w:val="007A5825"/>
    <w:rsid w:val="007A68FC"/>
    <w:rsid w:val="007A784A"/>
    <w:rsid w:val="007B2D85"/>
    <w:rsid w:val="007B41CD"/>
    <w:rsid w:val="007B76A7"/>
    <w:rsid w:val="007C058D"/>
    <w:rsid w:val="007C0827"/>
    <w:rsid w:val="007C1F34"/>
    <w:rsid w:val="007C2397"/>
    <w:rsid w:val="007C3CE7"/>
    <w:rsid w:val="007C5FA2"/>
    <w:rsid w:val="007C6712"/>
    <w:rsid w:val="007D137E"/>
    <w:rsid w:val="007D38BF"/>
    <w:rsid w:val="007D58B0"/>
    <w:rsid w:val="007E07C4"/>
    <w:rsid w:val="007E20C6"/>
    <w:rsid w:val="007E22FA"/>
    <w:rsid w:val="007E580F"/>
    <w:rsid w:val="007E5AF6"/>
    <w:rsid w:val="007F29E4"/>
    <w:rsid w:val="007F3188"/>
    <w:rsid w:val="007F3E52"/>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4005B"/>
    <w:rsid w:val="00842222"/>
    <w:rsid w:val="008433EC"/>
    <w:rsid w:val="008439DB"/>
    <w:rsid w:val="008439E9"/>
    <w:rsid w:val="00844D74"/>
    <w:rsid w:val="00845C43"/>
    <w:rsid w:val="00846B8D"/>
    <w:rsid w:val="00852394"/>
    <w:rsid w:val="0085259C"/>
    <w:rsid w:val="00852E03"/>
    <w:rsid w:val="00853424"/>
    <w:rsid w:val="00853463"/>
    <w:rsid w:val="0085406D"/>
    <w:rsid w:val="00860E1F"/>
    <w:rsid w:val="00861CA3"/>
    <w:rsid w:val="00862152"/>
    <w:rsid w:val="008644D0"/>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AA8"/>
    <w:rsid w:val="008B1139"/>
    <w:rsid w:val="008B300B"/>
    <w:rsid w:val="008B7AE2"/>
    <w:rsid w:val="008C1A1F"/>
    <w:rsid w:val="008C30C3"/>
    <w:rsid w:val="008C37FC"/>
    <w:rsid w:val="008C3A0E"/>
    <w:rsid w:val="008C7241"/>
    <w:rsid w:val="008C7E27"/>
    <w:rsid w:val="008D1C85"/>
    <w:rsid w:val="008D55BF"/>
    <w:rsid w:val="008D771F"/>
    <w:rsid w:val="008E29AA"/>
    <w:rsid w:val="008E2F5F"/>
    <w:rsid w:val="008E443E"/>
    <w:rsid w:val="008E5AD8"/>
    <w:rsid w:val="008E7217"/>
    <w:rsid w:val="008F0883"/>
    <w:rsid w:val="008F11D7"/>
    <w:rsid w:val="008F166E"/>
    <w:rsid w:val="008F24C6"/>
    <w:rsid w:val="008F3534"/>
    <w:rsid w:val="008F4E07"/>
    <w:rsid w:val="009011EF"/>
    <w:rsid w:val="00902388"/>
    <w:rsid w:val="00907DD8"/>
    <w:rsid w:val="00907F4E"/>
    <w:rsid w:val="009107E6"/>
    <w:rsid w:val="009119A0"/>
    <w:rsid w:val="00912880"/>
    <w:rsid w:val="00913F6E"/>
    <w:rsid w:val="00914144"/>
    <w:rsid w:val="00920069"/>
    <w:rsid w:val="0092095A"/>
    <w:rsid w:val="00920AA3"/>
    <w:rsid w:val="00920AC7"/>
    <w:rsid w:val="00921B0D"/>
    <w:rsid w:val="009236D5"/>
    <w:rsid w:val="00923A13"/>
    <w:rsid w:val="00925E55"/>
    <w:rsid w:val="0092658D"/>
    <w:rsid w:val="00927A57"/>
    <w:rsid w:val="0093189E"/>
    <w:rsid w:val="00933A61"/>
    <w:rsid w:val="00934B10"/>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AE"/>
    <w:rsid w:val="00980F8D"/>
    <w:rsid w:val="00983037"/>
    <w:rsid w:val="00984CAC"/>
    <w:rsid w:val="00986EB6"/>
    <w:rsid w:val="00991B58"/>
    <w:rsid w:val="00991C53"/>
    <w:rsid w:val="00991E65"/>
    <w:rsid w:val="009927CA"/>
    <w:rsid w:val="00994314"/>
    <w:rsid w:val="0099587F"/>
    <w:rsid w:val="00997235"/>
    <w:rsid w:val="009A0E41"/>
    <w:rsid w:val="009A14A7"/>
    <w:rsid w:val="009A384D"/>
    <w:rsid w:val="009A7505"/>
    <w:rsid w:val="009A7E4A"/>
    <w:rsid w:val="009B2943"/>
    <w:rsid w:val="009B6ABD"/>
    <w:rsid w:val="009C3CBB"/>
    <w:rsid w:val="009C3D7B"/>
    <w:rsid w:val="009C666C"/>
    <w:rsid w:val="009C7402"/>
    <w:rsid w:val="009C7827"/>
    <w:rsid w:val="009C7CF5"/>
    <w:rsid w:val="009D1098"/>
    <w:rsid w:val="009D1719"/>
    <w:rsid w:val="009D25EB"/>
    <w:rsid w:val="009D281A"/>
    <w:rsid w:val="009D5150"/>
    <w:rsid w:val="009D622F"/>
    <w:rsid w:val="009D7CC1"/>
    <w:rsid w:val="009E2561"/>
    <w:rsid w:val="009F0EF2"/>
    <w:rsid w:val="009F51FF"/>
    <w:rsid w:val="009F616C"/>
    <w:rsid w:val="009F663C"/>
    <w:rsid w:val="009F6685"/>
    <w:rsid w:val="009F77F6"/>
    <w:rsid w:val="00A03525"/>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4381A"/>
    <w:rsid w:val="00A4432A"/>
    <w:rsid w:val="00A45504"/>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808FF"/>
    <w:rsid w:val="00A80AB2"/>
    <w:rsid w:val="00A81A46"/>
    <w:rsid w:val="00A8388F"/>
    <w:rsid w:val="00A83D89"/>
    <w:rsid w:val="00A85140"/>
    <w:rsid w:val="00A85BDD"/>
    <w:rsid w:val="00A85DD0"/>
    <w:rsid w:val="00A86603"/>
    <w:rsid w:val="00A90642"/>
    <w:rsid w:val="00A9249C"/>
    <w:rsid w:val="00A932D9"/>
    <w:rsid w:val="00AA18E8"/>
    <w:rsid w:val="00AA3CE7"/>
    <w:rsid w:val="00AA481B"/>
    <w:rsid w:val="00AA5151"/>
    <w:rsid w:val="00AA5EBE"/>
    <w:rsid w:val="00AA6C1D"/>
    <w:rsid w:val="00AB2AAC"/>
    <w:rsid w:val="00AB3DC3"/>
    <w:rsid w:val="00AB724D"/>
    <w:rsid w:val="00AB7D5B"/>
    <w:rsid w:val="00AC0E69"/>
    <w:rsid w:val="00AC2B26"/>
    <w:rsid w:val="00AC2BA8"/>
    <w:rsid w:val="00AC4130"/>
    <w:rsid w:val="00AC4ADA"/>
    <w:rsid w:val="00AC52D5"/>
    <w:rsid w:val="00AC6310"/>
    <w:rsid w:val="00AD1861"/>
    <w:rsid w:val="00AD5CF9"/>
    <w:rsid w:val="00AD65A3"/>
    <w:rsid w:val="00AE128C"/>
    <w:rsid w:val="00AE1D67"/>
    <w:rsid w:val="00AE2A05"/>
    <w:rsid w:val="00AE5097"/>
    <w:rsid w:val="00AE5478"/>
    <w:rsid w:val="00AE79D5"/>
    <w:rsid w:val="00AE7F7F"/>
    <w:rsid w:val="00AF23F8"/>
    <w:rsid w:val="00AF565C"/>
    <w:rsid w:val="00AF6A20"/>
    <w:rsid w:val="00AF7962"/>
    <w:rsid w:val="00B00F0B"/>
    <w:rsid w:val="00B04739"/>
    <w:rsid w:val="00B0770B"/>
    <w:rsid w:val="00B07DEC"/>
    <w:rsid w:val="00B118F0"/>
    <w:rsid w:val="00B12E02"/>
    <w:rsid w:val="00B1368F"/>
    <w:rsid w:val="00B13BD5"/>
    <w:rsid w:val="00B14783"/>
    <w:rsid w:val="00B1768B"/>
    <w:rsid w:val="00B176C5"/>
    <w:rsid w:val="00B219E4"/>
    <w:rsid w:val="00B2668F"/>
    <w:rsid w:val="00B26D93"/>
    <w:rsid w:val="00B31AEC"/>
    <w:rsid w:val="00B32286"/>
    <w:rsid w:val="00B337E4"/>
    <w:rsid w:val="00B35AF9"/>
    <w:rsid w:val="00B370A6"/>
    <w:rsid w:val="00B412A3"/>
    <w:rsid w:val="00B42983"/>
    <w:rsid w:val="00B43F91"/>
    <w:rsid w:val="00B45D27"/>
    <w:rsid w:val="00B4760E"/>
    <w:rsid w:val="00B477D6"/>
    <w:rsid w:val="00B5044A"/>
    <w:rsid w:val="00B50CFC"/>
    <w:rsid w:val="00B51249"/>
    <w:rsid w:val="00B52F3E"/>
    <w:rsid w:val="00B5376E"/>
    <w:rsid w:val="00B54DD7"/>
    <w:rsid w:val="00B55E0F"/>
    <w:rsid w:val="00B56D35"/>
    <w:rsid w:val="00B5729B"/>
    <w:rsid w:val="00B60481"/>
    <w:rsid w:val="00B626EC"/>
    <w:rsid w:val="00B62AD0"/>
    <w:rsid w:val="00B632F4"/>
    <w:rsid w:val="00B64533"/>
    <w:rsid w:val="00B648FE"/>
    <w:rsid w:val="00B65211"/>
    <w:rsid w:val="00B653CF"/>
    <w:rsid w:val="00B66A3C"/>
    <w:rsid w:val="00B71BA5"/>
    <w:rsid w:val="00B73034"/>
    <w:rsid w:val="00B731EA"/>
    <w:rsid w:val="00B77597"/>
    <w:rsid w:val="00B77BB7"/>
    <w:rsid w:val="00B80831"/>
    <w:rsid w:val="00B81FB1"/>
    <w:rsid w:val="00B85EA5"/>
    <w:rsid w:val="00B86107"/>
    <w:rsid w:val="00B90519"/>
    <w:rsid w:val="00B93724"/>
    <w:rsid w:val="00B96D47"/>
    <w:rsid w:val="00B97E46"/>
    <w:rsid w:val="00BA05C4"/>
    <w:rsid w:val="00BA1A0D"/>
    <w:rsid w:val="00BA7685"/>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20E7"/>
    <w:rsid w:val="00C03BB5"/>
    <w:rsid w:val="00C0793C"/>
    <w:rsid w:val="00C15DF2"/>
    <w:rsid w:val="00C16B99"/>
    <w:rsid w:val="00C20EFB"/>
    <w:rsid w:val="00C2187D"/>
    <w:rsid w:val="00C239CA"/>
    <w:rsid w:val="00C2427C"/>
    <w:rsid w:val="00C2432F"/>
    <w:rsid w:val="00C25E45"/>
    <w:rsid w:val="00C26C54"/>
    <w:rsid w:val="00C26E40"/>
    <w:rsid w:val="00C3200C"/>
    <w:rsid w:val="00C326AB"/>
    <w:rsid w:val="00C34C9C"/>
    <w:rsid w:val="00C34CC2"/>
    <w:rsid w:val="00C34CD5"/>
    <w:rsid w:val="00C35E90"/>
    <w:rsid w:val="00C3648C"/>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813FF"/>
    <w:rsid w:val="00C81823"/>
    <w:rsid w:val="00C872A7"/>
    <w:rsid w:val="00C9304C"/>
    <w:rsid w:val="00C9448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6001"/>
    <w:rsid w:val="00CB692D"/>
    <w:rsid w:val="00CC0784"/>
    <w:rsid w:val="00CC0F01"/>
    <w:rsid w:val="00CC38EB"/>
    <w:rsid w:val="00CC45F4"/>
    <w:rsid w:val="00CD17D6"/>
    <w:rsid w:val="00CD187A"/>
    <w:rsid w:val="00CD1943"/>
    <w:rsid w:val="00CD36CA"/>
    <w:rsid w:val="00CD541C"/>
    <w:rsid w:val="00CE0112"/>
    <w:rsid w:val="00CE0D2D"/>
    <w:rsid w:val="00CE2BEE"/>
    <w:rsid w:val="00CE6B5E"/>
    <w:rsid w:val="00CE6BB6"/>
    <w:rsid w:val="00CF04D2"/>
    <w:rsid w:val="00CF2844"/>
    <w:rsid w:val="00CF474E"/>
    <w:rsid w:val="00D02D30"/>
    <w:rsid w:val="00D046B0"/>
    <w:rsid w:val="00D04CAC"/>
    <w:rsid w:val="00D05EC7"/>
    <w:rsid w:val="00D06D07"/>
    <w:rsid w:val="00D10DA0"/>
    <w:rsid w:val="00D1210A"/>
    <w:rsid w:val="00D13CA1"/>
    <w:rsid w:val="00D175DB"/>
    <w:rsid w:val="00D17D55"/>
    <w:rsid w:val="00D201DE"/>
    <w:rsid w:val="00D23211"/>
    <w:rsid w:val="00D23A7D"/>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5036F"/>
    <w:rsid w:val="00D50EF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81012"/>
    <w:rsid w:val="00D81C6A"/>
    <w:rsid w:val="00D859F2"/>
    <w:rsid w:val="00D87450"/>
    <w:rsid w:val="00D87C50"/>
    <w:rsid w:val="00D92B69"/>
    <w:rsid w:val="00D93516"/>
    <w:rsid w:val="00D9371B"/>
    <w:rsid w:val="00D953B2"/>
    <w:rsid w:val="00D96A00"/>
    <w:rsid w:val="00D971D6"/>
    <w:rsid w:val="00DA0917"/>
    <w:rsid w:val="00DA12E3"/>
    <w:rsid w:val="00DA4334"/>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381D"/>
    <w:rsid w:val="00DD4FC2"/>
    <w:rsid w:val="00DD6391"/>
    <w:rsid w:val="00DE3625"/>
    <w:rsid w:val="00DE698D"/>
    <w:rsid w:val="00DE6CF9"/>
    <w:rsid w:val="00DE6E69"/>
    <w:rsid w:val="00DF242E"/>
    <w:rsid w:val="00DF5480"/>
    <w:rsid w:val="00DF608A"/>
    <w:rsid w:val="00DF78C2"/>
    <w:rsid w:val="00DF7A04"/>
    <w:rsid w:val="00E058C0"/>
    <w:rsid w:val="00E05F4A"/>
    <w:rsid w:val="00E0786D"/>
    <w:rsid w:val="00E07F00"/>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28FE"/>
    <w:rsid w:val="00E43A0F"/>
    <w:rsid w:val="00E4558A"/>
    <w:rsid w:val="00E5129F"/>
    <w:rsid w:val="00E664D3"/>
    <w:rsid w:val="00E668FE"/>
    <w:rsid w:val="00E67148"/>
    <w:rsid w:val="00E70123"/>
    <w:rsid w:val="00E752C5"/>
    <w:rsid w:val="00E769D3"/>
    <w:rsid w:val="00E76F09"/>
    <w:rsid w:val="00E81EDF"/>
    <w:rsid w:val="00E82CE4"/>
    <w:rsid w:val="00E846C3"/>
    <w:rsid w:val="00E85A04"/>
    <w:rsid w:val="00E86BB4"/>
    <w:rsid w:val="00E87A7C"/>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D3D"/>
    <w:rsid w:val="00EB1D66"/>
    <w:rsid w:val="00EB2335"/>
    <w:rsid w:val="00EB2926"/>
    <w:rsid w:val="00EB632D"/>
    <w:rsid w:val="00EB77C7"/>
    <w:rsid w:val="00EC38AB"/>
    <w:rsid w:val="00EC56AC"/>
    <w:rsid w:val="00EC73E8"/>
    <w:rsid w:val="00ED38A9"/>
    <w:rsid w:val="00ED53DC"/>
    <w:rsid w:val="00ED61A9"/>
    <w:rsid w:val="00ED62E8"/>
    <w:rsid w:val="00ED6327"/>
    <w:rsid w:val="00ED790B"/>
    <w:rsid w:val="00ED7FF1"/>
    <w:rsid w:val="00EE03A1"/>
    <w:rsid w:val="00EE0BE8"/>
    <w:rsid w:val="00EE1132"/>
    <w:rsid w:val="00EE219B"/>
    <w:rsid w:val="00EE50F8"/>
    <w:rsid w:val="00EE6814"/>
    <w:rsid w:val="00EF0963"/>
    <w:rsid w:val="00EF0EEB"/>
    <w:rsid w:val="00EF51FB"/>
    <w:rsid w:val="00EF6504"/>
    <w:rsid w:val="00EF7734"/>
    <w:rsid w:val="00EF7846"/>
    <w:rsid w:val="00F018AD"/>
    <w:rsid w:val="00F03101"/>
    <w:rsid w:val="00F04556"/>
    <w:rsid w:val="00F0456D"/>
    <w:rsid w:val="00F058CB"/>
    <w:rsid w:val="00F078D9"/>
    <w:rsid w:val="00F07991"/>
    <w:rsid w:val="00F1001F"/>
    <w:rsid w:val="00F105E8"/>
    <w:rsid w:val="00F11274"/>
    <w:rsid w:val="00F1293F"/>
    <w:rsid w:val="00F1348D"/>
    <w:rsid w:val="00F145EC"/>
    <w:rsid w:val="00F14E4C"/>
    <w:rsid w:val="00F24071"/>
    <w:rsid w:val="00F24AE2"/>
    <w:rsid w:val="00F24BF1"/>
    <w:rsid w:val="00F273E6"/>
    <w:rsid w:val="00F27831"/>
    <w:rsid w:val="00F3600F"/>
    <w:rsid w:val="00F40760"/>
    <w:rsid w:val="00F40B1D"/>
    <w:rsid w:val="00F40C9F"/>
    <w:rsid w:val="00F421F7"/>
    <w:rsid w:val="00F43113"/>
    <w:rsid w:val="00F437F5"/>
    <w:rsid w:val="00F4401E"/>
    <w:rsid w:val="00F44305"/>
    <w:rsid w:val="00F45141"/>
    <w:rsid w:val="00F46106"/>
    <w:rsid w:val="00F46ABB"/>
    <w:rsid w:val="00F46F71"/>
    <w:rsid w:val="00F51CC6"/>
    <w:rsid w:val="00F52305"/>
    <w:rsid w:val="00F52789"/>
    <w:rsid w:val="00F5326B"/>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35BF"/>
    <w:rsid w:val="00F94D6E"/>
    <w:rsid w:val="00F95356"/>
    <w:rsid w:val="00F95C0A"/>
    <w:rsid w:val="00F9625A"/>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E379D"/>
    <w:rsid w:val="00FE6175"/>
    <w:rsid w:val="00FE6978"/>
    <w:rsid w:val="00FF138A"/>
    <w:rsid w:val="00FF251D"/>
    <w:rsid w:val="00FF340F"/>
    <w:rsid w:val="00FF60CA"/>
    <w:rsid w:val="00FF6F63"/>
    <w:rsid w:val="013C690E"/>
    <w:rsid w:val="05CD3FD8"/>
    <w:rsid w:val="07370BBC"/>
    <w:rsid w:val="100E314C"/>
    <w:rsid w:val="12AD53E4"/>
    <w:rsid w:val="171E20CD"/>
    <w:rsid w:val="17BD181A"/>
    <w:rsid w:val="17DF02C7"/>
    <w:rsid w:val="18ED0F01"/>
    <w:rsid w:val="198B232B"/>
    <w:rsid w:val="1A2A0944"/>
    <w:rsid w:val="1C496AFA"/>
    <w:rsid w:val="1D5F7DEB"/>
    <w:rsid w:val="1EC31AFD"/>
    <w:rsid w:val="249F3410"/>
    <w:rsid w:val="2745370E"/>
    <w:rsid w:val="2AC2108A"/>
    <w:rsid w:val="2C3A51FC"/>
    <w:rsid w:val="2E2F16FD"/>
    <w:rsid w:val="2EC64D52"/>
    <w:rsid w:val="2F8B4279"/>
    <w:rsid w:val="30032A14"/>
    <w:rsid w:val="305111DE"/>
    <w:rsid w:val="30DF5EF8"/>
    <w:rsid w:val="328E0F1B"/>
    <w:rsid w:val="37F742B0"/>
    <w:rsid w:val="384F24A7"/>
    <w:rsid w:val="39CF1391"/>
    <w:rsid w:val="39EFAD3F"/>
    <w:rsid w:val="3B227D26"/>
    <w:rsid w:val="3C1A6CD0"/>
    <w:rsid w:val="3E9DACD2"/>
    <w:rsid w:val="3FB0076F"/>
    <w:rsid w:val="4034372C"/>
    <w:rsid w:val="41994793"/>
    <w:rsid w:val="431F4CA5"/>
    <w:rsid w:val="43264826"/>
    <w:rsid w:val="43C754DD"/>
    <w:rsid w:val="442273B7"/>
    <w:rsid w:val="47FC3C76"/>
    <w:rsid w:val="48EA11AB"/>
    <w:rsid w:val="490C419D"/>
    <w:rsid w:val="499804E8"/>
    <w:rsid w:val="49AF3992"/>
    <w:rsid w:val="4CBE5EFB"/>
    <w:rsid w:val="4DEA3E03"/>
    <w:rsid w:val="4FB50323"/>
    <w:rsid w:val="502145D3"/>
    <w:rsid w:val="50BB7EDF"/>
    <w:rsid w:val="511431BE"/>
    <w:rsid w:val="52847FBA"/>
    <w:rsid w:val="53E5091E"/>
    <w:rsid w:val="54495628"/>
    <w:rsid w:val="568261D7"/>
    <w:rsid w:val="599C52A8"/>
    <w:rsid w:val="5A1A0AEB"/>
    <w:rsid w:val="5B225866"/>
    <w:rsid w:val="5B8F75B4"/>
    <w:rsid w:val="5CBFF15A"/>
    <w:rsid w:val="5D0B5652"/>
    <w:rsid w:val="5EC63535"/>
    <w:rsid w:val="5FC174B7"/>
    <w:rsid w:val="631F326A"/>
    <w:rsid w:val="66393109"/>
    <w:rsid w:val="6DEBBD2C"/>
    <w:rsid w:val="75CC131D"/>
    <w:rsid w:val="76DF633B"/>
    <w:rsid w:val="77953458"/>
    <w:rsid w:val="78FA6785"/>
    <w:rsid w:val="7B264EC3"/>
    <w:rsid w:val="7B5365BC"/>
    <w:rsid w:val="7DDB11B2"/>
    <w:rsid w:val="7EDD428D"/>
    <w:rsid w:val="7EFC8748"/>
    <w:rsid w:val="7FD33266"/>
    <w:rsid w:val="7FF56FBE"/>
    <w:rsid w:val="7FFE8172"/>
    <w:rsid w:val="7FFF311D"/>
    <w:rsid w:val="89FFCBDE"/>
    <w:rsid w:val="9F6F091B"/>
    <w:rsid w:val="AFEE982E"/>
    <w:rsid w:val="B5DC1994"/>
    <w:rsid w:val="C9FD5BCB"/>
    <w:rsid w:val="CEDDD326"/>
    <w:rsid w:val="CFB9F942"/>
    <w:rsid w:val="D0FF21D6"/>
    <w:rsid w:val="D6FDF6DE"/>
    <w:rsid w:val="D74F529C"/>
    <w:rsid w:val="DFBF0E32"/>
    <w:rsid w:val="E2D40BC2"/>
    <w:rsid w:val="EDFE788B"/>
    <w:rsid w:val="EFFB051B"/>
    <w:rsid w:val="F79E0176"/>
    <w:rsid w:val="F7DEAF10"/>
    <w:rsid w:val="F8DB25B7"/>
    <w:rsid w:val="F9FD3E7C"/>
    <w:rsid w:val="FBB7EA15"/>
    <w:rsid w:val="FDDA7738"/>
    <w:rsid w:val="FDEF4FB5"/>
    <w:rsid w:val="FDFF8F41"/>
    <w:rsid w:val="FE7C8228"/>
    <w:rsid w:val="FEBE5BFE"/>
    <w:rsid w:val="FECF666B"/>
    <w:rsid w:val="FEEB25F8"/>
    <w:rsid w:val="FF08282C"/>
    <w:rsid w:val="FFFF7C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99"/>
    <w:rPr>
      <w:sz w:val="21"/>
      <w:szCs w:val="21"/>
    </w:rPr>
  </w:style>
  <w:style w:type="paragraph" w:customStyle="1" w:styleId="10">
    <w:name w:val="005 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11">
    <w:name w:val="List Paragraph"/>
    <w:basedOn w:val="1"/>
    <w:qFormat/>
    <w:uiPriority w:val="34"/>
    <w:pPr>
      <w:ind w:firstLine="420" w:firstLineChars="200"/>
    </w:p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4">
    <w:name w:val="页眉 字符"/>
    <w:basedOn w:val="8"/>
    <w:link w:val="5"/>
    <w:qFormat/>
    <w:uiPriority w:val="99"/>
    <w:rPr>
      <w:rFonts w:asciiTheme="minorHAnsi" w:hAnsiTheme="minorHAnsi" w:eastAsiaTheme="minorEastAsia" w:cstheme="minorBidi"/>
      <w:kern w:val="2"/>
      <w:sz w:val="18"/>
      <w:szCs w:val="18"/>
    </w:rPr>
  </w:style>
  <w:style w:type="character" w:customStyle="1" w:styleId="15">
    <w:name w:val="页脚 字符"/>
    <w:basedOn w:val="8"/>
    <w:link w:val="4"/>
    <w:qFormat/>
    <w:uiPriority w:val="99"/>
    <w:rPr>
      <w:rFonts w:asciiTheme="minorHAnsi" w:hAnsiTheme="minorHAnsi" w:eastAsiaTheme="minorEastAsia" w:cstheme="minorBidi"/>
      <w:kern w:val="2"/>
      <w:sz w:val="18"/>
      <w:szCs w:val="18"/>
    </w:rPr>
  </w:style>
  <w:style w:type="paragraph" w:customStyle="1" w:styleId="1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6"/>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AUX</Company>
  <Pages>3</Pages>
  <Words>1372</Words>
  <Characters>1467</Characters>
  <Lines>11</Lines>
  <Paragraphs>3</Paragraphs>
  <TotalTime>367</TotalTime>
  <ScaleCrop>false</ScaleCrop>
  <LinksUpToDate>false</LinksUpToDate>
  <CharactersWithSpaces>1543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2024-02-03T08:09:00Z</dcterms:created>
  <dc:creator>霍晓炜</dc:creator>
  <cp:lastModifiedBy>库</cp:lastModifiedBy>
  <cp:lastPrinted>2024-06-03T07:16:00Z</cp:lastPrinted>
  <dcterms:modified xsi:type="dcterms:W3CDTF">2024-06-03T07:59:42Z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7141361812AF46C28E340C80EB4EE1C6_12</vt:lpwstr>
  </property>
</Properties>
</file>