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9F" w:rsidRDefault="00DB324B">
      <w:pPr>
        <w:spacing w:before="41"/>
        <w:ind w:left="220"/>
        <w:rPr>
          <w:b/>
          <w:sz w:val="24"/>
        </w:rPr>
      </w:pPr>
      <w:r>
        <w:rPr>
          <w:b/>
          <w:sz w:val="24"/>
        </w:rPr>
        <w:t>附件一：投资者关系活动记录表格式</w:t>
      </w:r>
    </w:p>
    <w:p w:rsidR="00F1639F" w:rsidRDefault="00F1639F">
      <w:pPr>
        <w:pStyle w:val="a3"/>
        <w:ind w:left="0"/>
        <w:rPr>
          <w:b/>
        </w:rPr>
      </w:pPr>
    </w:p>
    <w:p w:rsidR="00F1639F" w:rsidRDefault="00F1639F">
      <w:pPr>
        <w:pStyle w:val="a3"/>
        <w:spacing w:before="1"/>
        <w:ind w:left="0"/>
        <w:rPr>
          <w:b/>
          <w:sz w:val="19"/>
        </w:rPr>
      </w:pPr>
    </w:p>
    <w:p w:rsidR="00F1639F" w:rsidRDefault="00DB324B">
      <w:pPr>
        <w:pStyle w:val="a3"/>
        <w:tabs>
          <w:tab w:val="left" w:pos="5741"/>
        </w:tabs>
      </w:pPr>
      <w:r>
        <w:t>证券代码：688060</w:t>
      </w:r>
      <w:r>
        <w:tab/>
        <w:t>证券简称：</w:t>
      </w:r>
      <w:r>
        <w:rPr>
          <w:rFonts w:hint="eastAsia"/>
        </w:rPr>
        <w:t>云涌科技</w:t>
      </w:r>
    </w:p>
    <w:p w:rsidR="00F1639F" w:rsidRDefault="00DB324B">
      <w:pPr>
        <w:pStyle w:val="1"/>
        <w:spacing w:before="170"/>
      </w:pPr>
      <w:r>
        <w:rPr>
          <w:rFonts w:hint="eastAsia"/>
        </w:rPr>
        <w:t>江苏云涌电子</w:t>
      </w:r>
      <w:r>
        <w:t>科技股份有限公司投资者关系活动记录表</w:t>
      </w:r>
    </w:p>
    <w:p w:rsidR="00F1639F" w:rsidRDefault="00DB324B">
      <w:pPr>
        <w:pStyle w:val="a3"/>
        <w:spacing w:before="224" w:after="15"/>
        <w:ind w:left="0" w:right="983"/>
        <w:jc w:val="right"/>
      </w:pPr>
      <w:r>
        <w:t>编号：</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6584"/>
      </w:tblGrid>
      <w:tr w:rsidR="00F1639F">
        <w:trPr>
          <w:trHeight w:val="2400"/>
        </w:trPr>
        <w:tc>
          <w:tcPr>
            <w:tcW w:w="1940" w:type="dxa"/>
          </w:tcPr>
          <w:p w:rsidR="00F1639F" w:rsidRDefault="00DB324B">
            <w:pPr>
              <w:pStyle w:val="TableParagraph"/>
              <w:spacing w:before="170" w:line="374" w:lineRule="auto"/>
              <w:ind w:right="91"/>
              <w:rPr>
                <w:sz w:val="24"/>
              </w:rPr>
            </w:pPr>
            <w:r>
              <w:rPr>
                <w:sz w:val="24"/>
              </w:rPr>
              <w:t>投资者关系活动类别</w:t>
            </w:r>
          </w:p>
        </w:tc>
        <w:tc>
          <w:tcPr>
            <w:tcW w:w="6584" w:type="dxa"/>
          </w:tcPr>
          <w:p w:rsidR="00F1639F" w:rsidRDefault="00DB324B">
            <w:pPr>
              <w:pStyle w:val="TableParagraph"/>
              <w:tabs>
                <w:tab w:val="left" w:pos="2748"/>
              </w:tabs>
              <w:spacing w:before="170"/>
              <w:rPr>
                <w:sz w:val="24"/>
              </w:rPr>
            </w:pPr>
            <w:r>
              <w:rPr>
                <w:rFonts w:hint="eastAsia"/>
                <w:sz w:val="24"/>
              </w:rPr>
              <w:t>√</w:t>
            </w:r>
            <w:r>
              <w:rPr>
                <w:sz w:val="24"/>
              </w:rPr>
              <w:t>特定对象调研</w:t>
            </w:r>
            <w:r>
              <w:rPr>
                <w:sz w:val="24"/>
              </w:rPr>
              <w:tab/>
              <w:t>□分析师会议</w:t>
            </w:r>
          </w:p>
          <w:p w:rsidR="00F1639F" w:rsidRDefault="00DB324B">
            <w:pPr>
              <w:pStyle w:val="TableParagraph"/>
              <w:tabs>
                <w:tab w:val="left" w:pos="2748"/>
              </w:tabs>
              <w:spacing w:before="172"/>
              <w:rPr>
                <w:sz w:val="24"/>
              </w:rPr>
            </w:pPr>
            <w:r>
              <w:rPr>
                <w:sz w:val="24"/>
              </w:rPr>
              <w:t>□媒体采访</w:t>
            </w:r>
            <w:r>
              <w:rPr>
                <w:sz w:val="24"/>
              </w:rPr>
              <w:tab/>
              <w:t>□业绩说明会</w:t>
            </w:r>
          </w:p>
          <w:p w:rsidR="00F1639F" w:rsidRDefault="00DB324B">
            <w:pPr>
              <w:pStyle w:val="TableParagraph"/>
              <w:tabs>
                <w:tab w:val="left" w:pos="2748"/>
              </w:tabs>
              <w:spacing w:before="173"/>
              <w:rPr>
                <w:sz w:val="24"/>
              </w:rPr>
            </w:pPr>
            <w:r>
              <w:rPr>
                <w:sz w:val="24"/>
              </w:rPr>
              <w:t>□新闻发布会</w:t>
            </w:r>
            <w:r>
              <w:rPr>
                <w:sz w:val="24"/>
              </w:rPr>
              <w:tab/>
              <w:t>□路演活动</w:t>
            </w:r>
          </w:p>
          <w:p w:rsidR="00F1639F" w:rsidRDefault="00DB324B">
            <w:pPr>
              <w:pStyle w:val="TableParagraph"/>
              <w:spacing w:before="173"/>
              <w:rPr>
                <w:sz w:val="24"/>
              </w:rPr>
            </w:pPr>
            <w:r>
              <w:rPr>
                <w:sz w:val="24"/>
              </w:rPr>
              <w:t>□现场参观</w:t>
            </w:r>
          </w:p>
          <w:p w:rsidR="00F1639F" w:rsidRDefault="00DB324B">
            <w:pPr>
              <w:pStyle w:val="TableParagraph"/>
              <w:spacing w:before="172" w:line="289" w:lineRule="exact"/>
              <w:rPr>
                <w:sz w:val="24"/>
              </w:rPr>
            </w:pPr>
            <w:r>
              <w:rPr>
                <w:sz w:val="24"/>
              </w:rPr>
              <w:t>□其他 （请文字说明其他活动内容）</w:t>
            </w:r>
          </w:p>
        </w:tc>
      </w:tr>
      <w:tr w:rsidR="00F1639F">
        <w:trPr>
          <w:trHeight w:val="2848"/>
        </w:trPr>
        <w:tc>
          <w:tcPr>
            <w:tcW w:w="1940" w:type="dxa"/>
          </w:tcPr>
          <w:p w:rsidR="00F1639F" w:rsidRDefault="00DB324B">
            <w:pPr>
              <w:pStyle w:val="TableParagraph"/>
              <w:spacing w:line="480" w:lineRule="exact"/>
              <w:ind w:right="91"/>
              <w:rPr>
                <w:sz w:val="24"/>
              </w:rPr>
            </w:pPr>
            <w:r>
              <w:rPr>
                <w:sz w:val="24"/>
              </w:rPr>
              <w:t>参与单位名称及人员姓名</w:t>
            </w:r>
          </w:p>
        </w:tc>
        <w:tc>
          <w:tcPr>
            <w:tcW w:w="6584" w:type="dxa"/>
            <w:vAlign w:val="center"/>
          </w:tcPr>
          <w:p w:rsidR="00F1639F" w:rsidRDefault="00DB324B">
            <w:pPr>
              <w:pStyle w:val="TableParagraph"/>
              <w:rPr>
                <w:rFonts w:ascii="Times New Roman"/>
                <w:sz w:val="24"/>
                <w:szCs w:val="24"/>
              </w:rPr>
            </w:pPr>
            <w:r>
              <w:rPr>
                <w:rFonts w:ascii="Times New Roman"/>
                <w:sz w:val="24"/>
                <w:szCs w:val="24"/>
              </w:rPr>
              <w:t>民生证券</w:t>
            </w:r>
            <w:r>
              <w:rPr>
                <w:rFonts w:ascii="Times New Roman" w:hint="eastAsia"/>
                <w:sz w:val="24"/>
                <w:szCs w:val="24"/>
              </w:rPr>
              <w:t>、德邦</w:t>
            </w:r>
            <w:r>
              <w:rPr>
                <w:rFonts w:ascii="Times New Roman"/>
                <w:sz w:val="24"/>
                <w:szCs w:val="24"/>
              </w:rPr>
              <w:t>证券</w:t>
            </w:r>
            <w:r>
              <w:rPr>
                <w:rFonts w:ascii="Times New Roman" w:hint="eastAsia"/>
                <w:sz w:val="24"/>
                <w:szCs w:val="24"/>
              </w:rPr>
              <w:t>、金元顺安基金、嘉实基金、新华资管、泰康资管、禾永投资、兴证全球基金、浙商资管、交银施罗德基金、上海沣杨资管、光大保德信基金、德邦基金、南方基金、工银瑞信基金、上海常春藤资管、华泰柏瑞基金、中意资管、长城财富资管、富安达基金、诺安基金、太平资管、长江证券、景顺长城基金、东兴基金、金辇投资、华夏久盈资管、九泰基金、中邮人寿保险、红杉资本、峰岚资产、鑫元基金、淳厚基金、敦和资管、北京源乐晟资管、上海混沌投资、建信基金、平安资管、新华基金、聚鸣投资</w:t>
            </w:r>
          </w:p>
        </w:tc>
      </w:tr>
      <w:tr w:rsidR="00F1639F">
        <w:trPr>
          <w:trHeight w:val="479"/>
        </w:trPr>
        <w:tc>
          <w:tcPr>
            <w:tcW w:w="1940" w:type="dxa"/>
          </w:tcPr>
          <w:p w:rsidR="00F1639F" w:rsidRDefault="00DB324B">
            <w:pPr>
              <w:pStyle w:val="TableParagraph"/>
              <w:spacing w:before="170" w:line="289" w:lineRule="exact"/>
              <w:rPr>
                <w:sz w:val="24"/>
              </w:rPr>
            </w:pPr>
            <w:r>
              <w:rPr>
                <w:sz w:val="24"/>
              </w:rPr>
              <w:t>时间</w:t>
            </w:r>
          </w:p>
        </w:tc>
        <w:tc>
          <w:tcPr>
            <w:tcW w:w="6584" w:type="dxa"/>
            <w:vAlign w:val="center"/>
          </w:tcPr>
          <w:p w:rsidR="00F1639F" w:rsidRDefault="00DB324B">
            <w:pPr>
              <w:pStyle w:val="TableParagraph"/>
              <w:ind w:left="0"/>
              <w:rPr>
                <w:rFonts w:ascii="Times New Roman"/>
                <w:sz w:val="24"/>
              </w:rPr>
            </w:pPr>
            <w:r>
              <w:rPr>
                <w:rFonts w:ascii="Times New Roman"/>
                <w:sz w:val="24"/>
              </w:rPr>
              <w:t>2024</w:t>
            </w:r>
            <w:r>
              <w:rPr>
                <w:rFonts w:ascii="Times New Roman" w:hint="eastAsia"/>
                <w:sz w:val="24"/>
              </w:rPr>
              <w:t>年</w:t>
            </w:r>
            <w:r>
              <w:rPr>
                <w:rFonts w:ascii="Times New Roman" w:hint="eastAsia"/>
                <w:sz w:val="24"/>
              </w:rPr>
              <w:t>5</w:t>
            </w:r>
            <w:r>
              <w:rPr>
                <w:rFonts w:ascii="Times New Roman" w:hint="eastAsia"/>
                <w:sz w:val="24"/>
              </w:rPr>
              <w:t>月</w:t>
            </w:r>
            <w:r>
              <w:rPr>
                <w:rFonts w:ascii="Times New Roman" w:hint="eastAsia"/>
                <w:sz w:val="24"/>
              </w:rPr>
              <w:t>3</w:t>
            </w:r>
            <w:r>
              <w:rPr>
                <w:rFonts w:ascii="Times New Roman"/>
                <w:sz w:val="24"/>
              </w:rPr>
              <w:t>1</w:t>
            </w:r>
            <w:r>
              <w:rPr>
                <w:rFonts w:ascii="Times New Roman" w:hint="eastAsia"/>
                <w:sz w:val="24"/>
              </w:rPr>
              <w:t>日</w:t>
            </w:r>
          </w:p>
        </w:tc>
      </w:tr>
      <w:tr w:rsidR="00F1639F">
        <w:trPr>
          <w:trHeight w:val="482"/>
        </w:trPr>
        <w:tc>
          <w:tcPr>
            <w:tcW w:w="1940" w:type="dxa"/>
          </w:tcPr>
          <w:p w:rsidR="00F1639F" w:rsidRDefault="00DB324B">
            <w:pPr>
              <w:pStyle w:val="TableParagraph"/>
              <w:spacing w:before="172" w:line="289" w:lineRule="exact"/>
              <w:rPr>
                <w:sz w:val="24"/>
              </w:rPr>
            </w:pPr>
            <w:r>
              <w:rPr>
                <w:sz w:val="24"/>
              </w:rPr>
              <w:t>地点</w:t>
            </w:r>
          </w:p>
        </w:tc>
        <w:tc>
          <w:tcPr>
            <w:tcW w:w="6584" w:type="dxa"/>
            <w:vAlign w:val="center"/>
          </w:tcPr>
          <w:p w:rsidR="00F1639F" w:rsidRDefault="00DB324B">
            <w:pPr>
              <w:pStyle w:val="TableParagraph"/>
              <w:ind w:left="0"/>
              <w:rPr>
                <w:rFonts w:ascii="Times New Roman"/>
                <w:sz w:val="24"/>
              </w:rPr>
            </w:pPr>
            <w:r>
              <w:rPr>
                <w:rFonts w:ascii="Times New Roman"/>
                <w:sz w:val="24"/>
              </w:rPr>
              <w:t>云涌科技会议室</w:t>
            </w:r>
          </w:p>
        </w:tc>
      </w:tr>
      <w:tr w:rsidR="00F1639F">
        <w:trPr>
          <w:trHeight w:val="960"/>
        </w:trPr>
        <w:tc>
          <w:tcPr>
            <w:tcW w:w="1940" w:type="dxa"/>
          </w:tcPr>
          <w:p w:rsidR="00F1639F" w:rsidRDefault="00DB324B">
            <w:pPr>
              <w:pStyle w:val="TableParagraph"/>
              <w:spacing w:line="480" w:lineRule="exact"/>
              <w:ind w:right="91"/>
              <w:rPr>
                <w:sz w:val="24"/>
              </w:rPr>
            </w:pPr>
            <w:r>
              <w:rPr>
                <w:sz w:val="24"/>
              </w:rPr>
              <w:t>上市公司接待人员姓名</w:t>
            </w:r>
          </w:p>
        </w:tc>
        <w:tc>
          <w:tcPr>
            <w:tcW w:w="6584" w:type="dxa"/>
            <w:vAlign w:val="center"/>
          </w:tcPr>
          <w:p w:rsidR="00F1639F" w:rsidRDefault="00DB324B">
            <w:pPr>
              <w:pStyle w:val="TableParagraph"/>
              <w:ind w:left="0"/>
              <w:rPr>
                <w:rFonts w:ascii="Times New Roman"/>
                <w:sz w:val="24"/>
              </w:rPr>
            </w:pPr>
            <w:r>
              <w:rPr>
                <w:rFonts w:ascii="Times New Roman"/>
                <w:sz w:val="24"/>
              </w:rPr>
              <w:t>董事会秘书姜金良</w:t>
            </w:r>
            <w:r>
              <w:rPr>
                <w:rFonts w:ascii="Times New Roman" w:hint="eastAsia"/>
                <w:sz w:val="24"/>
              </w:rPr>
              <w:t>、市场产品总监张磊、证券事务代表袁宽然</w:t>
            </w:r>
          </w:p>
        </w:tc>
      </w:tr>
      <w:tr w:rsidR="00F1639F">
        <w:trPr>
          <w:trHeight w:val="2399"/>
        </w:trPr>
        <w:tc>
          <w:tcPr>
            <w:tcW w:w="1940" w:type="dxa"/>
          </w:tcPr>
          <w:p w:rsidR="00F1639F" w:rsidRDefault="00F1639F">
            <w:pPr>
              <w:pStyle w:val="TableParagraph"/>
              <w:ind w:left="0"/>
              <w:rPr>
                <w:sz w:val="24"/>
              </w:rPr>
            </w:pPr>
          </w:p>
          <w:p w:rsidR="00F1639F" w:rsidRDefault="00F1639F">
            <w:pPr>
              <w:pStyle w:val="TableParagraph"/>
              <w:spacing w:before="9"/>
              <w:ind w:left="0"/>
              <w:rPr>
                <w:sz w:val="26"/>
              </w:rPr>
            </w:pPr>
          </w:p>
          <w:p w:rsidR="00F1639F" w:rsidRDefault="00DB324B">
            <w:pPr>
              <w:pStyle w:val="TableParagraph"/>
              <w:spacing w:line="374" w:lineRule="auto"/>
              <w:ind w:right="91"/>
              <w:rPr>
                <w:sz w:val="24"/>
              </w:rPr>
            </w:pPr>
            <w:r>
              <w:rPr>
                <w:sz w:val="24"/>
              </w:rPr>
              <w:t>投资者关系活动主要内容介绍</w:t>
            </w:r>
          </w:p>
        </w:tc>
        <w:tc>
          <w:tcPr>
            <w:tcW w:w="6584" w:type="dxa"/>
          </w:tcPr>
          <w:p w:rsidR="00F1639F" w:rsidRDefault="00DB324B">
            <w:pPr>
              <w:pStyle w:val="TableParagraph"/>
              <w:ind w:left="0"/>
              <w:rPr>
                <w:color w:val="FF0000"/>
                <w:sz w:val="24"/>
                <w:szCs w:val="24"/>
              </w:rPr>
            </w:pPr>
            <w:r>
              <w:rPr>
                <w:rFonts w:hint="eastAsia"/>
                <w:color w:val="FF0000"/>
                <w:sz w:val="24"/>
                <w:szCs w:val="24"/>
              </w:rPr>
              <w:t>Q：公司在电力领域的收入结构是否发生了变化，电改对配网的建设及对公司是否产品有直接利好？</w:t>
            </w:r>
            <w:r>
              <w:rPr>
                <w:color w:val="FF0000"/>
                <w:sz w:val="24"/>
                <w:szCs w:val="24"/>
              </w:rPr>
              <w:t xml:space="preserve"> </w:t>
            </w:r>
          </w:p>
          <w:p w:rsidR="00F1639F" w:rsidRDefault="00DB324B">
            <w:pPr>
              <w:rPr>
                <w:sz w:val="24"/>
                <w:szCs w:val="24"/>
              </w:rPr>
            </w:pPr>
            <w:r>
              <w:rPr>
                <w:rFonts w:hint="eastAsia"/>
                <w:sz w:val="24"/>
                <w:szCs w:val="24"/>
              </w:rPr>
              <w:t>A：公司并未对电力领域收入结构按照主网配网进行详细分类，从产品角度来说，公司上市前占收入比例较大的产品主要应用在主网调度信息安全场景，如网络物理隔离装置、纵向加密设备、态势感知设备等。伴随以新能源为主体的新型电力系统的搭建，新能源消纳带来的配网测需求更加受到重视，公司配合客户参与多项针对配网通信、保护、自动化系统改造升级以及网络安全建设项目，如配网安全接入网关、TCU安全计费控制单元、配网边缘计算网关等产品已成为公司业绩重要组成部分。</w:t>
            </w:r>
          </w:p>
          <w:p w:rsidR="00F1639F" w:rsidRDefault="00DB324B" w:rsidP="003E53B3">
            <w:pPr>
              <w:pStyle w:val="TableParagraph"/>
              <w:ind w:left="0" w:firstLineChars="200" w:firstLine="480"/>
              <w:rPr>
                <w:sz w:val="24"/>
                <w:szCs w:val="24"/>
              </w:rPr>
            </w:pPr>
            <w:r>
              <w:rPr>
                <w:rFonts w:hint="eastAsia"/>
                <w:sz w:val="24"/>
                <w:szCs w:val="24"/>
              </w:rPr>
              <w:t>本次即将实施的电改</w:t>
            </w:r>
            <w:r>
              <w:rPr>
                <w:sz w:val="24"/>
                <w:szCs w:val="24"/>
              </w:rPr>
              <w:t>，</w:t>
            </w:r>
            <w:r>
              <w:rPr>
                <w:rFonts w:hint="eastAsia"/>
                <w:sz w:val="24"/>
                <w:szCs w:val="24"/>
              </w:rPr>
              <w:t>主要目的是</w:t>
            </w:r>
            <w:r>
              <w:rPr>
                <w:sz w:val="24"/>
                <w:szCs w:val="24"/>
              </w:rPr>
              <w:t>建设全国统一电力市场体系做出顶层计</w:t>
            </w:r>
            <w:r>
              <w:rPr>
                <w:rFonts w:hint="eastAsia"/>
                <w:sz w:val="24"/>
                <w:szCs w:val="24"/>
              </w:rPr>
              <w:t>，</w:t>
            </w:r>
            <w:r>
              <w:rPr>
                <w:sz w:val="24"/>
                <w:szCs w:val="24"/>
              </w:rPr>
              <w:t>适应新型电力系发展需要，</w:t>
            </w:r>
            <w:r>
              <w:rPr>
                <w:rFonts w:hint="eastAsia"/>
                <w:sz w:val="24"/>
                <w:szCs w:val="24"/>
              </w:rPr>
              <w:t>着力构建适应高比例新能源接入、传统电提供可靠支撑型、新型经营主体发展的电力市场体系架构。从公司面向的电网信息安全及配电自动化场景来看，一方面是煤电结构进一步转型升级</w:t>
            </w:r>
            <w:r>
              <w:rPr>
                <w:sz w:val="24"/>
                <w:szCs w:val="24"/>
              </w:rPr>
              <w:t>，</w:t>
            </w:r>
            <w:r>
              <w:rPr>
                <w:rFonts w:hint="eastAsia"/>
                <w:sz w:val="24"/>
                <w:szCs w:val="24"/>
              </w:rPr>
              <w:t>配合新型电力系统建设，调度侧新需求将逐步释放，大量</w:t>
            </w:r>
            <w:r>
              <w:rPr>
                <w:sz w:val="24"/>
                <w:szCs w:val="24"/>
              </w:rPr>
              <w:t>装备亟需大规模</w:t>
            </w:r>
            <w:r>
              <w:rPr>
                <w:sz w:val="24"/>
                <w:szCs w:val="24"/>
              </w:rPr>
              <w:lastRenderedPageBreak/>
              <w:t>升级改造，另一方面为支撑风电和光伏大规模消纳，电网扩容和</w:t>
            </w:r>
            <w:r>
              <w:rPr>
                <w:rFonts w:hint="eastAsia"/>
                <w:sz w:val="24"/>
                <w:szCs w:val="24"/>
              </w:rPr>
              <w:t>配电网建设</w:t>
            </w:r>
            <w:r>
              <w:rPr>
                <w:sz w:val="24"/>
                <w:szCs w:val="24"/>
              </w:rPr>
              <w:t>成为力市场刚需</w:t>
            </w:r>
            <w:r>
              <w:rPr>
                <w:rFonts w:hint="eastAsia"/>
                <w:sz w:val="24"/>
                <w:szCs w:val="24"/>
              </w:rPr>
              <w:t>，行业将面临一场巨大的存量替代和增量项目机会。公司长期深耕电力和能源行业，也将积极参与和把握行业建设机会，为公司创造更大的价值。</w:t>
            </w:r>
          </w:p>
          <w:p w:rsidR="00F1639F" w:rsidRDefault="00F1639F">
            <w:pPr>
              <w:pStyle w:val="TableParagraph"/>
              <w:ind w:left="0"/>
              <w:rPr>
                <w:sz w:val="24"/>
                <w:szCs w:val="24"/>
              </w:rPr>
            </w:pPr>
          </w:p>
          <w:p w:rsidR="00F1639F" w:rsidRDefault="00DB324B">
            <w:pPr>
              <w:pStyle w:val="TableParagraph"/>
              <w:ind w:left="0"/>
              <w:rPr>
                <w:color w:val="FF0000"/>
                <w:sz w:val="24"/>
                <w:szCs w:val="24"/>
              </w:rPr>
            </w:pPr>
            <w:r>
              <w:rPr>
                <w:color w:val="FF0000"/>
                <w:sz w:val="24"/>
                <w:szCs w:val="24"/>
              </w:rPr>
              <w:t>Q：</w:t>
            </w:r>
            <w:r>
              <w:rPr>
                <w:rFonts w:hint="eastAsia"/>
                <w:color w:val="FF0000"/>
                <w:sz w:val="24"/>
                <w:szCs w:val="24"/>
              </w:rPr>
              <w:t>电力领域国产化建设进度如何？公司在电力外信创业务开展是否顺利？</w:t>
            </w:r>
          </w:p>
          <w:p w:rsidR="00F1639F" w:rsidRDefault="00DB324B">
            <w:pPr>
              <w:pStyle w:val="TableParagraph"/>
              <w:ind w:left="0"/>
              <w:rPr>
                <w:sz w:val="24"/>
                <w:szCs w:val="24"/>
              </w:rPr>
            </w:pPr>
            <w:r>
              <w:rPr>
                <w:rFonts w:hint="eastAsia"/>
                <w:sz w:val="24"/>
                <w:szCs w:val="24"/>
              </w:rPr>
              <w:t>A：目前电力国产化专用设备已实现批量供货，但供货量整体还较不大，国产化替代比率较低。国网的十四五规划中明确要求加快电力监控系统相关设备的国产化替代速率，推进基于国产化芯片的继电保护、自动化、通信等二次设备研制和应用。 公司基于飞腾、龙芯、瑞芯微等国产CPU平台已完成所有电力专用设备及重要安全技术的国产化平台迁移工作，包括网络物理隔离装置、内网监测装置等产品，并积极配合客户完成了全线产品的设计和检测，进入批量供货阶段。此外伴随新型电力系统和新一代调度系统的建设，部分电力调度及自动化新项目新设备已存在国产化要求，将会持续为公司带来新项目及新需求。</w:t>
            </w:r>
          </w:p>
          <w:p w:rsidR="00F1639F" w:rsidRDefault="00DB324B" w:rsidP="003E53B3">
            <w:pPr>
              <w:pStyle w:val="TableParagraph"/>
              <w:ind w:left="0" w:firstLineChars="200" w:firstLine="480"/>
              <w:rPr>
                <w:sz w:val="24"/>
                <w:szCs w:val="24"/>
              </w:rPr>
            </w:pPr>
            <w:r>
              <w:rPr>
                <w:rFonts w:hint="eastAsia"/>
                <w:sz w:val="24"/>
                <w:szCs w:val="24"/>
              </w:rPr>
              <w:t>公司2</w:t>
            </w:r>
            <w:r>
              <w:rPr>
                <w:sz w:val="24"/>
                <w:szCs w:val="24"/>
              </w:rPr>
              <w:t>023</w:t>
            </w:r>
            <w:r w:rsidR="00172F62">
              <w:rPr>
                <w:rFonts w:hint="eastAsia"/>
                <w:sz w:val="24"/>
                <w:szCs w:val="24"/>
              </w:rPr>
              <w:t>年</w:t>
            </w:r>
            <w:r>
              <w:rPr>
                <w:rFonts w:hint="eastAsia"/>
                <w:sz w:val="24"/>
                <w:szCs w:val="24"/>
              </w:rPr>
              <w:t>新增产品分类国产化平台通用产品，实现业绩收入2</w:t>
            </w:r>
            <w:r>
              <w:rPr>
                <w:sz w:val="24"/>
                <w:szCs w:val="24"/>
              </w:rPr>
              <w:t>,479.41</w:t>
            </w:r>
            <w:r>
              <w:rPr>
                <w:rFonts w:hint="eastAsia"/>
                <w:sz w:val="24"/>
                <w:szCs w:val="24"/>
              </w:rPr>
              <w:t>万元，主要产品就是符合信创标准的国产化PC、服务器产品。报告期内公司加大国产化平台研发投入，持续完善国产自主可控嵌入式平台的搭建，</w:t>
            </w:r>
            <w:r>
              <w:rPr>
                <w:sz w:val="24"/>
                <w:szCs w:val="24"/>
              </w:rPr>
              <w:t>实现多款</w:t>
            </w:r>
            <w:r>
              <w:rPr>
                <w:rFonts w:hint="eastAsia"/>
                <w:sz w:val="24"/>
                <w:szCs w:val="24"/>
              </w:rPr>
              <w:t>基于国产处理器通用设备及基础板卡的研发、生产</w:t>
            </w:r>
            <w:r>
              <w:rPr>
                <w:sz w:val="24"/>
                <w:szCs w:val="24"/>
              </w:rPr>
              <w:t>，</w:t>
            </w:r>
            <w:r>
              <w:rPr>
                <w:rFonts w:hint="eastAsia"/>
                <w:sz w:val="24"/>
                <w:szCs w:val="24"/>
              </w:rPr>
              <w:t>包括</w:t>
            </w:r>
            <w:r>
              <w:rPr>
                <w:sz w:val="24"/>
                <w:szCs w:val="24"/>
              </w:rPr>
              <w:t>基于龙芯3A5000</w:t>
            </w:r>
            <w:r>
              <w:rPr>
                <w:rFonts w:hint="eastAsia"/>
                <w:sz w:val="24"/>
                <w:szCs w:val="24"/>
              </w:rPr>
              <w:t>/</w:t>
            </w:r>
            <w:r>
              <w:rPr>
                <w:sz w:val="24"/>
                <w:szCs w:val="24"/>
              </w:rPr>
              <w:t>3C5000通信网关平台、</w:t>
            </w:r>
            <w:r>
              <w:rPr>
                <w:rFonts w:hint="eastAsia"/>
                <w:sz w:val="24"/>
                <w:szCs w:val="24"/>
              </w:rPr>
              <w:t>基于</w:t>
            </w:r>
            <w:r>
              <w:rPr>
                <w:sz w:val="24"/>
                <w:szCs w:val="24"/>
              </w:rPr>
              <w:t>龙芯3A5000</w:t>
            </w:r>
            <w:r>
              <w:rPr>
                <w:rFonts w:hint="eastAsia"/>
                <w:sz w:val="24"/>
                <w:szCs w:val="24"/>
              </w:rPr>
              <w:t>标准计算机板卡及设备，基于瑞芯微RK3568通信网关平台、</w:t>
            </w:r>
            <w:r>
              <w:rPr>
                <w:sz w:val="24"/>
                <w:szCs w:val="24"/>
              </w:rPr>
              <w:t>基于飞腾E2000Q SD-WAN</w:t>
            </w:r>
            <w:r>
              <w:rPr>
                <w:rFonts w:hint="eastAsia"/>
                <w:sz w:val="24"/>
                <w:szCs w:val="24"/>
              </w:rPr>
              <w:t>设备</w:t>
            </w:r>
            <w:r>
              <w:rPr>
                <w:sz w:val="24"/>
                <w:szCs w:val="24"/>
              </w:rPr>
              <w:t>等产品</w:t>
            </w:r>
            <w:r>
              <w:rPr>
                <w:rFonts w:hint="eastAsia"/>
                <w:sz w:val="24"/>
                <w:szCs w:val="24"/>
              </w:rPr>
              <w:t>，部分产品已实现批量供货。</w:t>
            </w:r>
          </w:p>
          <w:p w:rsidR="00F1639F" w:rsidRDefault="00DB324B" w:rsidP="003E53B3">
            <w:pPr>
              <w:pStyle w:val="TableParagraph"/>
              <w:ind w:left="0" w:firstLineChars="100" w:firstLine="240"/>
              <w:rPr>
                <w:sz w:val="24"/>
              </w:rPr>
            </w:pPr>
            <w:r>
              <w:rPr>
                <w:rFonts w:hint="eastAsia"/>
                <w:sz w:val="24"/>
              </w:rPr>
              <w:t>在信创方向上，公司坚持能以底层嵌入式开发能力及安全技术为核心竞争力，与上游芯片厂商深入绑定，融入信创产业链，深度挖掘市场及场景需求，走产品化的道路，实现从CPU、板卡硬件设计、操作系统定制、底层安全设计、设备智能制造为一体的信创技术品牌厂商，除开拓板卡、整机传统业务以外，也会积极参与非标的工业设备、自动化设备、安全设备的信创替代和研发工作，最终实现公司在信创行业的新布局。</w:t>
            </w:r>
          </w:p>
          <w:p w:rsidR="00F1639F" w:rsidRDefault="00F1639F">
            <w:pPr>
              <w:pStyle w:val="TableParagraph"/>
              <w:ind w:left="0"/>
              <w:rPr>
                <w:sz w:val="24"/>
                <w:szCs w:val="24"/>
              </w:rPr>
            </w:pPr>
          </w:p>
          <w:p w:rsidR="00F1639F" w:rsidRDefault="00DB324B">
            <w:pPr>
              <w:pStyle w:val="TableParagraph"/>
              <w:ind w:left="0"/>
              <w:rPr>
                <w:sz w:val="24"/>
                <w:szCs w:val="24"/>
              </w:rPr>
            </w:pPr>
            <w:r>
              <w:rPr>
                <w:rFonts w:hint="eastAsia"/>
                <w:color w:val="FF0000"/>
                <w:sz w:val="24"/>
                <w:szCs w:val="24"/>
              </w:rPr>
              <w:t>Q：配网测需求对公司来说是否有技术门槛？公司是否有抢占配网市场的优势？</w:t>
            </w:r>
          </w:p>
          <w:p w:rsidR="00F1639F" w:rsidRDefault="00DB324B">
            <w:pPr>
              <w:pStyle w:val="TableParagraph"/>
              <w:ind w:left="0"/>
              <w:rPr>
                <w:sz w:val="24"/>
                <w:szCs w:val="24"/>
              </w:rPr>
            </w:pPr>
            <w:r>
              <w:rPr>
                <w:sz w:val="24"/>
                <w:szCs w:val="24"/>
              </w:rPr>
              <w:t>A：</w:t>
            </w:r>
            <w:r>
              <w:rPr>
                <w:rFonts w:hint="eastAsia"/>
                <w:sz w:val="24"/>
                <w:szCs w:val="24"/>
              </w:rPr>
              <w:t>公司深耕工业信息安全场景及电力信息化需求多年，一方面在嵌入式平台基础上实现大量技术积累，包括从</w:t>
            </w:r>
            <w:r>
              <w:rPr>
                <w:sz w:val="24"/>
                <w:szCs w:val="24"/>
              </w:rPr>
              <w:t>MCU到多核CPU</w:t>
            </w:r>
            <w:r>
              <w:rPr>
                <w:rFonts w:hint="eastAsia"/>
                <w:sz w:val="24"/>
                <w:szCs w:val="24"/>
              </w:rPr>
              <w:t>硬件平台开发能力，可信计算、密码等底层安全技术，FPGA实现能力</w:t>
            </w:r>
            <w:r>
              <w:rPr>
                <w:sz w:val="24"/>
                <w:szCs w:val="24"/>
              </w:rPr>
              <w:t>，工控协议解析</w:t>
            </w:r>
            <w:r>
              <w:rPr>
                <w:rFonts w:hint="eastAsia"/>
                <w:sz w:val="24"/>
                <w:szCs w:val="24"/>
              </w:rPr>
              <w:t>，</w:t>
            </w:r>
            <w:r>
              <w:rPr>
                <w:sz w:val="24"/>
                <w:szCs w:val="24"/>
              </w:rPr>
              <w:t>驱动程序</w:t>
            </w:r>
            <w:r>
              <w:rPr>
                <w:rFonts w:hint="eastAsia"/>
                <w:sz w:val="24"/>
                <w:szCs w:val="24"/>
              </w:rPr>
              <w:t>、</w:t>
            </w:r>
            <w:r>
              <w:rPr>
                <w:sz w:val="24"/>
                <w:szCs w:val="24"/>
              </w:rPr>
              <w:t>安全中间件</w:t>
            </w:r>
            <w:r>
              <w:rPr>
                <w:rFonts w:hint="eastAsia"/>
                <w:sz w:val="24"/>
                <w:szCs w:val="24"/>
              </w:rPr>
              <w:t>编写等，另一方面在电力调度及配电自动化领域积累大量项目及产品经验，有能力满足电力场景对安全性、可靠性、稳定性和实时性的要求。配网测项目及产品可能存在设备异性、工业协议、密码安全、恶劣工作环境等需求，这些正是公司长期积累的技术及产品优势。同时公司与电力行业重要服务商、集成商、综合自动化厂商建立长期合作关系，已配合客户参与大量配网通信、保护、自动化系统改造升级以及网络安全建设项</w:t>
            </w:r>
            <w:r>
              <w:rPr>
                <w:rFonts w:hint="eastAsia"/>
                <w:sz w:val="24"/>
                <w:szCs w:val="24"/>
              </w:rPr>
              <w:lastRenderedPageBreak/>
              <w:t>目，具备一定的先发优势。</w:t>
            </w:r>
          </w:p>
          <w:p w:rsidR="00F1639F" w:rsidRDefault="00F1639F">
            <w:pPr>
              <w:rPr>
                <w:sz w:val="24"/>
                <w:szCs w:val="24"/>
              </w:rPr>
            </w:pPr>
          </w:p>
          <w:p w:rsidR="00F1639F" w:rsidRDefault="00DB324B">
            <w:pPr>
              <w:pStyle w:val="TableParagraph"/>
              <w:ind w:left="0"/>
              <w:rPr>
                <w:color w:val="FF0000"/>
                <w:sz w:val="24"/>
                <w:szCs w:val="24"/>
              </w:rPr>
            </w:pPr>
            <w:r>
              <w:rPr>
                <w:color w:val="FF0000"/>
                <w:sz w:val="24"/>
                <w:szCs w:val="24"/>
              </w:rPr>
              <w:t>Q</w:t>
            </w:r>
            <w:r>
              <w:rPr>
                <w:rFonts w:hint="eastAsia"/>
                <w:color w:val="FF0000"/>
                <w:sz w:val="24"/>
                <w:szCs w:val="24"/>
              </w:rPr>
              <w:t>：公司在微电网、能源管理方向上的布局主要包括哪些？是否已经形成订单或实现产品化？</w:t>
            </w:r>
          </w:p>
          <w:p w:rsidR="00F1639F" w:rsidRPr="003E53B3" w:rsidRDefault="00DB324B">
            <w:pPr>
              <w:widowControl/>
              <w:rPr>
                <w:color w:val="000000"/>
                <w:sz w:val="24"/>
                <w:szCs w:val="24"/>
                <w:lang w:bidi="ar"/>
              </w:rPr>
            </w:pPr>
            <w:r w:rsidRPr="003E53B3">
              <w:rPr>
                <w:sz w:val="24"/>
                <w:szCs w:val="24"/>
              </w:rPr>
              <w:t>A</w:t>
            </w:r>
            <w:r w:rsidRPr="003E53B3">
              <w:rPr>
                <w:rFonts w:hint="eastAsia"/>
                <w:sz w:val="24"/>
                <w:szCs w:val="24"/>
              </w:rPr>
              <w:t>：</w:t>
            </w:r>
            <w:r w:rsidRPr="003E53B3">
              <w:rPr>
                <w:rFonts w:hint="eastAsia"/>
                <w:sz w:val="24"/>
                <w:szCs w:val="24"/>
                <w:lang w:bidi="ar"/>
              </w:rPr>
              <w:t>随着以新能源为主体的新型电力系统的建设，</w:t>
            </w:r>
            <w:r w:rsidRPr="003E53B3">
              <w:rPr>
                <w:rFonts w:hint="eastAsia"/>
                <w:sz w:val="24"/>
                <w:szCs w:val="24"/>
              </w:rPr>
              <w:t>公司依托对新能源行业的理解，接合公司在嵌入式软硬件设计能力。开发了微网储能系统、电池管理系统(BMS),能量管理系统(EMS)，新型充电桩TCU模块等系列产品。</w:t>
            </w:r>
          </w:p>
          <w:p w:rsidR="00F1639F" w:rsidRPr="003E53B3" w:rsidRDefault="00DB324B">
            <w:pPr>
              <w:widowControl/>
              <w:ind w:firstLineChars="200" w:firstLine="480"/>
              <w:rPr>
                <w:color w:val="000000"/>
                <w:sz w:val="24"/>
                <w:szCs w:val="24"/>
                <w:lang w:bidi="ar"/>
              </w:rPr>
            </w:pPr>
            <w:r w:rsidRPr="003E53B3">
              <w:rPr>
                <w:rFonts w:hint="eastAsia"/>
                <w:color w:val="000000"/>
                <w:sz w:val="24"/>
                <w:szCs w:val="24"/>
                <w:lang w:bidi="ar"/>
              </w:rPr>
              <w:t>公司通过使用先进的微电网和储能技术，结合光伏新能源和新能源电动汽车的使用特点，将一定区域内分散的小型发电单元（分布式电源）、储能装置以及电动汽车充电桩组合起来，形成的发、配、用、管理综合一体化能源系统系统。</w:t>
            </w:r>
          </w:p>
          <w:p w:rsidR="00F1639F" w:rsidRPr="003E53B3" w:rsidRDefault="00DB324B">
            <w:pPr>
              <w:widowControl/>
              <w:ind w:firstLineChars="200" w:firstLine="480"/>
              <w:rPr>
                <w:color w:val="404040"/>
                <w:sz w:val="24"/>
                <w:szCs w:val="24"/>
                <w:lang w:bidi="ar"/>
              </w:rPr>
            </w:pPr>
            <w:r w:rsidRPr="003E53B3">
              <w:rPr>
                <w:rFonts w:hint="eastAsia"/>
                <w:color w:val="404040"/>
                <w:sz w:val="24"/>
                <w:szCs w:val="24"/>
                <w:lang w:bidi="ar"/>
              </w:rPr>
              <w:t>其中，云涌EMS系统以标准的基于边缘计算的物联网平台为基础，采用微服务软件架构，实现对储能系统各个设备的全生命周期管理。系统可以针对PCS、BMS、光伏、充电桩以及电表、动环、消防等设备，利用四遥技术进行实时的数据采集与控制，并通过云平台大数据引擎对场站的能耗数据进行分析及预测，实时了解整个场站电力系统的运行状况，并根据削峰填谷、光储协同、需量控制等策略对场站内源网荷储各个节点进行能量协调与控制，为电力系统的安全、稳定、高效、清洁运行提供保障，实现经济效益最大化。</w:t>
            </w:r>
          </w:p>
          <w:p w:rsidR="00F1639F" w:rsidRPr="003E53B3" w:rsidRDefault="00DB324B">
            <w:pPr>
              <w:widowControl/>
              <w:ind w:firstLineChars="200" w:firstLine="480"/>
            </w:pPr>
            <w:r w:rsidRPr="003E53B3">
              <w:rPr>
                <w:rFonts w:hint="eastAsia"/>
                <w:color w:val="404040"/>
                <w:sz w:val="24"/>
                <w:szCs w:val="24"/>
                <w:lang w:bidi="ar"/>
              </w:rPr>
              <w:t>BMS锂电池管理系统，主要用于采集电池单体电压、温度等数据，具备被动均衡和热管理功能，并通过</w:t>
            </w:r>
            <w:r w:rsidR="003E53B3">
              <w:rPr>
                <w:rFonts w:hint="eastAsia"/>
                <w:color w:val="404040"/>
                <w:sz w:val="24"/>
                <w:szCs w:val="24"/>
                <w:lang w:bidi="ar"/>
              </w:rPr>
              <w:t>CAN</w:t>
            </w:r>
            <w:r w:rsidRPr="003E53B3">
              <w:rPr>
                <w:rFonts w:hint="eastAsia"/>
                <w:color w:val="404040"/>
                <w:sz w:val="24"/>
                <w:szCs w:val="24"/>
                <w:lang w:bidi="ar"/>
              </w:rPr>
              <w:t>总线或级联通信的方式将数据传输给主控单元，与主控单元共同组成电池管理系统（BMS），以提供智能化管理和维护各个电池单元，防止电池出现过充电和过放电，延长电池的使用寿命，监控电池的状态等功能。</w:t>
            </w:r>
          </w:p>
          <w:p w:rsidR="00F1639F" w:rsidRPr="003E53B3" w:rsidRDefault="00DB324B">
            <w:pPr>
              <w:widowControl/>
              <w:ind w:firstLineChars="200" w:firstLine="480"/>
              <w:rPr>
                <w:color w:val="404040"/>
                <w:sz w:val="24"/>
                <w:szCs w:val="24"/>
                <w:lang w:bidi="ar"/>
              </w:rPr>
            </w:pPr>
            <w:r w:rsidRPr="003E53B3">
              <w:rPr>
                <w:rFonts w:hint="eastAsia"/>
                <w:color w:val="404040"/>
                <w:sz w:val="24"/>
                <w:szCs w:val="24"/>
                <w:lang w:bidi="ar"/>
              </w:rPr>
              <w:t>目前公司相关产品正在研发过程，部分产品已经在客户场景试点应用。</w:t>
            </w:r>
          </w:p>
          <w:p w:rsidR="00F1639F" w:rsidRDefault="00F1639F">
            <w:pPr>
              <w:pStyle w:val="TableParagraph"/>
              <w:ind w:left="0"/>
              <w:rPr>
                <w:sz w:val="24"/>
                <w:szCs w:val="24"/>
              </w:rPr>
            </w:pPr>
          </w:p>
          <w:p w:rsidR="00F1639F" w:rsidRDefault="00DB324B">
            <w:pPr>
              <w:rPr>
                <w:color w:val="FF0000"/>
                <w:sz w:val="24"/>
                <w:szCs w:val="24"/>
              </w:rPr>
            </w:pPr>
            <w:r>
              <w:rPr>
                <w:rFonts w:hint="eastAsia"/>
                <w:color w:val="FF0000"/>
                <w:sz w:val="24"/>
                <w:szCs w:val="24"/>
              </w:rPr>
              <w:t>Q：公司可信计算技术和密码技术后续研发及产品规划是怎样的？</w:t>
            </w:r>
          </w:p>
          <w:p w:rsidR="00F1639F" w:rsidRDefault="00DB324B">
            <w:pPr>
              <w:pStyle w:val="TableParagraph"/>
              <w:ind w:left="0"/>
              <w:rPr>
                <w:sz w:val="24"/>
                <w:szCs w:val="24"/>
              </w:rPr>
            </w:pPr>
            <w:r>
              <w:rPr>
                <w:rFonts w:hint="eastAsia"/>
                <w:sz w:val="24"/>
                <w:szCs w:val="24"/>
              </w:rPr>
              <w:t>A：可信计算方面公司针对国家等保</w:t>
            </w:r>
            <w:r>
              <w:rPr>
                <w:sz w:val="24"/>
                <w:szCs w:val="24"/>
              </w:rPr>
              <w:t>2.0</w:t>
            </w:r>
            <w:r>
              <w:rPr>
                <w:rFonts w:hint="eastAsia"/>
                <w:sz w:val="24"/>
                <w:szCs w:val="24"/>
              </w:rPr>
              <w:t>等信息安全要求</w:t>
            </w:r>
            <w:r>
              <w:rPr>
                <w:sz w:val="24"/>
                <w:szCs w:val="24"/>
              </w:rPr>
              <w:t>，</w:t>
            </w:r>
            <w:r>
              <w:rPr>
                <w:rFonts w:hint="eastAsia"/>
                <w:sz w:val="24"/>
                <w:szCs w:val="24"/>
              </w:rPr>
              <w:t>基于可信计算核心技术及架构，</w:t>
            </w:r>
            <w:r>
              <w:rPr>
                <w:sz w:val="24"/>
                <w:szCs w:val="24"/>
              </w:rPr>
              <w:t>开发包括可信根、可信软件基、可信验证管理模块、PCIE可信卡等产品形态在内的可信产品线及可信安全方案</w:t>
            </w:r>
            <w:r>
              <w:rPr>
                <w:rFonts w:hint="eastAsia"/>
                <w:sz w:val="24"/>
                <w:szCs w:val="24"/>
              </w:rPr>
              <w:t>。2</w:t>
            </w:r>
            <w:r>
              <w:rPr>
                <w:sz w:val="24"/>
                <w:szCs w:val="24"/>
              </w:rPr>
              <w:t>023</w:t>
            </w:r>
            <w:r>
              <w:rPr>
                <w:rFonts w:hint="eastAsia"/>
                <w:sz w:val="24"/>
                <w:szCs w:val="24"/>
              </w:rPr>
              <w:t>年公司进一步完善主机加固及可信验证软件平台搭建，通过可信引导验证、静态</w:t>
            </w:r>
            <w:r>
              <w:rPr>
                <w:sz w:val="24"/>
                <w:szCs w:val="24"/>
              </w:rPr>
              <w:t>/动态度量和重要配置验证，结合国密SM3哈希算法，提供内核级运行控制、进程防护等安全机制，完善操作系统安全管理体系，实现服务器主动防御。</w:t>
            </w:r>
            <w:r>
              <w:rPr>
                <w:rFonts w:hint="eastAsia"/>
                <w:sz w:val="24"/>
                <w:szCs w:val="24"/>
              </w:rPr>
              <w:t>公司可信管理平台可信根等相关产品及解决方案已实现批量供货。</w:t>
            </w:r>
          </w:p>
          <w:p w:rsidR="00F1639F" w:rsidRDefault="00DB324B" w:rsidP="003E53B3">
            <w:pPr>
              <w:pStyle w:val="TableParagraph"/>
              <w:ind w:left="0" w:firstLineChars="200" w:firstLine="480"/>
              <w:rPr>
                <w:sz w:val="24"/>
                <w:szCs w:val="24"/>
              </w:rPr>
            </w:pPr>
            <w:r>
              <w:rPr>
                <w:sz w:val="24"/>
                <w:szCs w:val="24"/>
              </w:rPr>
              <w:t>2021年9月1日正式实施</w:t>
            </w:r>
            <w:r>
              <w:rPr>
                <w:rFonts w:hint="eastAsia"/>
                <w:sz w:val="24"/>
                <w:szCs w:val="24"/>
              </w:rPr>
              <w:t>的</w:t>
            </w:r>
            <w:r>
              <w:rPr>
                <w:sz w:val="24"/>
                <w:szCs w:val="24"/>
              </w:rPr>
              <w:t>《关键信息基础设施安全保护条例》</w:t>
            </w:r>
            <w:r>
              <w:rPr>
                <w:rFonts w:hint="eastAsia"/>
                <w:sz w:val="24"/>
                <w:szCs w:val="24"/>
              </w:rPr>
              <w:t>第十九条明确要求应当优先采购使用安全可信的产品和服务来构建关键基础设施安全保障体系。充分运用可信计算技术，构建安全计算环境和可靠的安全传输数据机制，保证程序运行可信，数据传输、存储加密和应用可信，提升数据保障能力。国家电网在十四五规划中也明确指出了</w:t>
            </w:r>
            <w:r>
              <w:rPr>
                <w:sz w:val="24"/>
                <w:szCs w:val="24"/>
              </w:rPr>
              <w:t>推进电力监控系统可信验证技术模块建设，完善可信验证技术规</w:t>
            </w:r>
            <w:r>
              <w:rPr>
                <w:rFonts w:hint="eastAsia"/>
                <w:sz w:val="24"/>
                <w:szCs w:val="24"/>
              </w:rPr>
              <w:t>范、检测标准和</w:t>
            </w:r>
            <w:r>
              <w:rPr>
                <w:rFonts w:hint="eastAsia"/>
                <w:sz w:val="24"/>
                <w:szCs w:val="24"/>
              </w:rPr>
              <w:lastRenderedPageBreak/>
              <w:t>实施方案，完成地级以上调度重要服务器部署应用可信验证技术，提高调度主站系统安全免疫能力。公司一方面依托技术在电力行业，特别是主站场景提供可信服务及产品，同时积极配合客户参与配网侧可信的预研和建设工作。另一方面在其它行业，公司定制化产品及批量硬件设备平台均已全面支撑可信计算和可信接口，方便在其它行业场景更好的应用和市场拓展。</w:t>
            </w:r>
          </w:p>
          <w:p w:rsidR="00F1639F" w:rsidRDefault="00DB324B" w:rsidP="003E53B3">
            <w:pPr>
              <w:pStyle w:val="TableParagraph"/>
              <w:ind w:left="0" w:firstLineChars="200" w:firstLine="480"/>
              <w:rPr>
                <w:sz w:val="24"/>
                <w:szCs w:val="24"/>
              </w:rPr>
            </w:pPr>
            <w:r>
              <w:rPr>
                <w:rFonts w:hint="eastAsia"/>
                <w:sz w:val="24"/>
                <w:szCs w:val="24"/>
              </w:rPr>
              <w:t>密码技术方面，公司在具备加密卡、加密计算机产品开发能力的基础上，与清华大学合作，结合</w:t>
            </w:r>
            <w:r>
              <w:rPr>
                <w:sz w:val="24"/>
                <w:szCs w:val="24"/>
              </w:rPr>
              <w:t>SM2/SM3/SM4芯片及1024位RSA芯片等相关技术成果</w:t>
            </w:r>
            <w:r>
              <w:rPr>
                <w:rFonts w:hint="eastAsia"/>
                <w:sz w:val="24"/>
                <w:szCs w:val="24"/>
              </w:rPr>
              <w:t>，补足加密算法及芯片层面的技术缺失，</w:t>
            </w:r>
            <w:r>
              <w:rPr>
                <w:sz w:val="24"/>
                <w:szCs w:val="24"/>
              </w:rPr>
              <w:t>为进一步开拓工业互联网及物联网安全奠定基础</w:t>
            </w:r>
            <w:r>
              <w:rPr>
                <w:rFonts w:hint="eastAsia"/>
                <w:sz w:val="24"/>
                <w:szCs w:val="24"/>
              </w:rPr>
              <w:t>。报告期内加密芯片产品实现批量供货，为公司带来一定的业绩贡献。未来公司将继续加深与清华大学的合作，结合工业安全场景需求，</w:t>
            </w:r>
            <w:r>
              <w:rPr>
                <w:sz w:val="24"/>
                <w:szCs w:val="24"/>
              </w:rPr>
              <w:t>基于</w:t>
            </w:r>
            <w:r>
              <w:rPr>
                <w:rFonts w:hint="eastAsia"/>
                <w:sz w:val="24"/>
                <w:szCs w:val="24"/>
              </w:rPr>
              <w:t>密码、</w:t>
            </w:r>
            <w:r>
              <w:rPr>
                <w:sz w:val="24"/>
                <w:szCs w:val="24"/>
              </w:rPr>
              <w:t>可信计算</w:t>
            </w:r>
            <w:r>
              <w:rPr>
                <w:rFonts w:hint="eastAsia"/>
                <w:sz w:val="24"/>
                <w:szCs w:val="24"/>
              </w:rPr>
              <w:t>等相关安全技术</w:t>
            </w:r>
            <w:r>
              <w:rPr>
                <w:sz w:val="24"/>
                <w:szCs w:val="24"/>
              </w:rPr>
              <w:t>，形成由密码芯片设计、安全场景定制、操作系统安全、安全加密方案为一体的信息安全解决方案</w:t>
            </w:r>
            <w:r>
              <w:rPr>
                <w:rFonts w:hint="eastAsia"/>
                <w:sz w:val="24"/>
                <w:szCs w:val="24"/>
              </w:rPr>
              <w:t>。</w:t>
            </w:r>
          </w:p>
          <w:p w:rsidR="00F1639F" w:rsidRDefault="00F1639F">
            <w:pPr>
              <w:pStyle w:val="TableParagraph"/>
              <w:ind w:left="0"/>
              <w:rPr>
                <w:color w:val="000000" w:themeColor="text1"/>
                <w:sz w:val="24"/>
                <w:szCs w:val="24"/>
              </w:rPr>
            </w:pPr>
          </w:p>
          <w:p w:rsidR="000D1F74" w:rsidRDefault="000D1F74" w:rsidP="000D1F74">
            <w:pPr>
              <w:rPr>
                <w:color w:val="FF0000"/>
                <w:sz w:val="24"/>
                <w:szCs w:val="24"/>
              </w:rPr>
            </w:pPr>
            <w:r>
              <w:rPr>
                <w:rFonts w:hint="eastAsia"/>
                <w:color w:val="FF0000"/>
                <w:sz w:val="24"/>
                <w:szCs w:val="24"/>
              </w:rPr>
              <w:t>Q：公司</w:t>
            </w:r>
            <w:r>
              <w:rPr>
                <w:rFonts w:hint="eastAsia"/>
                <w:color w:val="FF0000"/>
                <w:sz w:val="24"/>
                <w:szCs w:val="24"/>
              </w:rPr>
              <w:t>是否有做股权激励的计划？</w:t>
            </w:r>
          </w:p>
          <w:p w:rsidR="000D1F74" w:rsidRDefault="000D1F74" w:rsidP="000D1F74">
            <w:pPr>
              <w:pStyle w:val="TableParagraph"/>
              <w:ind w:left="0"/>
              <w:rPr>
                <w:rFonts w:hint="eastAsia"/>
                <w:sz w:val="24"/>
                <w:szCs w:val="24"/>
              </w:rPr>
            </w:pPr>
            <w:r>
              <w:rPr>
                <w:rFonts w:hint="eastAsia"/>
                <w:sz w:val="24"/>
                <w:szCs w:val="24"/>
              </w:rPr>
              <w:t>A：</w:t>
            </w:r>
            <w:r>
              <w:rPr>
                <w:rFonts w:hint="eastAsia"/>
                <w:sz w:val="24"/>
                <w:szCs w:val="24"/>
              </w:rPr>
              <w:t>公司在2</w:t>
            </w:r>
            <w:r>
              <w:rPr>
                <w:sz w:val="24"/>
                <w:szCs w:val="24"/>
              </w:rPr>
              <w:t>024</w:t>
            </w:r>
            <w:r>
              <w:rPr>
                <w:rFonts w:hint="eastAsia"/>
                <w:sz w:val="24"/>
                <w:szCs w:val="24"/>
              </w:rPr>
              <w:t>年3月发布</w:t>
            </w:r>
            <w:r w:rsidRPr="000D1F74">
              <w:rPr>
                <w:rFonts w:hint="eastAsia"/>
                <w:sz w:val="24"/>
                <w:szCs w:val="24"/>
              </w:rPr>
              <w:t>以集中竞价交易方式回购公司股份</w:t>
            </w:r>
            <w:r>
              <w:rPr>
                <w:rFonts w:hint="eastAsia"/>
                <w:sz w:val="24"/>
                <w:szCs w:val="24"/>
              </w:rPr>
              <w:t>的方案，此次</w:t>
            </w:r>
            <w:r w:rsidRPr="000D1F74">
              <w:rPr>
                <w:rFonts w:hint="eastAsia"/>
                <w:sz w:val="24"/>
                <w:szCs w:val="24"/>
              </w:rPr>
              <w:t>回购的股份</w:t>
            </w:r>
            <w:r>
              <w:rPr>
                <w:rFonts w:hint="eastAsia"/>
                <w:sz w:val="24"/>
                <w:szCs w:val="24"/>
              </w:rPr>
              <w:t>将</w:t>
            </w:r>
            <w:r w:rsidRPr="000D1F74">
              <w:rPr>
                <w:rFonts w:hint="eastAsia"/>
                <w:sz w:val="24"/>
                <w:szCs w:val="24"/>
              </w:rPr>
              <w:t>用于员工持股计划或股权激励</w:t>
            </w:r>
            <w:r>
              <w:rPr>
                <w:rFonts w:hint="eastAsia"/>
                <w:sz w:val="24"/>
                <w:szCs w:val="24"/>
              </w:rPr>
              <w:t>，目前回购计划仍在执行当中。公司有计划以股权激励或员工持股计划方式优化关键人员薪酬结构，</w:t>
            </w:r>
            <w:r>
              <w:rPr>
                <w:sz w:val="24"/>
                <w:szCs w:val="24"/>
              </w:rPr>
              <w:t>提升核心团队凝聚力和企业核心竞争力，</w:t>
            </w:r>
            <w:r w:rsidRPr="00BB100F">
              <w:rPr>
                <w:rFonts w:hint="eastAsia"/>
                <w:sz w:val="24"/>
                <w:szCs w:val="24"/>
              </w:rPr>
              <w:t>激发员工的积极性和创新性</w:t>
            </w:r>
            <w:r>
              <w:rPr>
                <w:rFonts w:hint="eastAsia"/>
                <w:sz w:val="24"/>
                <w:szCs w:val="24"/>
              </w:rPr>
              <w:t>，</w:t>
            </w:r>
            <w:r>
              <w:rPr>
                <w:sz w:val="24"/>
                <w:szCs w:val="24"/>
              </w:rPr>
              <w:t>使</w:t>
            </w:r>
            <w:r>
              <w:rPr>
                <w:rFonts w:hint="eastAsia"/>
                <w:sz w:val="24"/>
                <w:szCs w:val="24"/>
              </w:rPr>
              <w:t>大家</w:t>
            </w:r>
            <w:r>
              <w:rPr>
                <w:sz w:val="24"/>
                <w:szCs w:val="24"/>
              </w:rPr>
              <w:t>共同关注公司的长远发展，确保公司发展战略和经营目标的实现</w:t>
            </w:r>
            <w:r>
              <w:rPr>
                <w:rFonts w:hint="eastAsia"/>
                <w:sz w:val="24"/>
                <w:szCs w:val="24"/>
              </w:rPr>
              <w:t>。</w:t>
            </w:r>
            <w:bookmarkStart w:id="0" w:name="_GoBack"/>
            <w:bookmarkEnd w:id="0"/>
          </w:p>
          <w:p w:rsidR="000D1F74" w:rsidRDefault="000D1F74" w:rsidP="000D1F74">
            <w:pPr>
              <w:pStyle w:val="TableParagraph"/>
              <w:ind w:left="0"/>
              <w:rPr>
                <w:rFonts w:hint="eastAsia"/>
                <w:sz w:val="24"/>
                <w:szCs w:val="24"/>
              </w:rPr>
            </w:pPr>
          </w:p>
          <w:p w:rsidR="000D1F74" w:rsidRPr="000D1F74" w:rsidRDefault="000D1F74">
            <w:pPr>
              <w:pStyle w:val="TableParagraph"/>
              <w:ind w:left="0"/>
              <w:rPr>
                <w:rFonts w:hint="eastAsia"/>
                <w:color w:val="000000" w:themeColor="text1"/>
                <w:sz w:val="24"/>
                <w:szCs w:val="24"/>
              </w:rPr>
            </w:pPr>
          </w:p>
        </w:tc>
      </w:tr>
      <w:tr w:rsidR="00F1639F">
        <w:trPr>
          <w:trHeight w:val="479"/>
        </w:trPr>
        <w:tc>
          <w:tcPr>
            <w:tcW w:w="1940" w:type="dxa"/>
          </w:tcPr>
          <w:p w:rsidR="00F1639F" w:rsidRDefault="00DB324B">
            <w:pPr>
              <w:pStyle w:val="TableParagraph"/>
              <w:spacing w:before="170" w:line="289" w:lineRule="exact"/>
              <w:ind w:right="-29"/>
              <w:rPr>
                <w:sz w:val="24"/>
              </w:rPr>
            </w:pPr>
            <w:r>
              <w:rPr>
                <w:spacing w:val="-27"/>
                <w:sz w:val="24"/>
              </w:rPr>
              <w:lastRenderedPageBreak/>
              <w:t>附件清单</w:t>
            </w:r>
            <w:r>
              <w:rPr>
                <w:sz w:val="24"/>
              </w:rPr>
              <w:t>（如有</w:t>
            </w:r>
            <w:r>
              <w:rPr>
                <w:spacing w:val="-12"/>
                <w:sz w:val="24"/>
              </w:rPr>
              <w:t>）</w:t>
            </w:r>
          </w:p>
        </w:tc>
        <w:tc>
          <w:tcPr>
            <w:tcW w:w="6584" w:type="dxa"/>
          </w:tcPr>
          <w:p w:rsidR="00F1639F" w:rsidRDefault="00F1639F">
            <w:pPr>
              <w:pStyle w:val="TableParagraph"/>
              <w:ind w:left="0"/>
              <w:rPr>
                <w:rFonts w:ascii="Times New Roman"/>
                <w:sz w:val="24"/>
              </w:rPr>
            </w:pPr>
          </w:p>
        </w:tc>
      </w:tr>
      <w:tr w:rsidR="00F1639F">
        <w:trPr>
          <w:trHeight w:val="479"/>
        </w:trPr>
        <w:tc>
          <w:tcPr>
            <w:tcW w:w="1940" w:type="dxa"/>
          </w:tcPr>
          <w:p w:rsidR="00F1639F" w:rsidRDefault="00DB324B">
            <w:pPr>
              <w:pStyle w:val="TableParagraph"/>
              <w:spacing w:before="170" w:line="289" w:lineRule="exact"/>
              <w:rPr>
                <w:sz w:val="24"/>
              </w:rPr>
            </w:pPr>
            <w:r>
              <w:rPr>
                <w:sz w:val="24"/>
              </w:rPr>
              <w:t>日期</w:t>
            </w:r>
          </w:p>
        </w:tc>
        <w:tc>
          <w:tcPr>
            <w:tcW w:w="6584" w:type="dxa"/>
          </w:tcPr>
          <w:p w:rsidR="00F1639F" w:rsidRDefault="00DB324B">
            <w:pPr>
              <w:pStyle w:val="TableParagraph"/>
              <w:ind w:left="0"/>
              <w:rPr>
                <w:rFonts w:ascii="Times New Roman"/>
                <w:sz w:val="24"/>
              </w:rPr>
            </w:pPr>
            <w:r>
              <w:rPr>
                <w:rFonts w:ascii="Times New Roman" w:hint="eastAsia"/>
                <w:sz w:val="24"/>
              </w:rPr>
              <w:t>2</w:t>
            </w:r>
            <w:r>
              <w:rPr>
                <w:rFonts w:ascii="Times New Roman"/>
                <w:sz w:val="24"/>
              </w:rPr>
              <w:t>02</w:t>
            </w:r>
            <w:r>
              <w:rPr>
                <w:rFonts w:ascii="Times New Roman" w:hint="eastAsia"/>
                <w:sz w:val="24"/>
              </w:rPr>
              <w:t>4</w:t>
            </w:r>
            <w:r>
              <w:rPr>
                <w:rFonts w:ascii="Times New Roman" w:hint="eastAsia"/>
                <w:sz w:val="24"/>
              </w:rPr>
              <w:t>年</w:t>
            </w:r>
            <w:r>
              <w:rPr>
                <w:rFonts w:ascii="Times New Roman"/>
                <w:sz w:val="24"/>
              </w:rPr>
              <w:t>6</w:t>
            </w:r>
            <w:r>
              <w:rPr>
                <w:rFonts w:ascii="Times New Roman" w:hint="eastAsia"/>
                <w:sz w:val="24"/>
              </w:rPr>
              <w:t>月</w:t>
            </w:r>
            <w:r>
              <w:rPr>
                <w:rFonts w:ascii="Times New Roman"/>
                <w:sz w:val="24"/>
              </w:rPr>
              <w:t>3</w:t>
            </w:r>
            <w:r>
              <w:rPr>
                <w:rFonts w:ascii="Times New Roman" w:hint="eastAsia"/>
                <w:sz w:val="24"/>
              </w:rPr>
              <w:t>日</w:t>
            </w:r>
          </w:p>
        </w:tc>
      </w:tr>
    </w:tbl>
    <w:p w:rsidR="00F1639F" w:rsidRDefault="00F1639F">
      <w:pPr>
        <w:pStyle w:val="a3"/>
        <w:tabs>
          <w:tab w:val="left" w:pos="6641"/>
        </w:tabs>
        <w:spacing w:before="209" w:line="400" w:lineRule="auto"/>
        <w:ind w:left="0" w:right="1163"/>
      </w:pPr>
    </w:p>
    <w:sectPr w:rsidR="00F1639F">
      <w:pgSz w:w="11910" w:h="16840"/>
      <w:pgMar w:top="1580" w:right="15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07" w:rsidRDefault="00A87D07"/>
  </w:endnote>
  <w:endnote w:type="continuationSeparator" w:id="0">
    <w:p w:rsidR="00A87D07" w:rsidRDefault="00A87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07" w:rsidRDefault="00A87D07"/>
  </w:footnote>
  <w:footnote w:type="continuationSeparator" w:id="0">
    <w:p w:rsidR="00A87D07" w:rsidRDefault="00A87D0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ZmFjMjliYjg0OWU5NWJhOGViM2Q2MzRlMTlkNmIifQ=="/>
  </w:docVars>
  <w:rsids>
    <w:rsidRoot w:val="00E638C8"/>
    <w:rsid w:val="000171DA"/>
    <w:rsid w:val="00017433"/>
    <w:rsid w:val="00031EEF"/>
    <w:rsid w:val="00042598"/>
    <w:rsid w:val="00055A00"/>
    <w:rsid w:val="00076202"/>
    <w:rsid w:val="0007773E"/>
    <w:rsid w:val="000A1D14"/>
    <w:rsid w:val="000A227A"/>
    <w:rsid w:val="000A5C34"/>
    <w:rsid w:val="000C052E"/>
    <w:rsid w:val="000D1F74"/>
    <w:rsid w:val="00107841"/>
    <w:rsid w:val="001163B9"/>
    <w:rsid w:val="001349FB"/>
    <w:rsid w:val="001371EA"/>
    <w:rsid w:val="00147A29"/>
    <w:rsid w:val="0016066B"/>
    <w:rsid w:val="0017196A"/>
    <w:rsid w:val="00172F62"/>
    <w:rsid w:val="001A0C04"/>
    <w:rsid w:val="001C5921"/>
    <w:rsid w:val="002005D3"/>
    <w:rsid w:val="00246048"/>
    <w:rsid w:val="0025604B"/>
    <w:rsid w:val="00261B67"/>
    <w:rsid w:val="00272810"/>
    <w:rsid w:val="00292B0C"/>
    <w:rsid w:val="002A14DD"/>
    <w:rsid w:val="002A6EBC"/>
    <w:rsid w:val="002C000C"/>
    <w:rsid w:val="002D3077"/>
    <w:rsid w:val="002E22FC"/>
    <w:rsid w:val="002F31CB"/>
    <w:rsid w:val="00380582"/>
    <w:rsid w:val="00382FB7"/>
    <w:rsid w:val="00392929"/>
    <w:rsid w:val="00397EA4"/>
    <w:rsid w:val="003A4D32"/>
    <w:rsid w:val="003A7B2A"/>
    <w:rsid w:val="003B213A"/>
    <w:rsid w:val="003C0376"/>
    <w:rsid w:val="003C2445"/>
    <w:rsid w:val="003D2B29"/>
    <w:rsid w:val="003E25AE"/>
    <w:rsid w:val="003E53B3"/>
    <w:rsid w:val="003F1F53"/>
    <w:rsid w:val="00431A65"/>
    <w:rsid w:val="00477551"/>
    <w:rsid w:val="004B0352"/>
    <w:rsid w:val="004B117F"/>
    <w:rsid w:val="004C240E"/>
    <w:rsid w:val="004F005B"/>
    <w:rsid w:val="004F4CDD"/>
    <w:rsid w:val="004F71DE"/>
    <w:rsid w:val="00513492"/>
    <w:rsid w:val="005317F7"/>
    <w:rsid w:val="00544CED"/>
    <w:rsid w:val="00553C39"/>
    <w:rsid w:val="00585D99"/>
    <w:rsid w:val="005B20DF"/>
    <w:rsid w:val="005F739E"/>
    <w:rsid w:val="00605AC3"/>
    <w:rsid w:val="00617EE8"/>
    <w:rsid w:val="00624CDF"/>
    <w:rsid w:val="006431C2"/>
    <w:rsid w:val="00685164"/>
    <w:rsid w:val="00687C8C"/>
    <w:rsid w:val="00692500"/>
    <w:rsid w:val="00695163"/>
    <w:rsid w:val="00696F1A"/>
    <w:rsid w:val="006A3AD6"/>
    <w:rsid w:val="006A65C1"/>
    <w:rsid w:val="006F78C2"/>
    <w:rsid w:val="00705E9C"/>
    <w:rsid w:val="0072689B"/>
    <w:rsid w:val="00730AF7"/>
    <w:rsid w:val="00792FBA"/>
    <w:rsid w:val="00796DEB"/>
    <w:rsid w:val="007C30F8"/>
    <w:rsid w:val="007D0BF4"/>
    <w:rsid w:val="007D7317"/>
    <w:rsid w:val="007E321D"/>
    <w:rsid w:val="007F2240"/>
    <w:rsid w:val="0080388D"/>
    <w:rsid w:val="008939D0"/>
    <w:rsid w:val="00893CA6"/>
    <w:rsid w:val="00894F59"/>
    <w:rsid w:val="008A0110"/>
    <w:rsid w:val="008B33A1"/>
    <w:rsid w:val="008C4096"/>
    <w:rsid w:val="008F4ED5"/>
    <w:rsid w:val="009B1233"/>
    <w:rsid w:val="009B7F05"/>
    <w:rsid w:val="009D61C1"/>
    <w:rsid w:val="009E57D9"/>
    <w:rsid w:val="00A13EE3"/>
    <w:rsid w:val="00A2565F"/>
    <w:rsid w:val="00A40518"/>
    <w:rsid w:val="00A441E8"/>
    <w:rsid w:val="00A75404"/>
    <w:rsid w:val="00A87D07"/>
    <w:rsid w:val="00A91954"/>
    <w:rsid w:val="00AA2E03"/>
    <w:rsid w:val="00AB43FC"/>
    <w:rsid w:val="00AD05CB"/>
    <w:rsid w:val="00AE6836"/>
    <w:rsid w:val="00B2686D"/>
    <w:rsid w:val="00B31C66"/>
    <w:rsid w:val="00B362BE"/>
    <w:rsid w:val="00B3753D"/>
    <w:rsid w:val="00B4680D"/>
    <w:rsid w:val="00B66F42"/>
    <w:rsid w:val="00B775CC"/>
    <w:rsid w:val="00B96097"/>
    <w:rsid w:val="00BA6BBC"/>
    <w:rsid w:val="00BB100F"/>
    <w:rsid w:val="00BE6999"/>
    <w:rsid w:val="00BF1AC8"/>
    <w:rsid w:val="00C06901"/>
    <w:rsid w:val="00C406BF"/>
    <w:rsid w:val="00C516CA"/>
    <w:rsid w:val="00C54166"/>
    <w:rsid w:val="00C54DCE"/>
    <w:rsid w:val="00C667F4"/>
    <w:rsid w:val="00C670A8"/>
    <w:rsid w:val="00C86316"/>
    <w:rsid w:val="00CA5945"/>
    <w:rsid w:val="00CA5FD2"/>
    <w:rsid w:val="00CF021E"/>
    <w:rsid w:val="00D05CDB"/>
    <w:rsid w:val="00D43CB2"/>
    <w:rsid w:val="00D77ADC"/>
    <w:rsid w:val="00D80CB5"/>
    <w:rsid w:val="00DA4800"/>
    <w:rsid w:val="00DB3248"/>
    <w:rsid w:val="00DB324B"/>
    <w:rsid w:val="00DC3678"/>
    <w:rsid w:val="00E17672"/>
    <w:rsid w:val="00E24BF8"/>
    <w:rsid w:val="00E26DB2"/>
    <w:rsid w:val="00E638C8"/>
    <w:rsid w:val="00E7577B"/>
    <w:rsid w:val="00E76612"/>
    <w:rsid w:val="00E967E1"/>
    <w:rsid w:val="00ED31A0"/>
    <w:rsid w:val="00ED590E"/>
    <w:rsid w:val="00F1639F"/>
    <w:rsid w:val="00F17948"/>
    <w:rsid w:val="00F275BC"/>
    <w:rsid w:val="00FB40BF"/>
    <w:rsid w:val="00FE213F"/>
    <w:rsid w:val="79DD3459"/>
    <w:rsid w:val="7FA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98C0F"/>
  <w15:docId w15:val="{9F3426B8-37A9-492E-B319-1AE738E2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D1F74"/>
    <w:pPr>
      <w:widowControl w:val="0"/>
      <w:autoSpaceDE w:val="0"/>
      <w:autoSpaceDN w:val="0"/>
    </w:pPr>
    <w:rPr>
      <w:rFonts w:ascii="宋体" w:hAnsi="宋体" w:cs="宋体"/>
      <w:sz w:val="22"/>
      <w:szCs w:val="22"/>
    </w:rPr>
  </w:style>
  <w:style w:type="paragraph" w:styleId="1">
    <w:name w:val="heading 1"/>
    <w:basedOn w:val="a"/>
    <w:uiPriority w:val="1"/>
    <w:qFormat/>
    <w:pPr>
      <w:ind w:left="22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sz w:val="24"/>
      <w:szCs w:val="24"/>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rPr>
  </w:style>
  <w:style w:type="paragraph" w:styleId="a8">
    <w:name w:val="Normal (Web)"/>
    <w:basedOn w:val="a"/>
    <w:uiPriority w:val="99"/>
    <w:unhideWhenUsed/>
    <w:pPr>
      <w:widowControl/>
      <w:autoSpaceDE/>
      <w:autoSpaceDN/>
      <w:spacing w:before="100" w:beforeAutospacing="1" w:after="100" w:afterAutospacing="1"/>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style>
  <w:style w:type="paragraph" w:customStyle="1" w:styleId="TableParagraph">
    <w:name w:val="Table Paragraph"/>
    <w:basedOn w:val="a"/>
    <w:uiPriority w:val="1"/>
    <w:qFormat/>
    <w:pPr>
      <w:ind w:left="107"/>
    </w:pPr>
  </w:style>
  <w:style w:type="character" w:customStyle="1" w:styleId="a7">
    <w:name w:val="页眉 字符"/>
    <w:basedOn w:val="a0"/>
    <w:link w:val="a6"/>
    <w:uiPriority w:val="99"/>
    <w:rPr>
      <w:rFonts w:ascii="宋体" w:eastAsia="宋体" w:hAnsi="宋体" w:cs="宋体"/>
      <w:sz w:val="18"/>
      <w:szCs w:val="18"/>
      <w:lang w:eastAsia="zh-CN"/>
    </w:rPr>
  </w:style>
  <w:style w:type="character" w:customStyle="1" w:styleId="a5">
    <w:name w:val="页脚 字符"/>
    <w:basedOn w:val="a0"/>
    <w:link w:val="a4"/>
    <w:uiPriority w:val="99"/>
    <w:qFormat/>
    <w:rPr>
      <w:rFonts w:ascii="宋体" w:eastAsia="宋体" w:hAnsi="宋体" w:cs="宋体"/>
      <w:sz w:val="18"/>
      <w:szCs w:val="18"/>
      <w:lang w:eastAsia="zh-CN"/>
    </w:rPr>
  </w:style>
  <w:style w:type="character" w:customStyle="1" w:styleId="HTML0">
    <w:name w:val="HTML 预设格式 字符"/>
    <w:basedOn w:val="a0"/>
    <w:link w:val="HTML"/>
    <w:uiPriority w:val="99"/>
    <w:rPr>
      <w:rFonts w:ascii="宋体" w:eastAsia="宋体" w:hAnsi="宋体" w:cs="宋体"/>
      <w:sz w:val="24"/>
      <w:szCs w:val="24"/>
      <w:lang w:eastAsia="zh-CN"/>
    </w:rPr>
  </w:style>
  <w:style w:type="paragraph" w:styleId="aa">
    <w:name w:val="Balloon Text"/>
    <w:basedOn w:val="a"/>
    <w:link w:val="ab"/>
    <w:uiPriority w:val="99"/>
    <w:semiHidden/>
    <w:unhideWhenUsed/>
    <w:rsid w:val="003E53B3"/>
    <w:rPr>
      <w:sz w:val="18"/>
      <w:szCs w:val="18"/>
    </w:rPr>
  </w:style>
  <w:style w:type="character" w:customStyle="1" w:styleId="ab">
    <w:name w:val="批注框文本 字符"/>
    <w:basedOn w:val="a0"/>
    <w:link w:val="aa"/>
    <w:uiPriority w:val="99"/>
    <w:semiHidden/>
    <w:rsid w:val="003E53B3"/>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shinadd</dc:creator>
  <cp:lastModifiedBy>袁</cp:lastModifiedBy>
  <cp:revision>5</cp:revision>
  <dcterms:created xsi:type="dcterms:W3CDTF">2024-06-03T07:26:00Z</dcterms:created>
  <dcterms:modified xsi:type="dcterms:W3CDTF">2024-06-03T08:58:00Z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Microsoft® Office Word 2007</vt:lpwstr>
  </property>
  <property fmtid="{D5CDD505-2E9C-101B-9397-08002B2CF9AE}" pid="4" name="LastSaved">
    <vt:filetime>2020-12-31T00:00:00Z</vt:filetime>
  </property>
  <property fmtid="{D5CDD505-2E9C-101B-9397-08002B2CF9AE}" pid="5" name="KSOProductBuildVer">
    <vt:lpwstr>2052-12.1.0.16929</vt:lpwstr>
  </property>
  <property fmtid="{D5CDD505-2E9C-101B-9397-08002B2CF9AE}" pid="6" name="ICV">
    <vt:lpwstr>B598169D58284CC2BF90AC73F31CBA40_12</vt:lpwstr>
  </property>
</Properties>
</file>