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1" w:line="219" w:lineRule="auto"/>
        <w:ind w:left="23"/>
        <w:rPr>
          <w:rFonts w:hint="default" w:ascii="Arial Narrow" w:hAnsi="Arial Narrow" w:eastAsia="宋体" w:cs="宋体"/>
          <w:sz w:val="24"/>
          <w:szCs w:val="24"/>
          <w:lang w:val="en-US" w:eastAsia="zh-CN"/>
        </w:rPr>
      </w:pPr>
      <w:r>
        <w:rPr>
          <w:rFonts w:ascii="Arial Narrow" w:hAnsi="Arial Narrow" w:eastAsia="宋体" w:cs="宋体"/>
          <w:sz w:val="24"/>
          <w:szCs w:val="24"/>
          <w:lang w:eastAsia="zh-CN"/>
        </w:rPr>
        <w:t>证券代码：60</w:t>
      </w:r>
      <w:r>
        <w:rPr>
          <w:rFonts w:hint="eastAsia" w:ascii="Arial Narrow" w:hAnsi="Arial Narrow" w:eastAsia="宋体" w:cs="宋体"/>
          <w:sz w:val="24"/>
          <w:szCs w:val="24"/>
          <w:lang w:eastAsia="zh-CN"/>
        </w:rPr>
        <w:t>0438</w:t>
      </w:r>
      <w:r>
        <w:rPr>
          <w:rFonts w:ascii="Arial Narrow" w:hAnsi="Arial Narrow" w:eastAsia="宋体" w:cs="宋体"/>
          <w:sz w:val="24"/>
          <w:szCs w:val="24"/>
          <w:lang w:eastAsia="zh-CN"/>
        </w:rPr>
        <w:t xml:space="preserve">      </w:t>
      </w:r>
      <w:r>
        <w:rPr>
          <w:rFonts w:hint="eastAsia" w:ascii="Arial Narrow" w:hAnsi="Arial Narrow" w:eastAsia="宋体" w:cs="宋体"/>
          <w:sz w:val="24"/>
          <w:szCs w:val="24"/>
          <w:lang w:val="en-US" w:eastAsia="zh-CN"/>
        </w:rPr>
        <w:t xml:space="preserve">       </w:t>
      </w:r>
      <w:r>
        <w:rPr>
          <w:rFonts w:ascii="Arial Narrow" w:hAnsi="Arial Narrow" w:eastAsia="宋体" w:cs="宋体"/>
          <w:sz w:val="24"/>
          <w:szCs w:val="24"/>
          <w:lang w:eastAsia="zh-CN"/>
        </w:rPr>
        <w:t xml:space="preserve">   </w:t>
      </w:r>
      <w:r>
        <w:rPr>
          <w:rFonts w:hint="eastAsia" w:ascii="Arial Narrow" w:hAnsi="Arial Narrow" w:eastAsia="宋体" w:cs="宋体"/>
          <w:sz w:val="24"/>
          <w:szCs w:val="24"/>
          <w:lang w:val="en-US" w:eastAsia="zh-CN"/>
        </w:rPr>
        <w:t xml:space="preserve"> </w:t>
      </w:r>
      <w:r>
        <w:rPr>
          <w:rFonts w:ascii="Arial Narrow" w:hAnsi="Arial Narrow" w:eastAsia="宋体" w:cs="宋体"/>
          <w:sz w:val="24"/>
          <w:szCs w:val="24"/>
          <w:lang w:eastAsia="zh-CN"/>
        </w:rPr>
        <w:t xml:space="preserve">     </w:t>
      </w:r>
      <w:r>
        <w:rPr>
          <w:rFonts w:ascii="Arial Narrow" w:hAnsi="Arial Narrow" w:eastAsia="宋体" w:cs="宋体"/>
          <w:spacing w:val="-1"/>
          <w:sz w:val="24"/>
          <w:szCs w:val="24"/>
          <w:lang w:eastAsia="zh-CN"/>
        </w:rPr>
        <w:t>证券简称：</w:t>
      </w:r>
      <w:r>
        <w:rPr>
          <w:rFonts w:hint="eastAsia" w:ascii="Arial Narrow" w:hAnsi="Arial Narrow" w:eastAsia="宋体" w:cs="宋体"/>
          <w:spacing w:val="-1"/>
          <w:sz w:val="24"/>
          <w:szCs w:val="24"/>
          <w:lang w:eastAsia="zh-CN"/>
        </w:rPr>
        <w:t>通威股份</w:t>
      </w:r>
      <w:r>
        <w:rPr>
          <w:rFonts w:hint="eastAsia" w:ascii="Arial Narrow" w:hAnsi="Arial Narrow" w:eastAsia="宋体" w:cs="宋体"/>
          <w:spacing w:val="-1"/>
          <w:sz w:val="24"/>
          <w:szCs w:val="24"/>
          <w:lang w:val="en-US" w:eastAsia="zh-CN"/>
        </w:rPr>
        <w:t xml:space="preserve">                          编号：2024-0</w:t>
      </w:r>
      <w:r>
        <w:rPr>
          <w:rFonts w:hint="default" w:ascii="Arial Narrow" w:hAnsi="Arial Narrow" w:eastAsia="宋体" w:cs="宋体"/>
          <w:spacing w:val="-1"/>
          <w:sz w:val="24"/>
          <w:szCs w:val="24"/>
          <w:lang w:val="en-US" w:eastAsia="zh-CN"/>
        </w:rPr>
        <w:t>3</w:t>
      </w:r>
    </w:p>
    <w:p>
      <w:pPr>
        <w:keepNext w:val="0"/>
        <w:keepLines w:val="0"/>
        <w:pageBreakBefore w:val="0"/>
        <w:widowControl/>
        <w:kinsoku w:val="0"/>
        <w:wordWrap/>
        <w:overflowPunct/>
        <w:topLinePunct w:val="0"/>
        <w:autoSpaceDE w:val="0"/>
        <w:autoSpaceDN w:val="0"/>
        <w:bidi w:val="0"/>
        <w:adjustRightInd w:val="0"/>
        <w:snapToGrid w:val="0"/>
        <w:spacing w:before="0" w:beforeLines="200" w:line="360" w:lineRule="auto"/>
        <w:ind w:left="0" w:right="0" w:firstLine="0"/>
        <w:jc w:val="center"/>
        <w:textAlignment w:val="baseline"/>
        <w:outlineLvl w:val="0"/>
        <w:rPr>
          <w:rFonts w:ascii="Arial Narrow" w:hAnsi="Arial Narrow" w:eastAsia="宋体" w:cs="宋体"/>
          <w:spacing w:val="3"/>
          <w:sz w:val="32"/>
          <w:szCs w:val="32"/>
          <w:lang w:eastAsia="zh-CN"/>
        </w:rPr>
      </w:pPr>
      <w:r>
        <w:rPr>
          <w:rFonts w:hint="eastAsia" w:ascii="Arial Narrow" w:hAnsi="Arial Narrow" w:eastAsia="宋体" w:cs="宋体"/>
          <w:b/>
          <w:bCs/>
          <w:spacing w:val="-4"/>
          <w:sz w:val="32"/>
          <w:szCs w:val="32"/>
          <w:lang w:eastAsia="zh-CN"/>
        </w:rPr>
        <w:t>通威股份</w:t>
      </w:r>
      <w:r>
        <w:rPr>
          <w:rFonts w:ascii="Arial Narrow" w:hAnsi="Arial Narrow" w:eastAsia="宋体" w:cs="宋体"/>
          <w:b/>
          <w:bCs/>
          <w:spacing w:val="-4"/>
          <w:sz w:val="32"/>
          <w:szCs w:val="32"/>
          <w:lang w:eastAsia="zh-CN"/>
        </w:rPr>
        <w:t>股份有限公司</w:t>
      </w:r>
    </w:p>
    <w:p>
      <w:pPr>
        <w:keepNext w:val="0"/>
        <w:keepLines w:val="0"/>
        <w:pageBreakBefore w:val="0"/>
        <w:widowControl/>
        <w:kinsoku w:val="0"/>
        <w:wordWrap/>
        <w:overflowPunct/>
        <w:topLinePunct w:val="0"/>
        <w:autoSpaceDE w:val="0"/>
        <w:autoSpaceDN w:val="0"/>
        <w:bidi w:val="0"/>
        <w:adjustRightInd w:val="0"/>
        <w:snapToGrid w:val="0"/>
        <w:spacing w:before="0" w:line="360" w:lineRule="auto"/>
        <w:ind w:left="0" w:right="0" w:firstLine="0"/>
        <w:jc w:val="center"/>
        <w:textAlignment w:val="baseline"/>
        <w:outlineLvl w:val="0"/>
        <w:rPr>
          <w:rFonts w:ascii="Arial Narrow" w:hAnsi="Arial Narrow" w:eastAsia="宋体" w:cs="宋体"/>
          <w:sz w:val="32"/>
          <w:szCs w:val="32"/>
          <w:lang w:eastAsia="zh-CN"/>
        </w:rPr>
      </w:pPr>
      <w:r>
        <w:rPr>
          <w:rFonts w:ascii="Arial Narrow" w:hAnsi="Arial Narrow" w:eastAsia="宋体" w:cs="宋体"/>
          <w:b/>
          <w:bCs/>
          <w:spacing w:val="-3"/>
          <w:sz w:val="32"/>
          <w:szCs w:val="32"/>
          <w:lang w:eastAsia="zh-CN"/>
        </w:rPr>
        <w:t>投资者关系活动记录表</w:t>
      </w:r>
    </w:p>
    <w:p>
      <w:pPr>
        <w:spacing w:line="69" w:lineRule="exact"/>
        <w:rPr>
          <w:lang w:eastAsia="zh-CN"/>
        </w:rPr>
      </w:pPr>
    </w:p>
    <w:tbl>
      <w:tblPr>
        <w:tblStyle w:val="6"/>
        <w:tblW w:w="8281"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42"/>
        <w:gridCol w:w="2344"/>
        <w:gridCol w:w="40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9" w:hRule="atLeast"/>
        </w:trPr>
        <w:tc>
          <w:tcPr>
            <w:tcW w:w="1842" w:type="dxa"/>
          </w:tcPr>
          <w:p>
            <w:pPr>
              <w:spacing w:line="245" w:lineRule="auto"/>
              <w:rPr>
                <w:lang w:eastAsia="zh-CN"/>
              </w:rPr>
            </w:pPr>
          </w:p>
          <w:p>
            <w:pPr>
              <w:spacing w:line="246" w:lineRule="auto"/>
              <w:rPr>
                <w:lang w:eastAsia="zh-CN"/>
              </w:rPr>
            </w:pPr>
          </w:p>
          <w:p>
            <w:pPr>
              <w:spacing w:line="246" w:lineRule="auto"/>
              <w:rPr>
                <w:lang w:eastAsia="zh-CN"/>
              </w:rPr>
            </w:pPr>
          </w:p>
          <w:p>
            <w:pPr>
              <w:pStyle w:val="7"/>
              <w:spacing w:before="78" w:line="347" w:lineRule="auto"/>
              <w:ind w:left="118" w:right="109" w:firstLine="1"/>
            </w:pPr>
            <w:r>
              <w:rPr>
                <w:spacing w:val="27"/>
              </w:rPr>
              <w:t>投资者关系活</w:t>
            </w:r>
            <w:r>
              <w:rPr>
                <w:spacing w:val="4"/>
              </w:rPr>
              <w:t xml:space="preserve"> </w:t>
            </w:r>
            <w:r>
              <w:rPr>
                <w:spacing w:val="-3"/>
              </w:rPr>
              <w:t>动类别</w:t>
            </w:r>
          </w:p>
        </w:tc>
        <w:tc>
          <w:tcPr>
            <w:tcW w:w="2344" w:type="dxa"/>
            <w:tcBorders>
              <w:right w:val="nil"/>
            </w:tcBorders>
          </w:tcPr>
          <w:p>
            <w:pPr>
              <w:pStyle w:val="7"/>
              <w:spacing w:before="117" w:line="220" w:lineRule="auto"/>
              <w:ind w:left="137"/>
              <w:rPr>
                <w:lang w:eastAsia="zh-CN"/>
              </w:rPr>
            </w:pPr>
            <w:r>
              <w:rPr>
                <w:rFonts w:hint="default"/>
                <w:spacing w:val="-5"/>
                <w:lang w:val="en-US" w:eastAsia="zh-CN"/>
              </w:rPr>
              <w:t>☑</w:t>
            </w:r>
            <w:r>
              <w:rPr>
                <w:spacing w:val="-5"/>
                <w:lang w:eastAsia="zh-CN"/>
              </w:rPr>
              <w:t>特定对象调研</w:t>
            </w:r>
          </w:p>
          <w:p>
            <w:pPr>
              <w:pStyle w:val="7"/>
              <w:spacing w:before="182" w:line="219" w:lineRule="auto"/>
              <w:ind w:left="137"/>
              <w:rPr>
                <w:lang w:eastAsia="zh-CN"/>
              </w:rPr>
            </w:pPr>
            <w:r>
              <w:rPr>
                <w:spacing w:val="-6"/>
                <w:lang w:eastAsia="zh-CN"/>
              </w:rPr>
              <w:t>□媒体采访</w:t>
            </w:r>
          </w:p>
          <w:p>
            <w:pPr>
              <w:pStyle w:val="7"/>
              <w:spacing w:before="183" w:line="219" w:lineRule="auto"/>
              <w:ind w:left="137"/>
              <w:rPr>
                <w:lang w:eastAsia="zh-CN"/>
              </w:rPr>
            </w:pPr>
            <w:r>
              <w:rPr>
                <w:spacing w:val="-5"/>
                <w:lang w:eastAsia="zh-CN"/>
              </w:rPr>
              <w:t>□新闻发布会</w:t>
            </w:r>
          </w:p>
          <w:p>
            <w:pPr>
              <w:pStyle w:val="7"/>
              <w:spacing w:before="183" w:line="220" w:lineRule="auto"/>
              <w:ind w:left="137"/>
              <w:rPr>
                <w:lang w:eastAsia="zh-CN"/>
              </w:rPr>
            </w:pPr>
            <w:r>
              <w:rPr>
                <w:spacing w:val="-5"/>
                <w:lang w:eastAsia="zh-CN"/>
              </w:rPr>
              <w:t>□</w:t>
            </w:r>
            <w:r>
              <w:rPr>
                <w:spacing w:val="-6"/>
                <w:lang w:eastAsia="zh-CN"/>
              </w:rPr>
              <w:t>现场参观</w:t>
            </w:r>
          </w:p>
          <w:p>
            <w:pPr>
              <w:pStyle w:val="7"/>
              <w:spacing w:before="182" w:line="220" w:lineRule="auto"/>
              <w:ind w:left="137"/>
              <w:rPr>
                <w:lang w:eastAsia="zh-CN"/>
              </w:rPr>
            </w:pPr>
            <w:r>
              <w:rPr>
                <w:rFonts w:hint="eastAsia"/>
                <w:spacing w:val="-5"/>
                <w:lang w:eastAsia="zh-CN"/>
              </w:rPr>
              <w:t>☑</w:t>
            </w:r>
            <w:r>
              <w:rPr>
                <w:spacing w:val="-12"/>
                <w:lang w:eastAsia="zh-CN"/>
              </w:rPr>
              <w:t>其他</w:t>
            </w:r>
            <w:r>
              <w:rPr>
                <w:u w:val="single"/>
                <w:lang w:eastAsia="zh-CN"/>
              </w:rPr>
              <w:t xml:space="preserve">  </w:t>
            </w:r>
            <w:r>
              <w:rPr>
                <w:rFonts w:hint="eastAsia"/>
                <w:u w:val="single"/>
                <w:lang w:eastAsia="zh-CN"/>
              </w:rPr>
              <w:t>线上会议</w:t>
            </w:r>
            <w:r>
              <w:rPr>
                <w:u w:val="single"/>
                <w:lang w:eastAsia="zh-CN"/>
              </w:rPr>
              <w:t xml:space="preserve">          </w:t>
            </w:r>
          </w:p>
        </w:tc>
        <w:tc>
          <w:tcPr>
            <w:tcW w:w="4095" w:type="dxa"/>
            <w:tcBorders>
              <w:left w:val="nil"/>
            </w:tcBorders>
          </w:tcPr>
          <w:p>
            <w:pPr>
              <w:pStyle w:val="7"/>
              <w:spacing w:before="117" w:line="219" w:lineRule="auto"/>
              <w:ind w:left="197"/>
              <w:rPr>
                <w:lang w:eastAsia="zh-CN"/>
              </w:rPr>
            </w:pPr>
            <w:r>
              <w:rPr>
                <w:rFonts w:hint="eastAsia"/>
                <w:spacing w:val="-5"/>
                <w:lang w:eastAsia="zh-CN"/>
              </w:rPr>
              <w:t>□</w:t>
            </w:r>
            <w:r>
              <w:rPr>
                <w:spacing w:val="-5"/>
                <w:lang w:eastAsia="zh-CN"/>
              </w:rPr>
              <w:t>分析师会议</w:t>
            </w:r>
          </w:p>
          <w:p>
            <w:pPr>
              <w:pStyle w:val="7"/>
              <w:spacing w:before="183" w:line="219" w:lineRule="auto"/>
              <w:ind w:left="197"/>
              <w:rPr>
                <w:lang w:eastAsia="zh-CN"/>
              </w:rPr>
            </w:pPr>
            <w:r>
              <w:rPr>
                <w:rFonts w:hint="eastAsia"/>
                <w:spacing w:val="-5"/>
                <w:lang w:eastAsia="zh-CN"/>
              </w:rPr>
              <w:t>□</w:t>
            </w:r>
            <w:r>
              <w:rPr>
                <w:spacing w:val="-6"/>
                <w:lang w:eastAsia="zh-CN"/>
              </w:rPr>
              <w:t>业绩说明会</w:t>
            </w:r>
          </w:p>
          <w:p>
            <w:pPr>
              <w:pStyle w:val="7"/>
              <w:spacing w:before="182" w:line="220" w:lineRule="auto"/>
              <w:ind w:left="197"/>
            </w:pPr>
            <w:r>
              <w:rPr>
                <w:rFonts w:hint="eastAsia"/>
                <w:spacing w:val="-6"/>
                <w:lang w:eastAsia="zh-CN"/>
              </w:rPr>
              <w:t>□</w:t>
            </w:r>
            <w:r>
              <w:rPr>
                <w:spacing w:val="-6"/>
              </w:rPr>
              <w:t>路演活动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1" w:hRule="atLeast"/>
        </w:trPr>
        <w:tc>
          <w:tcPr>
            <w:tcW w:w="1842" w:type="dxa"/>
          </w:tcPr>
          <w:p>
            <w:pPr>
              <w:spacing w:line="241" w:lineRule="auto"/>
              <w:rPr>
                <w:lang w:eastAsia="zh-CN"/>
              </w:rPr>
            </w:pPr>
          </w:p>
          <w:p>
            <w:pPr>
              <w:spacing w:line="241" w:lineRule="auto"/>
              <w:rPr>
                <w:lang w:eastAsia="zh-CN"/>
              </w:rPr>
            </w:pPr>
          </w:p>
          <w:p>
            <w:pPr>
              <w:spacing w:line="241" w:lineRule="auto"/>
              <w:rPr>
                <w:lang w:eastAsia="zh-CN"/>
              </w:rPr>
            </w:pPr>
          </w:p>
          <w:p>
            <w:pPr>
              <w:spacing w:line="242" w:lineRule="auto"/>
              <w:rPr>
                <w:lang w:eastAsia="zh-CN"/>
              </w:rPr>
            </w:pPr>
          </w:p>
          <w:p>
            <w:pPr>
              <w:pStyle w:val="7"/>
              <w:spacing w:before="78" w:line="347" w:lineRule="auto"/>
              <w:ind w:left="116" w:right="109" w:firstLine="2"/>
              <w:rPr>
                <w:lang w:eastAsia="zh-CN"/>
              </w:rPr>
            </w:pPr>
            <w:r>
              <w:rPr>
                <w:spacing w:val="28"/>
                <w:lang w:eastAsia="zh-CN"/>
              </w:rPr>
              <w:t>参与单位名称</w:t>
            </w:r>
            <w:r>
              <w:rPr>
                <w:lang w:eastAsia="zh-CN"/>
              </w:rPr>
              <w:t xml:space="preserve"> </w:t>
            </w:r>
            <w:r>
              <w:rPr>
                <w:spacing w:val="-2"/>
                <w:lang w:eastAsia="zh-CN"/>
              </w:rPr>
              <w:t>及人员姓名</w:t>
            </w:r>
          </w:p>
        </w:tc>
        <w:tc>
          <w:tcPr>
            <w:tcW w:w="6439" w:type="dxa"/>
            <w:gridSpan w:val="2"/>
          </w:tcPr>
          <w:p>
            <w:pPr>
              <w:pStyle w:val="7"/>
              <w:numPr>
                <w:ilvl w:val="0"/>
                <w:numId w:val="1"/>
              </w:numPr>
              <w:spacing w:before="109" w:line="345" w:lineRule="auto"/>
              <w:ind w:right="23"/>
              <w:jc w:val="both"/>
              <w:rPr>
                <w:b/>
                <w:bCs/>
                <w:lang w:eastAsia="zh-CN"/>
              </w:rPr>
            </w:pPr>
            <w:r>
              <w:rPr>
                <w:rFonts w:hint="eastAsia"/>
                <w:b/>
                <w:bCs/>
                <w:spacing w:val="-2"/>
                <w:lang w:eastAsia="zh-CN"/>
              </w:rPr>
              <w:t>现场调研</w:t>
            </w:r>
          </w:p>
          <w:p>
            <w:pPr>
              <w:pStyle w:val="7"/>
              <w:spacing w:before="109" w:line="276" w:lineRule="auto"/>
              <w:ind w:left="136" w:right="23" w:firstLine="240" w:firstLineChars="100"/>
              <w:jc w:val="both"/>
              <w:rPr>
                <w:lang w:eastAsia="zh-CN"/>
              </w:rPr>
            </w:pPr>
            <w:r>
              <w:rPr>
                <w:rFonts w:hint="eastAsia"/>
                <w:lang w:eastAsia="zh-CN"/>
              </w:rPr>
              <w:t>本</w:t>
            </w:r>
            <w:r>
              <w:rPr>
                <w:rFonts w:hint="eastAsia"/>
                <w:lang w:val="en-US" w:eastAsia="zh-CN"/>
              </w:rPr>
              <w:t>期</w:t>
            </w:r>
            <w:r>
              <w:rPr>
                <w:rFonts w:hint="eastAsia"/>
                <w:lang w:eastAsia="zh-CN"/>
              </w:rPr>
              <w:t>公司在成都总部接待的机构有</w:t>
            </w:r>
            <w:r>
              <w:rPr>
                <w:rFonts w:hint="eastAsia"/>
                <w:lang w:val="en-US" w:eastAsia="zh-CN"/>
              </w:rPr>
              <w:t>嘉实基金、泰康资产</w:t>
            </w:r>
            <w:r>
              <w:rPr>
                <w:rFonts w:hint="eastAsia"/>
                <w:lang w:eastAsia="zh-CN"/>
              </w:rPr>
              <w:t>、</w:t>
            </w:r>
            <w:r>
              <w:rPr>
                <w:rFonts w:hint="eastAsia"/>
                <w:lang w:val="en-US" w:eastAsia="zh-CN"/>
              </w:rPr>
              <w:t>兴全基金、工银瑞信基金、银华基金、国寿养老、华宝基金、新华资产、华能贵诚信托</w:t>
            </w:r>
            <w:r>
              <w:rPr>
                <w:rFonts w:hint="eastAsia"/>
                <w:lang w:eastAsia="zh-CN"/>
              </w:rPr>
              <w:t>等</w:t>
            </w:r>
          </w:p>
          <w:p>
            <w:pPr>
              <w:pStyle w:val="7"/>
              <w:numPr>
                <w:ilvl w:val="0"/>
                <w:numId w:val="1"/>
              </w:numPr>
              <w:spacing w:before="109" w:line="345" w:lineRule="auto"/>
              <w:ind w:right="23"/>
              <w:jc w:val="both"/>
              <w:rPr>
                <w:b/>
                <w:bCs/>
                <w:lang w:eastAsia="zh-CN"/>
              </w:rPr>
            </w:pPr>
            <w:r>
              <w:rPr>
                <w:rFonts w:hint="eastAsia"/>
                <w:b/>
                <w:bCs/>
                <w:spacing w:val="-2"/>
                <w:lang w:eastAsia="zh-CN"/>
              </w:rPr>
              <w:t>线上会议</w:t>
            </w:r>
          </w:p>
          <w:p>
            <w:pPr>
              <w:pStyle w:val="7"/>
              <w:spacing w:before="109" w:line="276" w:lineRule="auto"/>
              <w:ind w:left="136" w:right="23" w:firstLine="240" w:firstLineChars="100"/>
              <w:jc w:val="both"/>
              <w:rPr>
                <w:lang w:eastAsia="zh-CN"/>
              </w:rPr>
            </w:pPr>
            <w:r>
              <w:rPr>
                <w:rFonts w:hint="eastAsia"/>
                <w:lang w:eastAsia="zh-CN"/>
              </w:rPr>
              <w:t>本</w:t>
            </w:r>
            <w:r>
              <w:rPr>
                <w:rFonts w:hint="eastAsia"/>
                <w:lang w:val="en-US" w:eastAsia="zh-CN"/>
              </w:rPr>
              <w:t>期</w:t>
            </w:r>
            <w:r>
              <w:rPr>
                <w:rFonts w:hint="eastAsia"/>
                <w:lang w:eastAsia="zh-CN"/>
              </w:rPr>
              <w:t>公司与</w:t>
            </w:r>
            <w:r>
              <w:rPr>
                <w:rFonts w:hint="eastAsia"/>
                <w:lang w:val="en-US" w:eastAsia="zh-CN"/>
              </w:rPr>
              <w:t>大和证券、野村证券、东吴基金</w:t>
            </w:r>
            <w:r>
              <w:rPr>
                <w:rFonts w:hint="eastAsia"/>
                <w:lang w:eastAsia="zh-CN"/>
              </w:rPr>
              <w:t>、</w:t>
            </w:r>
            <w:r>
              <w:rPr>
                <w:rFonts w:hint="eastAsia"/>
                <w:lang w:val="en-US" w:eastAsia="zh-CN"/>
              </w:rPr>
              <w:t>中再资产、人保资产、华夏基金</w:t>
            </w:r>
            <w:r>
              <w:rPr>
                <w:rFonts w:hint="eastAsia"/>
                <w:lang w:eastAsia="zh-CN"/>
              </w:rPr>
              <w:t>、Sylebra Capital等机构进行了线上交流</w:t>
            </w:r>
          </w:p>
          <w:p>
            <w:pPr>
              <w:pStyle w:val="7"/>
              <w:numPr>
                <w:ilvl w:val="0"/>
                <w:numId w:val="1"/>
              </w:numPr>
              <w:spacing w:before="109" w:line="345" w:lineRule="auto"/>
              <w:ind w:right="23"/>
              <w:jc w:val="both"/>
              <w:rPr>
                <w:b/>
                <w:bCs/>
                <w:lang w:eastAsia="zh-CN"/>
              </w:rPr>
            </w:pPr>
            <w:r>
              <w:rPr>
                <w:rFonts w:hint="eastAsia"/>
                <w:b/>
                <w:bCs/>
                <w:spacing w:val="-2"/>
                <w:lang w:eastAsia="zh-CN"/>
              </w:rPr>
              <w:t>策略会</w:t>
            </w:r>
          </w:p>
          <w:p>
            <w:pPr>
              <w:pStyle w:val="7"/>
              <w:spacing w:before="109" w:line="276" w:lineRule="auto"/>
              <w:ind w:left="136" w:right="23" w:firstLine="240" w:firstLineChars="100"/>
              <w:jc w:val="both"/>
              <w:rPr>
                <w:rFonts w:hint="default"/>
                <w:lang w:val="en-US" w:eastAsia="zh-CN"/>
              </w:rPr>
            </w:pPr>
            <w:r>
              <w:rPr>
                <w:rFonts w:hint="eastAsia"/>
                <w:lang w:eastAsia="zh-CN"/>
              </w:rPr>
              <w:t>本</w:t>
            </w:r>
            <w:r>
              <w:rPr>
                <w:rFonts w:hint="eastAsia"/>
                <w:lang w:val="en-US" w:eastAsia="zh-CN"/>
              </w:rPr>
              <w:t>期</w:t>
            </w:r>
            <w:r>
              <w:rPr>
                <w:rFonts w:hint="eastAsia"/>
                <w:lang w:eastAsia="zh-CN"/>
              </w:rPr>
              <w:t>公司参加了</w:t>
            </w:r>
            <w:r>
              <w:rPr>
                <w:rFonts w:hint="eastAsia"/>
                <w:lang w:val="en-US" w:eastAsia="zh-CN"/>
              </w:rPr>
              <w:t>长江证券、东吴证券、中金公司、招商证券、瑞银证券等券商研究所组织的策略会</w:t>
            </w:r>
            <w:r>
              <w:rPr>
                <w:rFonts w:hint="eastAsia"/>
                <w:lang w:eastAsia="zh-CN"/>
              </w:rPr>
              <w:t>，参加策略会并与公司交流的投资机构有</w:t>
            </w:r>
            <w:r>
              <w:rPr>
                <w:rFonts w:hint="eastAsia"/>
                <w:lang w:val="en-US" w:eastAsia="zh-CN"/>
              </w:rPr>
              <w:t>中欧基金、广发基金、富国基金、建信基金、RWC Asset、BNP Paribas Asset</w:t>
            </w:r>
            <w:r>
              <w:rPr>
                <w:rFonts w:hint="eastAsia"/>
                <w:lang w:eastAsia="zh-CN"/>
              </w:rPr>
              <w:t>等</w:t>
            </w:r>
            <w:r>
              <w:rPr>
                <w:rFonts w:hint="eastAsia"/>
                <w:lang w:val="en-US" w:eastAsia="zh-CN"/>
              </w:rPr>
              <w:t>投资机构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842" w:type="dxa"/>
          </w:tcPr>
          <w:p>
            <w:pPr>
              <w:pStyle w:val="7"/>
              <w:spacing w:before="148" w:line="222" w:lineRule="auto"/>
              <w:ind w:left="128"/>
            </w:pPr>
            <w:r>
              <w:rPr>
                <w:spacing w:val="-6"/>
              </w:rPr>
              <w:t>时间</w:t>
            </w:r>
          </w:p>
        </w:tc>
        <w:tc>
          <w:tcPr>
            <w:tcW w:w="6439" w:type="dxa"/>
            <w:gridSpan w:val="2"/>
          </w:tcPr>
          <w:p>
            <w:pPr>
              <w:pStyle w:val="7"/>
              <w:spacing w:before="148" w:line="220" w:lineRule="auto"/>
              <w:ind w:left="116"/>
            </w:pPr>
            <w:r>
              <w:rPr>
                <w:spacing w:val="-7"/>
              </w:rPr>
              <w:t>202</w:t>
            </w:r>
            <w:r>
              <w:rPr>
                <w:rFonts w:hint="eastAsia"/>
                <w:spacing w:val="-7"/>
                <w:lang w:eastAsia="zh-CN"/>
              </w:rPr>
              <w:t>4</w:t>
            </w:r>
            <w:r>
              <w:rPr>
                <w:spacing w:val="-7"/>
              </w:rPr>
              <w:t>年</w:t>
            </w:r>
            <w:r>
              <w:rPr>
                <w:spacing w:val="-52"/>
              </w:rPr>
              <w:t xml:space="preserve"> </w:t>
            </w:r>
            <w:r>
              <w:rPr>
                <w:rFonts w:hint="eastAsia"/>
                <w:spacing w:val="-7"/>
                <w:lang w:val="en-US" w:eastAsia="zh-CN"/>
              </w:rPr>
              <w:t>5</w:t>
            </w:r>
            <w:r>
              <w:rPr>
                <w:spacing w:val="-7"/>
              </w:rPr>
              <w:t>月</w:t>
            </w:r>
            <w:r>
              <w:rPr>
                <w:rFonts w:hint="eastAsia"/>
                <w:spacing w:val="-47"/>
                <w:lang w:val="en-US" w:eastAsia="zh-CN"/>
              </w:rPr>
              <w:t xml:space="preserve">1 </w:t>
            </w:r>
            <w:r>
              <w:rPr>
                <w:rFonts w:hint="eastAsia"/>
                <w:spacing w:val="-7"/>
                <w:lang w:val="en-US" w:eastAsia="zh-CN"/>
              </w:rPr>
              <w:t>日—5月</w:t>
            </w:r>
            <w:r>
              <w:rPr>
                <w:rFonts w:hint="eastAsia"/>
                <w:spacing w:val="-7"/>
                <w:lang w:eastAsia="zh-CN"/>
              </w:rPr>
              <w:t>3</w:t>
            </w:r>
            <w:r>
              <w:rPr>
                <w:rFonts w:hint="eastAsia"/>
                <w:spacing w:val="-7"/>
                <w:lang w:val="en-US" w:eastAsia="zh-CN"/>
              </w:rPr>
              <w:t>1</w:t>
            </w:r>
            <w:r>
              <w:rPr>
                <w:spacing w:val="-7"/>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842" w:type="dxa"/>
          </w:tcPr>
          <w:p>
            <w:pPr>
              <w:pStyle w:val="7"/>
              <w:spacing w:before="166" w:line="224" w:lineRule="auto"/>
              <w:ind w:left="117"/>
            </w:pPr>
            <w:r>
              <w:rPr>
                <w:spacing w:val="-3"/>
              </w:rPr>
              <w:t>地点</w:t>
            </w:r>
          </w:p>
        </w:tc>
        <w:tc>
          <w:tcPr>
            <w:tcW w:w="6439" w:type="dxa"/>
            <w:gridSpan w:val="2"/>
          </w:tcPr>
          <w:p>
            <w:pPr>
              <w:pStyle w:val="7"/>
              <w:spacing w:before="166" w:line="220" w:lineRule="auto"/>
              <w:ind w:left="128"/>
              <w:rPr>
                <w:rFonts w:hint="default"/>
                <w:lang w:val="en-US" w:eastAsia="zh-CN"/>
              </w:rPr>
            </w:pPr>
            <w:r>
              <w:rPr>
                <w:rFonts w:hint="eastAsia"/>
                <w:spacing w:val="-4"/>
                <w:lang w:eastAsia="zh-CN"/>
              </w:rPr>
              <w:t>通威股份成都</w:t>
            </w:r>
            <w:r>
              <w:rPr>
                <w:spacing w:val="-4"/>
                <w:lang w:eastAsia="zh-CN"/>
              </w:rPr>
              <w:t>总部</w:t>
            </w:r>
            <w:r>
              <w:rPr>
                <w:rFonts w:hint="eastAsia"/>
                <w:spacing w:val="-4"/>
                <w:lang w:eastAsia="zh-CN"/>
              </w:rPr>
              <w:t>、</w:t>
            </w:r>
            <w:r>
              <w:rPr>
                <w:rFonts w:hint="eastAsia"/>
                <w:spacing w:val="-4"/>
                <w:lang w:val="en-US" w:eastAsia="zh-CN"/>
              </w:rPr>
              <w:t>上海</w:t>
            </w:r>
            <w:r>
              <w:rPr>
                <w:rFonts w:hint="eastAsia"/>
                <w:spacing w:val="-4"/>
                <w:lang w:eastAsia="zh-CN"/>
              </w:rPr>
              <w:t>、香港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1" w:hRule="atLeast"/>
        </w:trPr>
        <w:tc>
          <w:tcPr>
            <w:tcW w:w="1842" w:type="dxa"/>
          </w:tcPr>
          <w:p>
            <w:pPr>
              <w:spacing w:line="252" w:lineRule="auto"/>
              <w:rPr>
                <w:lang w:eastAsia="zh-CN"/>
              </w:rPr>
            </w:pPr>
          </w:p>
          <w:p>
            <w:pPr>
              <w:spacing w:line="252" w:lineRule="auto"/>
              <w:rPr>
                <w:lang w:eastAsia="zh-CN"/>
              </w:rPr>
            </w:pPr>
          </w:p>
          <w:p>
            <w:pPr>
              <w:pStyle w:val="7"/>
              <w:spacing w:before="78" w:line="347" w:lineRule="auto"/>
              <w:ind w:left="119" w:right="109"/>
              <w:rPr>
                <w:lang w:eastAsia="zh-CN"/>
              </w:rPr>
            </w:pPr>
            <w:r>
              <w:rPr>
                <w:spacing w:val="28"/>
                <w:lang w:eastAsia="zh-CN"/>
              </w:rPr>
              <w:t>上市公司接待</w:t>
            </w:r>
            <w:r>
              <w:rPr>
                <w:lang w:eastAsia="zh-CN"/>
              </w:rPr>
              <w:t xml:space="preserve"> </w:t>
            </w:r>
            <w:r>
              <w:rPr>
                <w:spacing w:val="-3"/>
                <w:lang w:eastAsia="zh-CN"/>
              </w:rPr>
              <w:t>人员姓名</w:t>
            </w:r>
          </w:p>
        </w:tc>
        <w:tc>
          <w:tcPr>
            <w:tcW w:w="6439" w:type="dxa"/>
            <w:gridSpan w:val="2"/>
          </w:tcPr>
          <w:p>
            <w:pPr>
              <w:pStyle w:val="7"/>
              <w:spacing w:before="166" w:line="220" w:lineRule="auto"/>
              <w:ind w:left="128"/>
              <w:rPr>
                <w:rFonts w:hint="eastAsia"/>
                <w:spacing w:val="-4"/>
                <w:lang w:eastAsia="zh-CN"/>
              </w:rPr>
            </w:pPr>
            <w:r>
              <w:rPr>
                <w:rFonts w:hint="eastAsia"/>
                <w:spacing w:val="-4"/>
                <w:lang w:eastAsia="zh-CN"/>
              </w:rPr>
              <w:t>董事会秘书 严轲</w:t>
            </w:r>
          </w:p>
          <w:p>
            <w:pPr>
              <w:pStyle w:val="7"/>
              <w:spacing w:before="166" w:line="220" w:lineRule="auto"/>
              <w:ind w:left="128"/>
              <w:rPr>
                <w:rFonts w:hint="eastAsia"/>
                <w:spacing w:val="-4"/>
                <w:lang w:eastAsia="zh-CN"/>
              </w:rPr>
            </w:pPr>
            <w:r>
              <w:rPr>
                <w:rFonts w:hint="eastAsia"/>
                <w:spacing w:val="-4"/>
                <w:lang w:eastAsia="zh-CN"/>
              </w:rPr>
              <w:t>投资者关系经理 钟秋实</w:t>
            </w:r>
          </w:p>
          <w:p>
            <w:pPr>
              <w:pStyle w:val="7"/>
              <w:spacing w:before="166" w:line="220" w:lineRule="auto"/>
              <w:ind w:left="128"/>
              <w:rPr>
                <w:rFonts w:hint="eastAsia"/>
                <w:spacing w:val="-4"/>
                <w:lang w:eastAsia="zh-CN"/>
              </w:rPr>
            </w:pPr>
            <w:r>
              <w:rPr>
                <w:rFonts w:hint="eastAsia"/>
                <w:spacing w:val="-4"/>
                <w:lang w:eastAsia="zh-CN"/>
              </w:rPr>
              <w:t>投资者关系经理 孙书恒</w:t>
            </w:r>
          </w:p>
          <w:p>
            <w:pPr>
              <w:pStyle w:val="7"/>
              <w:spacing w:before="166" w:line="220" w:lineRule="auto"/>
              <w:ind w:left="128"/>
              <w:rPr>
                <w:lang w:eastAsia="zh-CN"/>
              </w:rPr>
            </w:pPr>
            <w:r>
              <w:rPr>
                <w:rFonts w:hint="eastAsia"/>
                <w:spacing w:val="-4"/>
                <w:lang w:eastAsia="zh-CN"/>
              </w:rPr>
              <w:t>投资者关系专员 甘雨佳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0" w:hRule="atLeast"/>
        </w:trPr>
        <w:tc>
          <w:tcPr>
            <w:tcW w:w="1842" w:type="dxa"/>
          </w:tcPr>
          <w:p>
            <w:pPr>
              <w:spacing w:line="261" w:lineRule="auto"/>
              <w:rPr>
                <w:lang w:eastAsia="zh-CN"/>
              </w:rPr>
            </w:pPr>
          </w:p>
          <w:p>
            <w:pPr>
              <w:spacing w:line="261" w:lineRule="auto"/>
              <w:rPr>
                <w:lang w:eastAsia="zh-CN"/>
              </w:rPr>
            </w:pPr>
          </w:p>
          <w:p>
            <w:pPr>
              <w:spacing w:line="261" w:lineRule="auto"/>
              <w:rPr>
                <w:lang w:eastAsia="zh-CN"/>
              </w:rPr>
            </w:pPr>
          </w:p>
          <w:p>
            <w:pPr>
              <w:spacing w:line="262" w:lineRule="auto"/>
              <w:rPr>
                <w:lang w:eastAsia="zh-CN"/>
              </w:rPr>
            </w:pPr>
          </w:p>
          <w:p>
            <w:pPr>
              <w:pStyle w:val="7"/>
              <w:spacing w:before="78" w:line="353" w:lineRule="auto"/>
              <w:ind w:left="118" w:right="109" w:firstLine="1"/>
              <w:jc w:val="both"/>
              <w:rPr>
                <w:lang w:eastAsia="zh-CN"/>
              </w:rPr>
            </w:pPr>
            <w:r>
              <w:rPr>
                <w:spacing w:val="27"/>
                <w:lang w:eastAsia="zh-CN"/>
              </w:rPr>
              <w:t>投资者关系活</w:t>
            </w:r>
            <w:r>
              <w:rPr>
                <w:spacing w:val="4"/>
                <w:lang w:eastAsia="zh-CN"/>
              </w:rPr>
              <w:t xml:space="preserve"> </w:t>
            </w:r>
            <w:r>
              <w:rPr>
                <w:spacing w:val="28"/>
                <w:lang w:eastAsia="zh-CN"/>
              </w:rPr>
              <w:t>动主要内容介</w:t>
            </w:r>
            <w:r>
              <w:rPr>
                <w:lang w:eastAsia="zh-CN"/>
              </w:rPr>
              <w:t xml:space="preserve"> 绍</w:t>
            </w:r>
          </w:p>
        </w:tc>
        <w:tc>
          <w:tcPr>
            <w:tcW w:w="6439" w:type="dxa"/>
            <w:gridSpan w:val="2"/>
          </w:tcPr>
          <w:p>
            <w:pPr>
              <w:pStyle w:val="7"/>
              <w:spacing w:before="273" w:line="346" w:lineRule="auto"/>
              <w:ind w:left="122" w:right="107" w:firstLine="491"/>
              <w:rPr>
                <w:lang w:eastAsia="zh-CN"/>
              </w:rPr>
            </w:pPr>
            <w:r>
              <w:rPr>
                <w:b/>
                <w:bCs/>
                <w:lang w:eastAsia="zh-CN"/>
              </w:rPr>
              <w:t>1、</w:t>
            </w:r>
            <w:r>
              <w:rPr>
                <w:rFonts w:hint="eastAsia"/>
                <w:b/>
                <w:bCs/>
                <w:lang w:eastAsia="zh-CN"/>
              </w:rPr>
              <w:t>光伏协会21号的最新发文，</w:t>
            </w:r>
            <w:r>
              <w:rPr>
                <w:rFonts w:hint="eastAsia"/>
                <w:b/>
                <w:bCs/>
                <w:lang w:val="en-US" w:eastAsia="zh-CN"/>
              </w:rPr>
              <w:t>对光伏行业供给出清及未来市场竞争格局</w:t>
            </w:r>
            <w:r>
              <w:rPr>
                <w:rFonts w:hint="eastAsia"/>
                <w:b/>
                <w:bCs/>
                <w:lang w:eastAsia="zh-CN"/>
              </w:rPr>
              <w:t>有哪些</w:t>
            </w:r>
            <w:r>
              <w:rPr>
                <w:rFonts w:hint="eastAsia"/>
                <w:b/>
                <w:bCs/>
                <w:lang w:val="en-US" w:eastAsia="zh-CN"/>
              </w:rPr>
              <w:t>深远</w:t>
            </w:r>
            <w:r>
              <w:rPr>
                <w:rFonts w:hint="eastAsia"/>
                <w:b/>
                <w:bCs/>
                <w:lang w:eastAsia="zh-CN"/>
              </w:rPr>
              <w:t>影响？</w:t>
            </w:r>
            <w:r>
              <w:rPr>
                <w:lang w:eastAsia="zh-CN"/>
              </w:rPr>
              <w:t xml:space="preserve"> </w:t>
            </w:r>
          </w:p>
          <w:p>
            <w:pPr>
              <w:pStyle w:val="7"/>
              <w:spacing w:before="34" w:line="347" w:lineRule="auto"/>
              <w:ind w:left="113" w:right="107" w:firstLine="480"/>
              <w:rPr>
                <w:rFonts w:hint="eastAsia"/>
                <w:spacing w:val="-2"/>
                <w:lang w:eastAsia="zh-CN"/>
              </w:rPr>
            </w:pPr>
            <w:r>
              <w:rPr>
                <w:spacing w:val="-2"/>
                <w:lang w:eastAsia="zh-CN"/>
              </w:rPr>
              <w:t>答：</w:t>
            </w:r>
            <w:r>
              <w:rPr>
                <w:rFonts w:hint="eastAsia"/>
                <w:spacing w:val="-2"/>
                <w:lang w:eastAsia="zh-CN"/>
              </w:rPr>
              <w:t>5月17日，在工信部电子信息司指导下，光伏协会在北京召开光伏行业高质量发展座谈会，部分光伏头部企业参会，会议针对当前行业供需矛盾和盈利压力，提出了一系列宝贵建议，包括：1）充分发挥政府作用，优化政策对产能建设的指导作用，提升关键技术指标；2）规范管理地方政府的招商引资政策；3）建立有效的知识产权保护措施；4）鼓励行业兼并重组；5）加强对于低于成本价格销售恶性竞争的打击力度；6）保障国内光伏市场稳定增长，转变低价中标局面。</w:t>
            </w:r>
          </w:p>
          <w:p>
            <w:pPr>
              <w:pStyle w:val="7"/>
              <w:spacing w:before="34" w:line="347" w:lineRule="auto"/>
              <w:ind w:left="113" w:right="107" w:firstLine="480"/>
              <w:rPr>
                <w:rFonts w:hint="eastAsia"/>
                <w:spacing w:val="-2"/>
                <w:lang w:eastAsia="zh-CN"/>
              </w:rPr>
            </w:pPr>
            <w:r>
              <w:rPr>
                <w:rFonts w:hint="eastAsia"/>
                <w:spacing w:val="-2"/>
                <w:lang w:val="en-US" w:eastAsia="zh-CN"/>
              </w:rPr>
              <w:t>目前光伏行业短期所面临的挑战已引起监管层的高度关注，后期不排除会进一步出台供给侧改革相关的政策来引导行业持续高质量发展。与此同时，当前行业的供需失衡问题也需要市场自身的调整，</w:t>
            </w:r>
            <w:r>
              <w:rPr>
                <w:rFonts w:hint="eastAsia"/>
                <w:spacing w:val="-2"/>
                <w:lang w:eastAsia="zh-CN"/>
              </w:rPr>
              <w:t>但无论是从政府引导的角度，还是从市场自我调节的角度来</w:t>
            </w:r>
            <w:r>
              <w:rPr>
                <w:rFonts w:hint="eastAsia"/>
                <w:spacing w:val="-2"/>
                <w:lang w:val="en-US" w:eastAsia="zh-CN"/>
              </w:rPr>
              <w:t>看</w:t>
            </w:r>
            <w:r>
              <w:rPr>
                <w:rFonts w:hint="eastAsia"/>
                <w:spacing w:val="-2"/>
                <w:lang w:eastAsia="zh-CN"/>
              </w:rPr>
              <w:t>，未来光伏行业强者恒强的发展趋势是比较确定的，行业集中度有望在本轮“洗牌”结束后进一步提升，能穿越本轮周期的光伏企业也将在未来充分</w:t>
            </w:r>
            <w:r>
              <w:rPr>
                <w:rFonts w:hint="eastAsia"/>
                <w:spacing w:val="-2"/>
                <w:lang w:val="en-US" w:eastAsia="zh-CN"/>
              </w:rPr>
              <w:t>受益于</w:t>
            </w:r>
            <w:r>
              <w:rPr>
                <w:rFonts w:hint="eastAsia"/>
                <w:spacing w:val="-2"/>
                <w:lang w:eastAsia="zh-CN"/>
              </w:rPr>
              <w:t>行业快速发展的红利。</w:t>
            </w:r>
          </w:p>
          <w:p>
            <w:pPr>
              <w:pStyle w:val="7"/>
              <w:numPr>
                <w:ilvl w:val="0"/>
                <w:numId w:val="2"/>
              </w:numPr>
              <w:spacing w:before="36" w:line="329" w:lineRule="auto"/>
              <w:ind w:left="113" w:right="105" w:firstLine="503"/>
              <w:jc w:val="both"/>
              <w:rPr>
                <w:rFonts w:hint="eastAsia"/>
                <w:b/>
                <w:bCs/>
                <w:lang w:val="en-US" w:eastAsia="zh-CN"/>
              </w:rPr>
            </w:pPr>
            <w:r>
              <w:rPr>
                <w:rFonts w:hint="eastAsia"/>
                <w:b/>
                <w:bCs/>
                <w:lang w:val="en-US" w:eastAsia="zh-CN"/>
              </w:rPr>
              <w:t>国务院近期印发的《2024-2025年节能降碳行动方案》中明确提出在资源较优地区放宽新能源利用率至90%，请问在此背景下，公司如何展望2024年国内新增光伏装机量增速？</w:t>
            </w:r>
          </w:p>
          <w:p>
            <w:pPr>
              <w:pStyle w:val="7"/>
              <w:spacing w:before="36" w:line="329" w:lineRule="auto"/>
              <w:ind w:left="113" w:right="105" w:firstLine="503"/>
              <w:jc w:val="both"/>
              <w:rPr>
                <w:rFonts w:hint="eastAsia"/>
                <w:spacing w:val="-2"/>
                <w:lang w:eastAsia="zh-CN"/>
              </w:rPr>
            </w:pPr>
            <w:r>
              <w:rPr>
                <w:rFonts w:hint="eastAsia"/>
                <w:lang w:val="en-US" w:eastAsia="zh-CN"/>
              </w:rPr>
              <w:t>答：按照当前光伏组件价格测算，即使将许多光照资源丰富地区的新能源利用率降至90%，当地光伏电站投资也具备较好的收益率，光伏发电的经济性已十分显著。与此同时，我国正在加快推进新型电力系统的建设，构建完善的新型能源体系，国家能源局、发改委等部委也对应出台了一系列强有力的政策，在此背景下，我们相信2024年国内光伏集中式与分布式装机有望齐头并进，继续推动我国全年光伏新增装机量再创新高。从国家能源局公布的数据来看，今年1-4月我国新增光伏装机60.11GW，同比增长24.4%。考虑到2023年同期处于疫情解封后地面电站集中装机的高峰期，所以导致基数较高，随着下半年光伏装机旺季来临，根据目前市场中性预期，我国全年新增光伏装机增速有望超过20%。</w:t>
            </w:r>
          </w:p>
          <w:p>
            <w:pPr>
              <w:pStyle w:val="7"/>
              <w:numPr>
                <w:ilvl w:val="0"/>
                <w:numId w:val="2"/>
              </w:numPr>
              <w:spacing w:before="36" w:line="329" w:lineRule="auto"/>
              <w:ind w:left="113" w:right="105" w:firstLine="503"/>
              <w:jc w:val="both"/>
              <w:rPr>
                <w:rFonts w:hint="eastAsia"/>
                <w:b/>
                <w:bCs/>
                <w:lang w:val="en-US" w:eastAsia="zh-CN"/>
              </w:rPr>
            </w:pPr>
            <w:r>
              <w:rPr>
                <w:rFonts w:hint="eastAsia"/>
                <w:b/>
                <w:bCs/>
                <w:lang w:eastAsia="zh-CN"/>
              </w:rPr>
              <w:t>当前</w:t>
            </w:r>
            <w:r>
              <w:rPr>
                <w:rFonts w:hint="eastAsia"/>
                <w:b/>
                <w:bCs/>
                <w:lang w:val="en-US" w:eastAsia="zh-CN"/>
              </w:rPr>
              <w:t>N型棒状硅价格也跌至4-4.3万元/吨，P型棒状硅价格更低，请问在公司看来，多晶硅价格到底了吗？</w:t>
            </w:r>
          </w:p>
          <w:p>
            <w:pPr>
              <w:pStyle w:val="7"/>
              <w:spacing w:before="36" w:line="329" w:lineRule="auto"/>
              <w:ind w:left="113" w:right="105" w:firstLine="503"/>
              <w:jc w:val="both"/>
              <w:rPr>
                <w:rFonts w:hint="default"/>
                <w:b w:val="0"/>
                <w:bCs w:val="0"/>
                <w:lang w:val="en-US" w:eastAsia="zh-CN"/>
              </w:rPr>
            </w:pPr>
            <w:r>
              <w:rPr>
                <w:rFonts w:hint="eastAsia"/>
                <w:lang w:val="en-US" w:eastAsia="zh-CN"/>
              </w:rPr>
              <w:t>答：</w:t>
            </w:r>
            <w:r>
              <w:rPr>
                <w:rFonts w:hint="eastAsia"/>
                <w:b w:val="0"/>
                <w:bCs w:val="0"/>
                <w:lang w:val="en-US" w:eastAsia="zh-CN"/>
              </w:rPr>
              <w:t>4月以来，由于下游硅片环节排产环比下滑，采购意愿持续走弱，叠加多晶硅环节库存逐步走高，多晶硅价格继续探底。根据Infolink Consulting 5月30日的产业链价格评析，目前硅料价格已击穿行业整体包括一线企业的现金成本水平。近期来看，行业大部分多晶硅生产企业均有检修行为或检修规划，预计5月多晶硅产量环比下降约5%（硅业分会数据），随着多晶硅生产企业加速推进检修进程，控制产能释放速度，行业6月产量预计环比进一步下滑，叠加后续终端市场装机旺季来临，多晶硅供需失衡压力有望缓解。</w:t>
            </w:r>
          </w:p>
          <w:p>
            <w:pPr>
              <w:pStyle w:val="7"/>
              <w:numPr>
                <w:ilvl w:val="0"/>
                <w:numId w:val="2"/>
              </w:numPr>
              <w:spacing w:before="36" w:line="329" w:lineRule="auto"/>
              <w:ind w:left="113" w:right="105" w:firstLine="503"/>
              <w:jc w:val="both"/>
              <w:rPr>
                <w:rFonts w:hint="eastAsia"/>
                <w:b/>
                <w:bCs/>
                <w:lang w:val="en-US" w:eastAsia="zh-CN"/>
              </w:rPr>
            </w:pPr>
            <w:r>
              <w:rPr>
                <w:rFonts w:hint="eastAsia"/>
                <w:b/>
                <w:bCs/>
                <w:lang w:val="en-US" w:eastAsia="zh-CN"/>
              </w:rPr>
              <w:t>关注到公司HJT 1GW中试线设备已完成move-in，想请教公司后续如何评估HJT大规模量产的时间？</w:t>
            </w:r>
          </w:p>
          <w:p>
            <w:pPr>
              <w:pStyle w:val="7"/>
              <w:spacing w:before="36" w:line="329" w:lineRule="auto"/>
              <w:ind w:left="113" w:right="105" w:firstLine="503"/>
              <w:jc w:val="both"/>
              <w:rPr>
                <w:rFonts w:hint="default" w:ascii="宋体" w:hAnsi="宋体" w:eastAsia="宋体"/>
                <w:b w:val="0"/>
                <w:bCs w:val="0"/>
                <w:color w:val="000000" w:themeColor="text1"/>
                <w:sz w:val="24"/>
                <w:szCs w:val="24"/>
                <w:lang w:val="en-US" w:eastAsia="zh-CN"/>
                <w14:textFill>
                  <w14:solidFill>
                    <w14:schemeClr w14:val="tx1"/>
                  </w14:solidFill>
                </w14:textFill>
              </w:rPr>
            </w:pPr>
            <w:r>
              <w:rPr>
                <w:rFonts w:hint="eastAsia"/>
                <w:lang w:val="en-US" w:eastAsia="zh-CN"/>
              </w:rPr>
              <w:t>答：公司成都</w:t>
            </w:r>
            <w:r>
              <w:rPr>
                <w:rFonts w:hint="eastAsia" w:ascii="宋体" w:hAnsi="宋体" w:eastAsia="宋体"/>
                <w:b w:val="0"/>
                <w:bCs w:val="0"/>
                <w:color w:val="000000" w:themeColor="text1"/>
                <w:sz w:val="24"/>
                <w:szCs w:val="24"/>
                <w:lang w:val="en-US" w:eastAsia="zh-CN"/>
                <w14:textFill>
                  <w14:solidFill>
                    <w14:schemeClr w14:val="tx1"/>
                  </w14:solidFill>
                </w14:textFill>
              </w:rPr>
              <w:t>双流</w:t>
            </w:r>
            <w:r>
              <w:rPr>
                <w:rFonts w:hint="eastAsia"/>
                <w:b w:val="0"/>
                <w:bCs w:val="0"/>
                <w:color w:val="000000" w:themeColor="text1"/>
                <w:sz w:val="24"/>
                <w:szCs w:val="24"/>
                <w:lang w:val="en-US" w:eastAsia="zh-CN"/>
                <w14:textFill>
                  <w14:solidFill>
                    <w14:schemeClr w14:val="tx1"/>
                  </w14:solidFill>
                </w14:textFill>
              </w:rPr>
              <w:t>基地</w:t>
            </w:r>
            <w:r>
              <w:rPr>
                <w:rFonts w:hint="eastAsia" w:ascii="宋体" w:hAnsi="宋体" w:eastAsia="宋体"/>
                <w:b w:val="0"/>
                <w:bCs w:val="0"/>
                <w:color w:val="000000" w:themeColor="text1"/>
                <w:sz w:val="24"/>
                <w:szCs w:val="24"/>
                <w:lang w:val="en-US" w:eastAsia="zh-CN"/>
                <w14:textFill>
                  <w14:solidFill>
                    <w14:schemeClr w14:val="tx1"/>
                  </w14:solidFill>
                </w14:textFill>
              </w:rPr>
              <w:t>正在建设通威全球创新研发中心，4月底异质结的首批工艺设备已经搬入新建的研发车间内。实际上，在异质结方面，</w:t>
            </w:r>
            <w:r>
              <w:rPr>
                <w:rFonts w:hint="eastAsia"/>
                <w:b w:val="0"/>
                <w:bCs w:val="0"/>
                <w:color w:val="000000" w:themeColor="text1"/>
                <w:sz w:val="24"/>
                <w:szCs w:val="24"/>
                <w:lang w:val="en-US" w:eastAsia="zh-CN"/>
                <w14:textFill>
                  <w14:solidFill>
                    <w14:schemeClr w14:val="tx1"/>
                  </w14:solidFill>
                </w14:textFill>
              </w:rPr>
              <w:t>公司</w:t>
            </w:r>
            <w:r>
              <w:rPr>
                <w:rFonts w:hint="eastAsia" w:ascii="宋体" w:hAnsi="宋体" w:eastAsia="宋体"/>
                <w:b w:val="0"/>
                <w:bCs w:val="0"/>
                <w:color w:val="000000" w:themeColor="text1"/>
                <w:sz w:val="24"/>
                <w:szCs w:val="24"/>
                <w:lang w:val="en-US" w:eastAsia="zh-CN"/>
                <w14:textFill>
                  <w14:solidFill>
                    <w14:schemeClr w14:val="tx1"/>
                  </w14:solidFill>
                </w14:textFill>
              </w:rPr>
              <w:t>过去几年</w:t>
            </w:r>
            <w:r>
              <w:rPr>
                <w:rFonts w:hint="eastAsia"/>
                <w:b w:val="0"/>
                <w:bCs w:val="0"/>
                <w:color w:val="000000" w:themeColor="text1"/>
                <w:sz w:val="24"/>
                <w:szCs w:val="24"/>
                <w:lang w:val="en-US" w:eastAsia="zh-CN"/>
                <w14:textFill>
                  <w14:solidFill>
                    <w14:schemeClr w14:val="tx1"/>
                  </w14:solidFill>
                </w14:textFill>
              </w:rPr>
              <w:t>已经有较多的</w:t>
            </w:r>
            <w:r>
              <w:rPr>
                <w:rFonts w:hint="eastAsia" w:ascii="宋体" w:hAnsi="宋体" w:eastAsia="宋体"/>
                <w:b w:val="0"/>
                <w:bCs w:val="0"/>
                <w:color w:val="000000" w:themeColor="text1"/>
                <w:sz w:val="24"/>
                <w:szCs w:val="24"/>
                <w:lang w:val="en-US" w:eastAsia="zh-CN"/>
                <w14:textFill>
                  <w14:solidFill>
                    <w14:schemeClr w14:val="tx1"/>
                  </w14:solidFill>
                </w14:textFill>
              </w:rPr>
              <w:t>技术积累</w:t>
            </w:r>
            <w:r>
              <w:rPr>
                <w:rFonts w:hint="eastAsia"/>
                <w:b w:val="0"/>
                <w:bCs w:val="0"/>
                <w:color w:val="000000" w:themeColor="text1"/>
                <w:sz w:val="24"/>
                <w:szCs w:val="24"/>
                <w:lang w:val="en-US" w:eastAsia="zh-CN"/>
                <w14:textFill>
                  <w14:solidFill>
                    <w14:schemeClr w14:val="tx1"/>
                  </w14:solidFill>
                </w14:textFill>
              </w:rPr>
              <w:t>和研发成果</w:t>
            </w:r>
            <w:r>
              <w:rPr>
                <w:rFonts w:hint="eastAsia" w:ascii="宋体" w:hAnsi="宋体" w:eastAsia="宋体"/>
                <w:b w:val="0"/>
                <w:bCs w:val="0"/>
                <w:color w:val="000000" w:themeColor="text1"/>
                <w:sz w:val="24"/>
                <w:szCs w:val="24"/>
                <w:lang w:val="en-US" w:eastAsia="zh-CN"/>
                <w14:textFill>
                  <w14:solidFill>
                    <w14:schemeClr w14:val="tx1"/>
                  </w14:solidFill>
                </w14:textFill>
              </w:rPr>
              <w:t>，我们接下来还是</w:t>
            </w:r>
            <w:r>
              <w:rPr>
                <w:rFonts w:hint="eastAsia"/>
                <w:b w:val="0"/>
                <w:bCs w:val="0"/>
                <w:color w:val="000000" w:themeColor="text1"/>
                <w:sz w:val="24"/>
                <w:szCs w:val="24"/>
                <w:lang w:val="en-US" w:eastAsia="zh-CN"/>
                <w14:textFill>
                  <w14:solidFill>
                    <w14:schemeClr w14:val="tx1"/>
                  </w14:solidFill>
                </w14:textFill>
              </w:rPr>
              <w:t>重点围绕</w:t>
            </w:r>
            <w:r>
              <w:rPr>
                <w:rFonts w:hint="eastAsia" w:ascii="宋体" w:hAnsi="宋体" w:eastAsia="宋体"/>
                <w:b w:val="0"/>
                <w:bCs w:val="0"/>
                <w:color w:val="000000" w:themeColor="text1"/>
                <w:sz w:val="24"/>
                <w:szCs w:val="24"/>
                <w:lang w:val="en-US" w:eastAsia="zh-CN"/>
                <w14:textFill>
                  <w14:solidFill>
                    <w14:schemeClr w14:val="tx1"/>
                  </w14:solidFill>
                </w14:textFill>
              </w:rPr>
              <w:t>两个技术路线来进行开发，一个是</w:t>
            </w:r>
            <w:r>
              <w:rPr>
                <w:rFonts w:hint="eastAsia"/>
                <w:b w:val="0"/>
                <w:bCs w:val="0"/>
                <w:color w:val="000000" w:themeColor="text1"/>
                <w:sz w:val="24"/>
                <w:szCs w:val="24"/>
                <w:lang w:val="en-US" w:eastAsia="zh-CN"/>
                <w14:textFill>
                  <w14:solidFill>
                    <w14:schemeClr w14:val="tx1"/>
                  </w14:solidFill>
                </w14:textFill>
              </w:rPr>
              <w:t>银包铜+0BB，另一个</w:t>
            </w:r>
            <w:r>
              <w:rPr>
                <w:rFonts w:hint="eastAsia" w:ascii="宋体" w:hAnsi="宋体" w:eastAsia="宋体"/>
                <w:b w:val="0"/>
                <w:bCs w:val="0"/>
                <w:color w:val="000000" w:themeColor="text1"/>
                <w:sz w:val="24"/>
                <w:szCs w:val="24"/>
                <w:lang w:val="en-US" w:eastAsia="zh-CN"/>
                <w14:textFill>
                  <w14:solidFill>
                    <w14:schemeClr w14:val="tx1"/>
                  </w14:solidFill>
                </w14:textFill>
              </w:rPr>
              <w:t>就是铜互联技术。</w:t>
            </w:r>
            <w:r>
              <w:rPr>
                <w:rFonts w:hint="eastAsia"/>
                <w:b w:val="0"/>
                <w:bCs w:val="0"/>
                <w:color w:val="000000" w:themeColor="text1"/>
                <w:sz w:val="24"/>
                <w:szCs w:val="24"/>
                <w:lang w:val="en-US" w:eastAsia="zh-CN"/>
                <w14:textFill>
                  <w14:solidFill>
                    <w14:schemeClr w14:val="tx1"/>
                  </w14:solidFill>
                </w14:textFill>
              </w:rPr>
              <w:t>目前</w:t>
            </w:r>
            <w:r>
              <w:rPr>
                <w:rFonts w:hint="eastAsia" w:ascii="宋体" w:hAnsi="宋体" w:eastAsia="宋体"/>
                <w:b w:val="0"/>
                <w:bCs w:val="0"/>
                <w:color w:val="000000" w:themeColor="text1"/>
                <w:sz w:val="24"/>
                <w:szCs w:val="24"/>
                <w:lang w:val="en-US" w:eastAsia="zh-CN"/>
                <w14:textFill>
                  <w14:solidFill>
                    <w14:schemeClr w14:val="tx1"/>
                  </w14:solidFill>
                </w14:textFill>
              </w:rPr>
              <w:t>看来，</w:t>
            </w:r>
            <w:r>
              <w:rPr>
                <w:rFonts w:hint="eastAsia"/>
                <w:b w:val="0"/>
                <w:bCs w:val="0"/>
                <w:color w:val="000000" w:themeColor="text1"/>
                <w:sz w:val="24"/>
                <w:szCs w:val="24"/>
                <w:lang w:val="en-US" w:eastAsia="zh-CN"/>
                <w14:textFill>
                  <w14:solidFill>
                    <w14:schemeClr w14:val="tx1"/>
                  </w14:solidFill>
                </w14:textFill>
              </w:rPr>
              <w:t>两个技术方案各有特点，铜互连HJT电池目前在产能和良率上相比银包铜仍有一定差距，还需持续稳定跑量优化，但从长期来看，铜互连方案相比银包铜方案在降本增效上更有潜力。接下来，我们仍然会积极推动HJT技术的研发，后续根据公司中试线掌握的数据来</w:t>
            </w:r>
            <w:r>
              <w:rPr>
                <w:rFonts w:hint="eastAsia" w:ascii="宋体" w:hAnsi="宋体" w:eastAsia="宋体"/>
                <w:b w:val="0"/>
                <w:bCs w:val="0"/>
                <w:color w:val="000000" w:themeColor="text1"/>
                <w:sz w:val="24"/>
                <w:szCs w:val="24"/>
                <w:lang w:val="en-US" w:eastAsia="zh-CN"/>
                <w14:textFill>
                  <w14:solidFill>
                    <w14:schemeClr w14:val="tx1"/>
                  </w14:solidFill>
                </w14:textFill>
              </w:rPr>
              <w:t>动态</w:t>
            </w:r>
            <w:r>
              <w:rPr>
                <w:rFonts w:hint="eastAsia"/>
                <w:b w:val="0"/>
                <w:bCs w:val="0"/>
                <w:color w:val="000000" w:themeColor="text1"/>
                <w:sz w:val="24"/>
                <w:szCs w:val="24"/>
                <w:lang w:val="en-US" w:eastAsia="zh-CN"/>
                <w14:textFill>
                  <w14:solidFill>
                    <w14:schemeClr w14:val="tx1"/>
                  </w14:solidFill>
                </w14:textFill>
              </w:rPr>
              <w:t>评估该技术的量产时间和投资节奏。</w:t>
            </w:r>
          </w:p>
          <w:p>
            <w:pPr>
              <w:pStyle w:val="7"/>
              <w:spacing w:before="36" w:line="329" w:lineRule="auto"/>
              <w:ind w:left="113" w:right="105" w:firstLine="503"/>
              <w:jc w:val="both"/>
              <w:rPr>
                <w:b/>
                <w:bCs/>
                <w:lang w:eastAsia="zh-CN"/>
              </w:rPr>
            </w:pPr>
            <w:r>
              <w:rPr>
                <w:rFonts w:hint="eastAsia"/>
                <w:b/>
                <w:bCs/>
                <w:lang w:val="en-US" w:eastAsia="zh-CN"/>
              </w:rPr>
              <w:t>5</w:t>
            </w:r>
            <w:r>
              <w:rPr>
                <w:b/>
                <w:bCs/>
                <w:lang w:eastAsia="zh-CN"/>
              </w:rPr>
              <w:t>、</w:t>
            </w:r>
            <w:r>
              <w:rPr>
                <w:rFonts w:hint="eastAsia"/>
                <w:b/>
                <w:bCs/>
                <w:lang w:val="en-US" w:eastAsia="zh-CN"/>
              </w:rPr>
              <w:t>请</w:t>
            </w:r>
            <w:r>
              <w:rPr>
                <w:rFonts w:hint="eastAsia"/>
                <w:b/>
                <w:bCs/>
                <w:lang w:eastAsia="zh-CN"/>
              </w:rPr>
              <w:t>公司</w:t>
            </w:r>
            <w:r>
              <w:rPr>
                <w:rFonts w:hint="eastAsia"/>
                <w:b/>
                <w:bCs/>
                <w:lang w:val="en-US" w:eastAsia="zh-CN"/>
              </w:rPr>
              <w:t>展望下未来在半导体</w:t>
            </w:r>
            <w:r>
              <w:rPr>
                <w:rFonts w:hint="eastAsia"/>
                <w:b/>
                <w:bCs/>
                <w:lang w:eastAsia="zh-CN"/>
              </w:rPr>
              <w:t>多晶硅</w:t>
            </w:r>
            <w:r>
              <w:rPr>
                <w:rFonts w:hint="eastAsia"/>
                <w:b/>
                <w:bCs/>
                <w:lang w:val="en-US" w:eastAsia="zh-CN"/>
              </w:rPr>
              <w:t>上的产能规划？</w:t>
            </w:r>
          </w:p>
          <w:p>
            <w:pPr>
              <w:pStyle w:val="7"/>
              <w:spacing w:before="36" w:line="329" w:lineRule="auto"/>
              <w:ind w:left="113" w:right="105" w:firstLine="503"/>
              <w:jc w:val="both"/>
              <w:rPr>
                <w:rFonts w:hint="eastAsia"/>
                <w:spacing w:val="-2"/>
                <w:lang w:eastAsia="zh-CN"/>
              </w:rPr>
            </w:pPr>
            <w:r>
              <w:rPr>
                <w:spacing w:val="-2"/>
                <w:lang w:eastAsia="zh-CN"/>
              </w:rPr>
              <w:t>答：</w:t>
            </w:r>
            <w:r>
              <w:rPr>
                <w:rFonts w:hint="eastAsia"/>
                <w:spacing w:val="-2"/>
                <w:lang w:val="en-US" w:eastAsia="zh-CN"/>
              </w:rPr>
              <w:t>公司全资子公司</w:t>
            </w:r>
            <w:r>
              <w:rPr>
                <w:rFonts w:hint="eastAsia"/>
                <w:spacing w:val="-2"/>
                <w:lang w:eastAsia="zh-CN"/>
              </w:rPr>
              <w:t>永祥</w:t>
            </w:r>
            <w:r>
              <w:rPr>
                <w:rFonts w:hint="eastAsia"/>
                <w:spacing w:val="-2"/>
                <w:lang w:val="en-US" w:eastAsia="zh-CN"/>
              </w:rPr>
              <w:t>股份</w:t>
            </w:r>
            <w:r>
              <w:rPr>
                <w:rFonts w:hint="eastAsia"/>
                <w:spacing w:val="-2"/>
                <w:lang w:eastAsia="zh-CN"/>
              </w:rPr>
              <w:t>目前</w:t>
            </w:r>
            <w:r>
              <w:rPr>
                <w:rFonts w:hint="eastAsia"/>
                <w:spacing w:val="-2"/>
                <w:lang w:val="en-US" w:eastAsia="zh-CN"/>
              </w:rPr>
              <w:t>拥有</w:t>
            </w:r>
            <w:r>
              <w:rPr>
                <w:rFonts w:hint="eastAsia"/>
                <w:spacing w:val="-2"/>
                <w:lang w:eastAsia="zh-CN"/>
              </w:rPr>
              <w:t>1000吨半导体级多晶硅产能，产品已顺利通过下游客户验证，并实现海外出货。</w:t>
            </w:r>
            <w:r>
              <w:rPr>
                <w:rFonts w:hint="eastAsia"/>
                <w:spacing w:val="-2"/>
                <w:lang w:val="en-US" w:eastAsia="zh-CN"/>
              </w:rPr>
              <w:t>近年来，</w:t>
            </w:r>
            <w:r>
              <w:rPr>
                <w:rFonts w:hint="eastAsia"/>
                <w:spacing w:val="-2"/>
                <w:lang w:eastAsia="zh-CN"/>
              </w:rPr>
              <w:t>全球半导体级多晶硅需求较为稳定，公司暂无大规模切换半导体级</w:t>
            </w:r>
            <w:r>
              <w:rPr>
                <w:rFonts w:hint="eastAsia"/>
                <w:spacing w:val="-2"/>
                <w:lang w:val="en-US" w:eastAsia="zh-CN"/>
              </w:rPr>
              <w:t>多晶硅</w:t>
            </w:r>
            <w:r>
              <w:rPr>
                <w:rFonts w:hint="eastAsia"/>
                <w:spacing w:val="-2"/>
                <w:lang w:eastAsia="zh-CN"/>
              </w:rPr>
              <w:t>的规划。后续公司在继续提升半导体</w:t>
            </w:r>
            <w:r>
              <w:rPr>
                <w:rFonts w:hint="eastAsia"/>
                <w:spacing w:val="-2"/>
                <w:lang w:val="en-US" w:eastAsia="zh-CN"/>
              </w:rPr>
              <w:t>级</w:t>
            </w:r>
            <w:r>
              <w:rPr>
                <w:rFonts w:hint="eastAsia"/>
                <w:spacing w:val="-2"/>
                <w:lang w:eastAsia="zh-CN"/>
              </w:rPr>
              <w:t>硅料品质的同时，</w:t>
            </w:r>
            <w:r>
              <w:rPr>
                <w:rFonts w:hint="eastAsia"/>
                <w:spacing w:val="-2"/>
                <w:lang w:val="en-US" w:eastAsia="zh-CN"/>
              </w:rPr>
              <w:t>将同步做好市场需求的</w:t>
            </w:r>
            <w:r>
              <w:rPr>
                <w:rFonts w:hint="eastAsia"/>
                <w:spacing w:val="-2"/>
                <w:lang w:eastAsia="zh-CN"/>
              </w:rPr>
              <w:t>动态评估。</w:t>
            </w:r>
          </w:p>
          <w:p>
            <w:pPr>
              <w:pStyle w:val="7"/>
              <w:spacing w:before="36" w:line="329" w:lineRule="auto"/>
              <w:ind w:left="113" w:right="105" w:firstLine="503"/>
              <w:jc w:val="both"/>
              <w:rPr>
                <w:rFonts w:hint="default"/>
                <w:b/>
                <w:bCs/>
                <w:lang w:val="en-US" w:eastAsia="zh-CN"/>
              </w:rPr>
            </w:pPr>
            <w:r>
              <w:rPr>
                <w:rFonts w:hint="eastAsia"/>
                <w:b/>
                <w:bCs/>
                <w:lang w:val="en-US" w:eastAsia="zh-CN"/>
              </w:rPr>
              <w:t>6</w:t>
            </w:r>
            <w:r>
              <w:rPr>
                <w:b/>
                <w:bCs/>
                <w:lang w:eastAsia="zh-CN"/>
              </w:rPr>
              <w:t>、</w:t>
            </w:r>
            <w:r>
              <w:rPr>
                <w:rFonts w:hint="eastAsia"/>
                <w:b/>
                <w:bCs/>
                <w:lang w:val="en-US" w:eastAsia="zh-CN"/>
              </w:rPr>
              <w:t>公司全年TOPCon电池出货量预计有多少？</w:t>
            </w:r>
          </w:p>
          <w:p>
            <w:pPr>
              <w:pStyle w:val="7"/>
              <w:spacing w:before="36" w:line="329" w:lineRule="auto"/>
              <w:ind w:left="113" w:right="105" w:firstLine="503"/>
              <w:jc w:val="both"/>
              <w:rPr>
                <w:rFonts w:hint="eastAsia" w:cs="宋体"/>
                <w:sz w:val="24"/>
                <w:szCs w:val="24"/>
                <w:lang w:val="en-US" w:eastAsia="zh-CN"/>
              </w:rPr>
            </w:pPr>
            <w:r>
              <w:rPr>
                <w:spacing w:val="-2"/>
                <w:lang w:eastAsia="zh-CN"/>
              </w:rPr>
              <w:t>答：</w:t>
            </w:r>
            <w:r>
              <w:rPr>
                <w:rFonts w:ascii="宋体" w:hAnsi="宋体" w:eastAsia="宋体" w:cs="宋体"/>
                <w:sz w:val="24"/>
                <w:szCs w:val="24"/>
              </w:rPr>
              <w:t>随着</w:t>
            </w:r>
            <w:r>
              <w:rPr>
                <w:rFonts w:hint="eastAsia" w:cs="宋体"/>
                <w:sz w:val="24"/>
                <w:szCs w:val="24"/>
                <w:lang w:val="en-US" w:eastAsia="zh-CN"/>
              </w:rPr>
              <w:t>公司</w:t>
            </w:r>
            <w:r>
              <w:rPr>
                <w:rFonts w:ascii="宋体" w:hAnsi="宋体" w:eastAsia="宋体" w:cs="宋体"/>
                <w:sz w:val="24"/>
                <w:szCs w:val="24"/>
              </w:rPr>
              <w:t>TNC电池发电性价比优势凸显，市场需求快速攀升，公司同步推进存量PERC产能升级和TNC新产能建设，预计将在2024年逐步完成约38GW PERC产能改造，并分别在眉山基地和双流基地新增16GW、25GW TNC电池产能，预计2024年底公司TNC电池产能规模将超过100GW</w:t>
            </w:r>
            <w:r>
              <w:rPr>
                <w:rFonts w:hint="eastAsia" w:cs="宋体"/>
                <w:sz w:val="24"/>
                <w:szCs w:val="24"/>
                <w:lang w:eastAsia="zh-CN"/>
              </w:rPr>
              <w:t>。</w:t>
            </w:r>
            <w:r>
              <w:rPr>
                <w:rFonts w:hint="eastAsia" w:cs="宋体"/>
                <w:sz w:val="24"/>
                <w:szCs w:val="24"/>
                <w:lang w:val="en-US" w:eastAsia="zh-CN"/>
              </w:rPr>
              <w:t>从全年经营计划来看，公司将力争实现太阳能电池业务出货90GW（含自用），其中TNC电池占比有望超过70%。但考虑到今年以来的产业链价格压力，公司也将视市场情况，以最经济的方式动态评估电池产品的出货结构与节奏。</w:t>
            </w:r>
          </w:p>
          <w:p>
            <w:pPr>
              <w:pStyle w:val="7"/>
              <w:numPr>
                <w:ilvl w:val="0"/>
                <w:numId w:val="3"/>
              </w:numPr>
              <w:spacing w:before="36" w:line="329" w:lineRule="auto"/>
              <w:ind w:left="113" w:right="105" w:firstLine="503"/>
              <w:jc w:val="both"/>
              <w:rPr>
                <w:rFonts w:hint="eastAsia" w:cs="宋体"/>
                <w:b/>
                <w:bCs/>
                <w:sz w:val="24"/>
                <w:szCs w:val="24"/>
                <w:lang w:val="en-US" w:eastAsia="zh-CN"/>
              </w:rPr>
            </w:pPr>
            <w:r>
              <w:rPr>
                <w:rFonts w:hint="eastAsia" w:cs="宋体"/>
                <w:b/>
                <w:bCs/>
                <w:sz w:val="24"/>
                <w:szCs w:val="24"/>
                <w:lang w:val="en-US" w:eastAsia="zh-CN"/>
              </w:rPr>
              <w:t>请问公司控股股东增持和上市公司回购进展？</w:t>
            </w:r>
          </w:p>
          <w:p>
            <w:pPr>
              <w:pStyle w:val="7"/>
              <w:spacing w:before="36" w:line="329" w:lineRule="auto"/>
              <w:ind w:left="113" w:right="105" w:firstLine="503"/>
              <w:jc w:val="both"/>
              <w:rPr>
                <w:rFonts w:hint="default"/>
                <w:spacing w:val="-2"/>
                <w:lang w:val="en-US" w:eastAsia="zh-CN"/>
              </w:rPr>
            </w:pPr>
            <w:r>
              <w:rPr>
                <w:spacing w:val="-2"/>
                <w:lang w:eastAsia="zh-CN"/>
              </w:rPr>
              <w:t>答：</w:t>
            </w:r>
            <w:r>
              <w:rPr>
                <w:rFonts w:hint="eastAsia"/>
                <w:spacing w:val="-2"/>
                <w:lang w:val="en-US" w:eastAsia="zh-CN"/>
              </w:rPr>
              <w:t>根据公司最新一期回购进展公告，截至4月30日，公司通过上海证券交易所交易系统以集中竞价交易方式首次回购公司股份5,249,500股，回购成交的最高价为21.89元/股，最低价为21.53元/股，成交总金额为114,331,449.00元（不含交易佣金等交易费用）。同时，公司控股股东增持最新进展已于公司2023年年度报告中披露。截至公司2023年年报披露时，</w:t>
            </w:r>
            <w:r>
              <w:rPr>
                <w:rFonts w:ascii="宋体" w:hAnsi="宋体" w:eastAsia="宋体" w:cs="宋体"/>
                <w:sz w:val="24"/>
                <w:szCs w:val="24"/>
              </w:rPr>
              <w:t>通威集团有限公司已通过上海证券交易所交易系统以集中竞价交易方式累计增持公司1,692,014股A股股份，增持总金额约为4,021.42万元（不含手续费及过户费）</w:t>
            </w:r>
            <w:r>
              <w:rPr>
                <w:rFonts w:hint="eastAsia"/>
                <w:spacing w:val="-2"/>
                <w:lang w:val="en-US" w:eastAsia="zh-CN"/>
              </w:rPr>
              <w:t>目前，公司及控股股东正积极推进回购及增持相关事项，后续将按照交易所披露规则及时披露进展情况。</w:t>
            </w:r>
          </w:p>
          <w:p>
            <w:pPr>
              <w:pStyle w:val="7"/>
              <w:numPr>
                <w:ilvl w:val="0"/>
                <w:numId w:val="3"/>
              </w:numPr>
              <w:spacing w:before="36" w:line="329" w:lineRule="auto"/>
              <w:ind w:left="113" w:right="105" w:firstLine="503"/>
              <w:jc w:val="both"/>
              <w:rPr>
                <w:rFonts w:hint="eastAsia" w:cs="宋体"/>
                <w:b/>
                <w:bCs/>
                <w:sz w:val="24"/>
                <w:szCs w:val="24"/>
                <w:lang w:val="en-US" w:eastAsia="zh-CN"/>
              </w:rPr>
            </w:pPr>
            <w:r>
              <w:rPr>
                <w:rFonts w:hint="eastAsia" w:cs="宋体"/>
                <w:b/>
                <w:bCs/>
                <w:sz w:val="24"/>
                <w:szCs w:val="24"/>
                <w:lang w:val="en-US" w:eastAsia="zh-CN"/>
              </w:rPr>
              <w:t>公司今年组件海外出货目标？</w:t>
            </w:r>
          </w:p>
          <w:p>
            <w:pPr>
              <w:pStyle w:val="7"/>
              <w:spacing w:before="36" w:line="329" w:lineRule="auto"/>
              <w:ind w:left="113" w:right="105" w:firstLine="503"/>
              <w:jc w:val="both"/>
              <w:rPr>
                <w:rFonts w:hint="default" w:cs="宋体"/>
                <w:sz w:val="24"/>
                <w:szCs w:val="24"/>
                <w:lang w:val="en-US" w:eastAsia="zh-CN"/>
              </w:rPr>
            </w:pPr>
            <w:r>
              <w:rPr>
                <w:spacing w:val="-2"/>
                <w:lang w:eastAsia="zh-CN"/>
              </w:rPr>
              <w:t>答：</w:t>
            </w:r>
            <w:r>
              <w:rPr>
                <w:rFonts w:hint="eastAsia"/>
                <w:spacing w:val="-2"/>
                <w:lang w:val="en-US" w:eastAsia="zh-CN"/>
              </w:rPr>
              <w:t>2023年是公司</w:t>
            </w:r>
            <w:r>
              <w:rPr>
                <w:rFonts w:ascii="宋体" w:hAnsi="宋体" w:eastAsia="宋体" w:cs="宋体"/>
                <w:sz w:val="24"/>
                <w:szCs w:val="24"/>
              </w:rPr>
              <w:t>全面布局组件业务的首个完整经营年度</w:t>
            </w:r>
            <w:r>
              <w:rPr>
                <w:rFonts w:hint="eastAsia"/>
                <w:spacing w:val="-2"/>
                <w:lang w:val="en-US" w:eastAsia="zh-CN"/>
              </w:rPr>
              <w:t>，“通威组件”</w:t>
            </w:r>
            <w:r>
              <w:rPr>
                <w:rFonts w:ascii="宋体" w:hAnsi="宋体" w:eastAsia="宋体" w:cs="宋体"/>
                <w:sz w:val="24"/>
                <w:szCs w:val="24"/>
              </w:rPr>
              <w:t>品牌影响力</w:t>
            </w:r>
            <w:r>
              <w:rPr>
                <w:rFonts w:hint="eastAsia" w:cs="宋体"/>
                <w:sz w:val="24"/>
                <w:szCs w:val="24"/>
                <w:lang w:val="en-US" w:eastAsia="zh-CN"/>
              </w:rPr>
              <w:t>快速</w:t>
            </w:r>
            <w:r>
              <w:rPr>
                <w:rFonts w:ascii="宋体" w:hAnsi="宋体" w:eastAsia="宋体" w:cs="宋体"/>
                <w:sz w:val="24"/>
                <w:szCs w:val="24"/>
              </w:rPr>
              <w:t>提升</w:t>
            </w:r>
            <w:r>
              <w:rPr>
                <w:rFonts w:hint="eastAsia" w:cs="宋体"/>
                <w:sz w:val="24"/>
                <w:szCs w:val="24"/>
                <w:lang w:eastAsia="zh-CN"/>
              </w:rPr>
              <w:t>，</w:t>
            </w:r>
            <w:r>
              <w:rPr>
                <w:rFonts w:hint="eastAsia" w:cs="宋体"/>
                <w:sz w:val="24"/>
                <w:szCs w:val="24"/>
                <w:lang w:val="en-US" w:eastAsia="zh-CN"/>
              </w:rPr>
              <w:t>全年实现销量31.11GW，海外市场拓展也可圈可点，取得了超20份</w:t>
            </w:r>
            <w:r>
              <w:rPr>
                <w:rFonts w:ascii="宋体" w:hAnsi="宋体" w:eastAsia="宋体" w:cs="宋体"/>
                <w:sz w:val="24"/>
                <w:szCs w:val="24"/>
              </w:rPr>
              <w:t>国别认证，并导入国际知名客户，完成首个100MW海外地面电站等重点项目签约</w:t>
            </w:r>
            <w:r>
              <w:rPr>
                <w:rFonts w:hint="eastAsia" w:cs="宋体"/>
                <w:sz w:val="24"/>
                <w:szCs w:val="24"/>
                <w:lang w:val="en-US" w:eastAsia="zh-CN"/>
              </w:rPr>
              <w:t>。根据公司</w:t>
            </w:r>
            <w:r>
              <w:rPr>
                <w:rFonts w:hint="eastAsia"/>
                <w:spacing w:val="-2"/>
                <w:lang w:val="en-US" w:eastAsia="zh-CN"/>
              </w:rPr>
              <w:t>2024年经营计划，全年组件出货目标为50GW，其中力争海外市场出货占比实现同比提升。</w:t>
            </w:r>
          </w:p>
        </w:tc>
      </w:tr>
    </w:tbl>
    <w:p>
      <w:pPr>
        <w:spacing w:line="91" w:lineRule="auto"/>
        <w:rPr>
          <w:sz w:val="2"/>
          <w:lang w:eastAsia="zh-CN"/>
        </w:rPr>
      </w:pPr>
      <w:bookmarkStart w:id="0" w:name="_GoBack"/>
      <w:bookmarkEnd w:id="0"/>
    </w:p>
    <w:sectPr>
      <w:pgSz w:w="11907" w:h="16839"/>
      <w:pgMar w:top="1431" w:right="1785" w:bottom="0" w:left="1785"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Narrow">
    <w:panose1 w:val="020B0606020202030204"/>
    <w:charset w:val="00"/>
    <w:family w:val="auto"/>
    <w:pitch w:val="default"/>
    <w:sig w:usb0="00000287" w:usb1="00000800" w:usb2="00000000" w:usb3="00000000" w:csb0="2000009F" w:csb1="DFD7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84541E"/>
    <w:multiLevelType w:val="singleLevel"/>
    <w:tmpl w:val="B184541E"/>
    <w:lvl w:ilvl="0" w:tentative="0">
      <w:start w:val="2"/>
      <w:numFmt w:val="decimal"/>
      <w:suff w:val="nothing"/>
      <w:lvlText w:val="%1、"/>
      <w:lvlJc w:val="left"/>
    </w:lvl>
  </w:abstractNum>
  <w:abstractNum w:abstractNumId="1">
    <w:nsid w:val="30EC01F0"/>
    <w:multiLevelType w:val="multilevel"/>
    <w:tmpl w:val="30EC01F0"/>
    <w:lvl w:ilvl="0" w:tentative="0">
      <w:start w:val="1"/>
      <w:numFmt w:val="decimal"/>
      <w:lvlText w:val="%1."/>
      <w:lvlJc w:val="left"/>
      <w:pPr>
        <w:ind w:left="496" w:hanging="360"/>
      </w:pPr>
      <w:rPr>
        <w:rFonts w:hint="default"/>
      </w:rPr>
    </w:lvl>
    <w:lvl w:ilvl="1" w:tentative="0">
      <w:start w:val="1"/>
      <w:numFmt w:val="lowerLetter"/>
      <w:lvlText w:val="%2)"/>
      <w:lvlJc w:val="left"/>
      <w:pPr>
        <w:ind w:left="1016" w:hanging="440"/>
      </w:pPr>
    </w:lvl>
    <w:lvl w:ilvl="2" w:tentative="0">
      <w:start w:val="1"/>
      <w:numFmt w:val="lowerRoman"/>
      <w:lvlText w:val="%3."/>
      <w:lvlJc w:val="right"/>
      <w:pPr>
        <w:ind w:left="1456" w:hanging="440"/>
      </w:pPr>
    </w:lvl>
    <w:lvl w:ilvl="3" w:tentative="0">
      <w:start w:val="1"/>
      <w:numFmt w:val="decimal"/>
      <w:lvlText w:val="%4."/>
      <w:lvlJc w:val="left"/>
      <w:pPr>
        <w:ind w:left="1896" w:hanging="440"/>
      </w:pPr>
    </w:lvl>
    <w:lvl w:ilvl="4" w:tentative="0">
      <w:start w:val="1"/>
      <w:numFmt w:val="lowerLetter"/>
      <w:lvlText w:val="%5)"/>
      <w:lvlJc w:val="left"/>
      <w:pPr>
        <w:ind w:left="2336" w:hanging="440"/>
      </w:pPr>
    </w:lvl>
    <w:lvl w:ilvl="5" w:tentative="0">
      <w:start w:val="1"/>
      <w:numFmt w:val="lowerRoman"/>
      <w:lvlText w:val="%6."/>
      <w:lvlJc w:val="right"/>
      <w:pPr>
        <w:ind w:left="2776" w:hanging="440"/>
      </w:pPr>
    </w:lvl>
    <w:lvl w:ilvl="6" w:tentative="0">
      <w:start w:val="1"/>
      <w:numFmt w:val="decimal"/>
      <w:lvlText w:val="%7."/>
      <w:lvlJc w:val="left"/>
      <w:pPr>
        <w:ind w:left="3216" w:hanging="440"/>
      </w:pPr>
    </w:lvl>
    <w:lvl w:ilvl="7" w:tentative="0">
      <w:start w:val="1"/>
      <w:numFmt w:val="lowerLetter"/>
      <w:lvlText w:val="%8)"/>
      <w:lvlJc w:val="left"/>
      <w:pPr>
        <w:ind w:left="3656" w:hanging="440"/>
      </w:pPr>
    </w:lvl>
    <w:lvl w:ilvl="8" w:tentative="0">
      <w:start w:val="1"/>
      <w:numFmt w:val="lowerRoman"/>
      <w:lvlText w:val="%9."/>
      <w:lvlJc w:val="right"/>
      <w:pPr>
        <w:ind w:left="4096" w:hanging="440"/>
      </w:pPr>
    </w:lvl>
  </w:abstractNum>
  <w:abstractNum w:abstractNumId="2">
    <w:nsid w:val="64133245"/>
    <w:multiLevelType w:val="singleLevel"/>
    <w:tmpl w:val="64133245"/>
    <w:lvl w:ilvl="0" w:tentative="0">
      <w:start w:val="7"/>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jIyY2ZmMWE0OGYwN2MxZDFiZGYyNzEwMTMzYTYyZTIifQ=="/>
  </w:docVars>
  <w:rsids>
    <w:rsidRoot w:val="00132B6D"/>
    <w:rsid w:val="00132B6D"/>
    <w:rsid w:val="00331F12"/>
    <w:rsid w:val="003A6CFD"/>
    <w:rsid w:val="00683645"/>
    <w:rsid w:val="007F42C5"/>
    <w:rsid w:val="0091362C"/>
    <w:rsid w:val="009F4741"/>
    <w:rsid w:val="00A9039C"/>
    <w:rsid w:val="00AB4538"/>
    <w:rsid w:val="00C317EF"/>
    <w:rsid w:val="00C429A0"/>
    <w:rsid w:val="00C508A0"/>
    <w:rsid w:val="00E051F7"/>
    <w:rsid w:val="00EE2C33"/>
    <w:rsid w:val="00F72996"/>
    <w:rsid w:val="00F979D6"/>
    <w:rsid w:val="0B225DFB"/>
    <w:rsid w:val="12C63575"/>
    <w:rsid w:val="180327A7"/>
    <w:rsid w:val="18B01199"/>
    <w:rsid w:val="25D063A7"/>
    <w:rsid w:val="300F4032"/>
    <w:rsid w:val="37965BD5"/>
    <w:rsid w:val="3B507E5D"/>
    <w:rsid w:val="3B77553C"/>
    <w:rsid w:val="3DEE79DD"/>
    <w:rsid w:val="41647664"/>
    <w:rsid w:val="54CA6DEF"/>
    <w:rsid w:val="587E2868"/>
    <w:rsid w:val="65D75D9B"/>
    <w:rsid w:val="66522FDF"/>
    <w:rsid w:val="6DD16EDF"/>
    <w:rsid w:val="79CB43E5"/>
    <w:rsid w:val="7CD05C51"/>
    <w:rsid w:val="7E800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pPr>
    <w:rPr>
      <w:sz w:val="18"/>
      <w:szCs w:val="18"/>
    </w:rPr>
  </w:style>
  <w:style w:type="paragraph" w:styleId="3">
    <w:name w:val="header"/>
    <w:basedOn w:val="1"/>
    <w:link w:val="8"/>
    <w:autoRedefine/>
    <w:unhideWhenUsed/>
    <w:qFormat/>
    <w:uiPriority w:val="99"/>
    <w:pPr>
      <w:tabs>
        <w:tab w:val="center" w:pos="4153"/>
        <w:tab w:val="right" w:pos="8306"/>
      </w:tabs>
      <w:jc w:val="center"/>
    </w:pPr>
    <w:rPr>
      <w:sz w:val="18"/>
      <w:szCs w:val="18"/>
    </w:rPr>
  </w:style>
  <w:style w:type="table" w:customStyle="1" w:styleId="6">
    <w:name w:val="Table Normal"/>
    <w:autoRedefine/>
    <w:semiHidden/>
    <w:unhideWhenUsed/>
    <w:qFormat/>
    <w:uiPriority w:val="0"/>
    <w:tblPr>
      <w:tblCellMar>
        <w:top w:w="0" w:type="dxa"/>
        <w:left w:w="0" w:type="dxa"/>
        <w:bottom w:w="0" w:type="dxa"/>
        <w:right w:w="0" w:type="dxa"/>
      </w:tblCellMar>
    </w:tblPr>
  </w:style>
  <w:style w:type="paragraph" w:customStyle="1" w:styleId="7">
    <w:name w:val="Table Text"/>
    <w:basedOn w:val="1"/>
    <w:autoRedefine/>
    <w:semiHidden/>
    <w:qFormat/>
    <w:uiPriority w:val="0"/>
    <w:rPr>
      <w:rFonts w:ascii="宋体" w:hAnsi="宋体" w:eastAsia="宋体" w:cs="宋体"/>
      <w:sz w:val="24"/>
      <w:szCs w:val="24"/>
    </w:rPr>
  </w:style>
  <w:style w:type="character" w:customStyle="1" w:styleId="8">
    <w:name w:val="页眉 字符"/>
    <w:basedOn w:val="5"/>
    <w:link w:val="3"/>
    <w:autoRedefine/>
    <w:qFormat/>
    <w:uiPriority w:val="99"/>
    <w:rPr>
      <w:sz w:val="18"/>
      <w:szCs w:val="18"/>
    </w:rPr>
  </w:style>
  <w:style w:type="character" w:customStyle="1" w:styleId="9">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955</Words>
  <Characters>976</Characters>
  <Lines>33</Lines>
  <Paragraphs>17</Paragraphs>
  <TotalTime>0</TotalTime>
  <ScaleCrop>false</ScaleCrop>
  <LinksUpToDate>false</LinksUpToDate>
  <CharactersWithSpaces>1914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2022-05-06T15:20:00Z</dcterms:created>
  <dc:creator>毋晓妮</dc:creator>
  <cp:lastModifiedBy>何卓佳</cp:lastModifiedBy>
  <cp:lastPrinted>2024-06-04T09:34:00Z</cp:lastPrinted>
  <dcterms:modified xsi:type="dcterms:W3CDTF">2024-06-04T09:55:14Z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2024-05-03T16:40:34Z</vt:filetime>
  </property>
  <property fmtid="{D5CDD505-2E9C-101B-9397-08002B2CF9AE}" pid="4" name="KSOProductBuildVer">
    <vt:lpwstr>2052-12.1.0.16120</vt:lpwstr>
  </property>
  <property fmtid="{D5CDD505-2E9C-101B-9397-08002B2CF9AE}" pid="5" name="ICV">
    <vt:lpwstr>75AECEDDCD4B4B04B0EA38A388C315CF_13</vt:lpwstr>
  </property>
</Properties>
</file>