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600506                             </w:t>
      </w:r>
      <w:r>
        <w:rPr>
          <w:rFonts w:hAnsi="宋体"/>
          <w:bCs/>
          <w:iCs/>
          <w:color w:val="000000"/>
          <w:sz w:val="24"/>
        </w:rPr>
        <w:t>证券简称：</w:t>
      </w:r>
      <w:r>
        <w:rPr>
          <w:color w:val="000000"/>
          <w:sz w:val="24"/>
        </w:rPr>
        <w:t>统一股份</w:t>
      </w:r>
    </w:p>
    <w:p>
      <w:pPr>
        <w:spacing w:before="156" w:beforeLines="50" w:after="156" w:afterLines="50" w:line="400" w:lineRule="exact"/>
        <w:jc w:val="center"/>
        <w:rPr>
          <w:rFonts w:hint="eastAsia" w:ascii="宋体" w:hAnsi="宋体"/>
          <w:b/>
          <w:bCs/>
          <w:iCs/>
          <w:color w:val="000000"/>
          <w:sz w:val="32"/>
          <w:szCs w:val="32"/>
        </w:rPr>
      </w:pPr>
      <w:r>
        <w:rPr>
          <w:rFonts w:hint="default" w:ascii="宋体" w:hAnsi="宋体"/>
          <w:b/>
          <w:bCs/>
          <w:iCs/>
          <w:color w:val="000000"/>
          <w:sz w:val="32"/>
          <w:szCs w:val="32"/>
        </w:rPr>
        <w:t>统一低碳科技</w:t>
      </w:r>
      <w:r>
        <w:rPr>
          <w:rFonts w:hint="eastAsia" w:ascii="宋体" w:hAnsi="宋体"/>
          <w:b/>
          <w:bCs/>
          <w:iCs/>
          <w:color w:val="000000"/>
          <w:sz w:val="32"/>
          <w:szCs w:val="32"/>
          <w:lang w:eastAsia="zh-CN"/>
        </w:rPr>
        <w:t>（</w:t>
      </w:r>
      <w:r>
        <w:rPr>
          <w:rFonts w:hint="default" w:ascii="宋体" w:hAnsi="宋体"/>
          <w:b/>
          <w:bCs/>
          <w:iCs/>
          <w:color w:val="000000"/>
          <w:sz w:val="32"/>
          <w:szCs w:val="32"/>
        </w:rPr>
        <w:t>新疆</w:t>
      </w:r>
      <w:r>
        <w:rPr>
          <w:rFonts w:hint="eastAsia" w:ascii="宋体" w:hAnsi="宋体"/>
          <w:b/>
          <w:bCs/>
          <w:iCs/>
          <w:color w:val="000000"/>
          <w:sz w:val="32"/>
          <w:szCs w:val="32"/>
          <w:lang w:eastAsia="zh-CN"/>
        </w:rPr>
        <w:t>）</w:t>
      </w:r>
      <w:r>
        <w:rPr>
          <w:rFonts w:hint="default" w:ascii="宋体" w:hAnsi="宋体"/>
          <w:b/>
          <w:bCs/>
          <w:iCs/>
          <w:color w:val="000000"/>
          <w:sz w:val="32"/>
          <w:szCs w:val="32"/>
        </w:rPr>
        <w:t>股份有限公司</w:t>
      </w: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bCs/>
                <w:iCs/>
                <w:color w:val="000000"/>
                <w:sz w:val="24"/>
                <w:lang w:val="en-GB"/>
              </w:rPr>
            </w:pPr>
            <w:r>
              <w:rPr>
                <w:rFonts w:hint="eastAsia"/>
                <w:bCs/>
                <w:iCs/>
                <w:color w:val="000000"/>
                <w:sz w:val="24"/>
                <w:lang w:val="en-GB"/>
              </w:rPr>
              <w:t>投资者网上提问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sz w:val="24"/>
              </w:rPr>
              <w:t>2024年6月14日 (周五) 下午 1</w:t>
            </w:r>
            <w:r>
              <w:rPr>
                <w:rFonts w:hint="eastAsia"/>
                <w:bCs/>
                <w:iCs/>
                <w:color w:val="000000"/>
                <w:sz w:val="24"/>
                <w:lang w:val="en-US" w:eastAsia="zh-CN"/>
              </w:rPr>
              <w:t>6</w:t>
            </w:r>
            <w:r>
              <w:rPr>
                <w:bCs/>
                <w:iCs/>
                <w:color w:val="000000"/>
                <w:sz w:val="24"/>
              </w:rPr>
              <w:t>:00~18:00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rFonts w:ascii="宋体" w:hAnsi="宋体"/>
                <w:sz w:val="24"/>
              </w:rPr>
              <w:t>公司通过</w:t>
            </w:r>
            <w:r>
              <w:rPr>
                <w:rFonts w:hint="eastAsia" w:ascii="宋体" w:hAnsi="宋体"/>
                <w:bCs/>
                <w:sz w:val="24"/>
              </w:rPr>
              <w:t>全景网“</w:t>
            </w:r>
            <w:r>
              <w:rPr>
                <w:rFonts w:ascii="宋体" w:hAnsi="宋体" w:eastAsia="宋体" w:cs="宋体"/>
                <w:sz w:val="24"/>
                <w:szCs w:val="24"/>
              </w:rPr>
              <w:t>投资者关系互动平台</w:t>
            </w:r>
            <w:r>
              <w:rPr>
                <w:rFonts w:hint="eastAsia" w:ascii="宋体" w:hAnsi="宋体"/>
                <w:bCs/>
                <w:sz w:val="24"/>
              </w:rPr>
              <w:t>”（http</w:t>
            </w:r>
            <w:r>
              <w:rPr>
                <w:rFonts w:hint="default" w:ascii="宋体" w:hAnsi="宋体"/>
                <w:bCs/>
                <w:sz w:val="24"/>
              </w:rPr>
              <w:t>s</w:t>
            </w:r>
            <w:r>
              <w:rPr>
                <w:rFonts w:hint="eastAsia" w:ascii="宋体" w:hAnsi="宋体"/>
                <w:bCs/>
                <w:sz w:val="24"/>
              </w:rPr>
              <w:t>://</w:t>
            </w:r>
            <w:r>
              <w:rPr>
                <w:rFonts w:hint="eastAsia" w:ascii="宋体" w:hAnsi="宋体"/>
                <w:bCs/>
                <w:sz w:val="24"/>
                <w:lang w:val="en-US" w:eastAsia="zh-CN"/>
              </w:rPr>
              <w:t>ir</w:t>
            </w:r>
            <w:r>
              <w:rPr>
                <w:rFonts w:hint="eastAsia" w:ascii="宋体" w:hAnsi="宋体"/>
                <w:bCs/>
                <w:sz w:val="24"/>
              </w:rPr>
              <w:t>.p5w.net）采用网络远程的方式</w:t>
            </w:r>
            <w:r>
              <w:rPr>
                <w:rFonts w:ascii="宋体" w:hAnsi="宋体"/>
                <w:sz w:val="24"/>
              </w:rPr>
              <w:t>召开</w:t>
            </w:r>
            <w:r>
              <w:rPr>
                <w:rFonts w:hint="eastAsia" w:ascii="宋体" w:hAnsi="宋体"/>
                <w:sz w:val="24"/>
              </w:rPr>
              <w:t>业绩</w:t>
            </w:r>
            <w:r>
              <w:rPr>
                <w:rFonts w:ascii="宋体" w:hAnsi="宋体"/>
                <w:sz w:val="24"/>
              </w:rPr>
              <w:t>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bCs/>
                <w:sz w:val="24"/>
              </w:rPr>
            </w:pPr>
            <w:r>
              <w:rPr>
                <w:rFonts w:hint="default" w:ascii="宋体" w:hAnsi="宋体"/>
                <w:bCs/>
                <w:sz w:val="24"/>
              </w:rPr>
              <w:t>1、董事长</w:t>
            </w:r>
            <w:r>
              <w:rPr>
                <w:rFonts w:hint="eastAsia" w:ascii="宋体" w:hAnsi="宋体"/>
                <w:bCs/>
                <w:sz w:val="24"/>
                <w:lang w:val="en-US" w:eastAsia="zh-CN"/>
              </w:rPr>
              <w:t>：</w:t>
            </w:r>
            <w:r>
              <w:rPr>
                <w:rFonts w:hint="default" w:ascii="宋体" w:hAnsi="宋体"/>
                <w:bCs/>
                <w:sz w:val="24"/>
              </w:rPr>
              <w:t>周恩鸿</w:t>
            </w:r>
          </w:p>
          <w:p>
            <w:pPr>
              <w:spacing w:line="420" w:lineRule="exact"/>
              <w:rPr>
                <w:rFonts w:hint="default" w:ascii="宋体" w:hAnsi="宋体"/>
                <w:bCs/>
                <w:sz w:val="24"/>
              </w:rPr>
            </w:pPr>
            <w:r>
              <w:rPr>
                <w:rFonts w:hint="default" w:ascii="宋体" w:hAnsi="宋体"/>
                <w:bCs/>
                <w:sz w:val="24"/>
              </w:rPr>
              <w:t>2、董事、总经理</w:t>
            </w:r>
            <w:r>
              <w:rPr>
                <w:rFonts w:hint="eastAsia" w:ascii="宋体" w:hAnsi="宋体"/>
                <w:bCs/>
                <w:sz w:val="24"/>
                <w:lang w:val="en-US" w:eastAsia="zh-CN"/>
              </w:rPr>
              <w:t>：</w:t>
            </w:r>
            <w:r>
              <w:rPr>
                <w:rFonts w:hint="default" w:ascii="宋体" w:hAnsi="宋体"/>
                <w:bCs/>
                <w:sz w:val="24"/>
              </w:rPr>
              <w:t>李嘉</w:t>
            </w:r>
          </w:p>
          <w:p>
            <w:pPr>
              <w:spacing w:line="420" w:lineRule="exact"/>
              <w:rPr>
                <w:rFonts w:hint="default" w:ascii="宋体" w:hAnsi="宋体"/>
                <w:bCs/>
                <w:sz w:val="24"/>
              </w:rPr>
            </w:pPr>
            <w:r>
              <w:rPr>
                <w:rFonts w:hint="default" w:ascii="宋体" w:hAnsi="宋体"/>
                <w:bCs/>
                <w:sz w:val="24"/>
              </w:rPr>
              <w:t>3、副总经理、董事会秘书</w:t>
            </w:r>
            <w:r>
              <w:rPr>
                <w:rFonts w:hint="eastAsia" w:ascii="宋体" w:hAnsi="宋体"/>
                <w:bCs/>
                <w:sz w:val="24"/>
                <w:lang w:val="en-US" w:eastAsia="zh-CN"/>
              </w:rPr>
              <w:t>：</w:t>
            </w:r>
            <w:r>
              <w:rPr>
                <w:rFonts w:hint="default" w:ascii="宋体" w:hAnsi="宋体"/>
                <w:bCs/>
                <w:sz w:val="24"/>
              </w:rPr>
              <w:t>阿尔斯兰·阿迪里</w:t>
            </w:r>
          </w:p>
          <w:p>
            <w:pPr>
              <w:spacing w:line="420" w:lineRule="exact"/>
              <w:rPr>
                <w:rFonts w:hint="default" w:ascii="宋体" w:hAnsi="宋体"/>
                <w:bCs/>
                <w:sz w:val="24"/>
              </w:rPr>
            </w:pPr>
            <w:r>
              <w:rPr>
                <w:rFonts w:hint="default" w:ascii="宋体" w:hAnsi="宋体"/>
                <w:bCs/>
                <w:sz w:val="24"/>
              </w:rPr>
              <w:t>4、董事、副</w:t>
            </w:r>
            <w:r>
              <w:rPr>
                <w:rFonts w:hint="default" w:ascii="宋体" w:hAnsi="宋体"/>
                <w:bCs/>
                <w:sz w:val="24"/>
                <w:lang w:val="en-US"/>
              </w:rPr>
              <w:t>总经</w:t>
            </w:r>
            <w:r>
              <w:rPr>
                <w:rFonts w:hint="default" w:ascii="宋体" w:hAnsi="宋体"/>
                <w:bCs/>
                <w:sz w:val="24"/>
              </w:rPr>
              <w:t>理、财务负责人</w:t>
            </w:r>
            <w:r>
              <w:rPr>
                <w:rFonts w:hint="eastAsia" w:ascii="宋体" w:hAnsi="宋体"/>
                <w:bCs/>
                <w:sz w:val="24"/>
                <w:lang w:val="en-US" w:eastAsia="zh-CN"/>
              </w:rPr>
              <w:t>：</w:t>
            </w:r>
            <w:r>
              <w:rPr>
                <w:rFonts w:hint="default" w:ascii="宋体" w:hAnsi="宋体"/>
                <w:bCs/>
                <w:sz w:val="24"/>
              </w:rPr>
              <w:t>岳鹏</w:t>
            </w:r>
          </w:p>
          <w:p>
            <w:pPr>
              <w:spacing w:line="420" w:lineRule="exact"/>
              <w:rPr>
                <w:rFonts w:hint="default" w:ascii="宋体" w:hAnsi="宋体"/>
                <w:bCs/>
                <w:sz w:val="24"/>
              </w:rPr>
            </w:pPr>
            <w:r>
              <w:rPr>
                <w:rFonts w:hint="default" w:ascii="宋体" w:hAnsi="宋体"/>
                <w:bCs/>
                <w:sz w:val="24"/>
              </w:rPr>
              <w:t>5、董事会办公室副经理</w:t>
            </w:r>
            <w:r>
              <w:rPr>
                <w:rFonts w:hint="eastAsia" w:ascii="宋体" w:hAnsi="宋体"/>
                <w:bCs/>
                <w:sz w:val="24"/>
                <w:lang w:val="en-US" w:eastAsia="zh-CN"/>
              </w:rPr>
              <w:t>：</w:t>
            </w:r>
            <w:r>
              <w:rPr>
                <w:rFonts w:hint="default" w:ascii="宋体" w:hAnsi="宋体"/>
                <w:bCs/>
                <w:sz w:val="24"/>
              </w:rPr>
              <w:t>鲁金华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before="156" w:beforeLines="50" w:line="460" w:lineRule="exact"/>
              <w:ind w:firstLine="600" w:firstLineChars="249"/>
              <w:rPr>
                <w:rFonts w:ascii="宋体" w:hAnsi="宋体"/>
                <w:b/>
                <w:sz w:val="24"/>
              </w:rPr>
            </w:pPr>
            <w:r>
              <w:rPr>
                <w:rFonts w:ascii="宋体" w:hAnsi="宋体"/>
                <w:b/>
                <w:sz w:val="24"/>
              </w:rPr>
              <w:t>投资者提出的问题及公司回复情况</w:t>
            </w:r>
          </w:p>
          <w:p>
            <w:pPr>
              <w:spacing w:line="460" w:lineRule="exact"/>
              <w:ind w:firstLine="480" w:firstLineChars="200"/>
              <w:rPr>
                <w:rFonts w:ascii="宋体" w:hAnsi="宋体"/>
                <w:sz w:val="24"/>
              </w:rPr>
            </w:pPr>
            <w:r>
              <w:rPr>
                <w:rFonts w:ascii="宋体" w:hAnsi="宋体"/>
                <w:sz w:val="24"/>
              </w:rPr>
              <w:t xml:space="preserve"> </w:t>
            </w:r>
            <w:r>
              <w:rPr>
                <w:rFonts w:ascii="宋体" w:hAnsi="宋体" w:eastAsia="宋体" w:cs="宋体"/>
                <w:sz w:val="24"/>
              </w:rPr>
              <w:t>公司就投资者在本次说明会中提出的问题进行了回复：</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1、公司主营业务中，润滑油脂收入占比较大，同比增长10.23%，请问公司在润滑油脂领域有哪些竞争优势？</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尊敬的投资者，感谢您的关注</w:t>
            </w:r>
            <w:r>
              <w:rPr>
                <w:rFonts w:hint="eastAsia" w:ascii="宋体" w:hAnsi="宋体"/>
                <w:sz w:val="24"/>
                <w:szCs w:val="24"/>
                <w:lang w:eastAsia="zh-CN"/>
              </w:rPr>
              <w:t>！</w:t>
            </w:r>
            <w:r>
              <w:rPr>
                <w:rFonts w:hint="default" w:ascii="宋体" w:hAnsi="宋体"/>
                <w:sz w:val="24"/>
                <w:szCs w:val="24"/>
              </w:rPr>
              <w:t>公司产品包括传统润滑油液和新能源行业液冷及特种油脂，即对交通运输、工业制造及电力、工程机械及矿业、农业机械、数据中心、通讯基站等行业客户，公司向其提供传统润滑油、液产品和低碳油液产品；对新能源汽车、充电站桩、可再生能源、储能等新能源行业客户，公司向其提供新能源行业适用的液冷和特种油脂产品。</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2、公司在研发和创新方面的投入如何？有哪些关键研发项目正在进行？</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感谢您的关注！2023年投入研究开发费用1,784.82万元，全部为统一石化的研发投入。统一石化技术部全年在研项目14项，研发投入主要内容为研发用原材料的采购、低碳及相关新配方的开发、新材料验证、实验室研发实验设备、国内外认证、研发科技人员工资薪金及研发相关检验测试费用等。</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3、公司作为冷却液标准起草单位，冷却液出货量多少。合作单位有宁德时代，比亚迪，赛力斯，特斯拉吗</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w:t>
            </w:r>
            <w:r>
              <w:rPr>
                <w:rFonts w:hint="eastAsia" w:ascii="宋体" w:hAnsi="宋体"/>
                <w:sz w:val="24"/>
                <w:szCs w:val="24"/>
                <w:lang w:eastAsia="zh-CN"/>
              </w:rPr>
              <w:t>！</w:t>
            </w:r>
            <w:r>
              <w:rPr>
                <w:rFonts w:hint="default" w:ascii="宋体" w:hAnsi="宋体"/>
                <w:sz w:val="24"/>
                <w:szCs w:val="24"/>
              </w:rPr>
              <w:t>请您关注公司定期报告的管理层讨论与分析中关于产品经营情况等相关信息的内容。</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4、年会说信达专门安排人对接信达参股企业，帮助统一销售，现在成果怎样</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w:t>
            </w:r>
            <w:r>
              <w:rPr>
                <w:rFonts w:hint="eastAsia" w:ascii="宋体" w:hAnsi="宋体"/>
                <w:sz w:val="24"/>
                <w:szCs w:val="24"/>
                <w:lang w:eastAsia="zh-CN"/>
              </w:rPr>
              <w:t>！</w:t>
            </w:r>
            <w:r>
              <w:rPr>
                <w:rFonts w:hint="default" w:ascii="宋体" w:hAnsi="宋体"/>
                <w:sz w:val="24"/>
                <w:szCs w:val="24"/>
              </w:rPr>
              <w:t>有关工作正在稳步推进和对接。感谢您的关注。</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5、统一股份在低碳发展战略上取得了哪些进展？如何通过低碳业务优化产品结构？</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w:t>
            </w:r>
            <w:r>
              <w:rPr>
                <w:rFonts w:hint="eastAsia" w:ascii="宋体" w:hAnsi="宋体"/>
                <w:sz w:val="24"/>
                <w:szCs w:val="24"/>
                <w:lang w:eastAsia="zh-CN"/>
              </w:rPr>
              <w:t>！</w:t>
            </w:r>
            <w:r>
              <w:rPr>
                <w:rFonts w:hint="default" w:ascii="宋体" w:hAnsi="宋体"/>
                <w:sz w:val="24"/>
                <w:szCs w:val="24"/>
              </w:rPr>
              <w:t>相关内容</w:t>
            </w:r>
            <w:r>
              <w:rPr>
                <w:rFonts w:hint="eastAsia" w:ascii="宋体" w:hAnsi="宋体"/>
                <w:sz w:val="24"/>
                <w:szCs w:val="24"/>
                <w:lang w:val="en-US" w:eastAsia="zh-CN"/>
              </w:rPr>
              <w:t>已</w:t>
            </w:r>
            <w:r>
              <w:rPr>
                <w:rFonts w:hint="default" w:ascii="宋体" w:hAnsi="宋体"/>
                <w:sz w:val="24"/>
                <w:szCs w:val="24"/>
              </w:rPr>
              <w:t>在公司年度报告</w:t>
            </w:r>
            <w:r>
              <w:rPr>
                <w:rFonts w:hint="eastAsia" w:ascii="宋体" w:hAnsi="宋体"/>
                <w:sz w:val="24"/>
                <w:szCs w:val="24"/>
                <w:lang w:val="en-US" w:eastAsia="zh-CN"/>
              </w:rPr>
              <w:t>中</w:t>
            </w:r>
            <w:r>
              <w:rPr>
                <w:rFonts w:hint="default" w:ascii="宋体" w:hAnsi="宋体"/>
                <w:sz w:val="24"/>
                <w:szCs w:val="24"/>
              </w:rPr>
              <w:t>经营分析等内容予以阐述，请您关注公司年报。</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6、你好，冷却液测试和业务进展情况如何，未来冷却液是公司的大方向吗？准备侧重哪方面发展？公司的长期债务和短期债务怎么优化，负债率今年会降下来吗，会降多少？</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w:t>
            </w:r>
            <w:r>
              <w:rPr>
                <w:rFonts w:hint="eastAsia" w:ascii="宋体" w:hAnsi="宋体"/>
                <w:sz w:val="24"/>
                <w:szCs w:val="24"/>
                <w:lang w:eastAsia="zh-CN"/>
              </w:rPr>
              <w:t>！</w:t>
            </w:r>
            <w:r>
              <w:rPr>
                <w:rFonts w:hint="default" w:ascii="宋体" w:hAnsi="宋体"/>
                <w:sz w:val="24"/>
                <w:szCs w:val="24"/>
              </w:rPr>
              <w:t>冷液是公司重要发展的方向之一，公司的产品经营情况、整体经营结果和财务数据请看公司定期报告。</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7、请问统一股份采取什么措施降低负债额？在新能源领域何时能量产贡献收入？</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w:t>
            </w:r>
            <w:r>
              <w:rPr>
                <w:rFonts w:hint="eastAsia" w:ascii="宋体" w:hAnsi="宋体"/>
                <w:sz w:val="24"/>
                <w:szCs w:val="24"/>
                <w:lang w:eastAsia="zh-CN"/>
              </w:rPr>
              <w:t>！</w:t>
            </w:r>
            <w:r>
              <w:rPr>
                <w:rFonts w:hint="default" w:ascii="宋体" w:hAnsi="宋体"/>
                <w:sz w:val="24"/>
                <w:szCs w:val="24"/>
              </w:rPr>
              <w:t>公司通过做好经营业务等方式改善公司负债情况。相关领域收入情况请您关注公司的定期报告。</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8、向中国中车供货了吗？出货量多少</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尊敬投资者，您好！感谢您的关注。</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9、2023年回答说和华为的合作在谈。现在2024年了，结果怎样？</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尊敬的投资者，您好！液冷产品没有为华为供货。感谢您的关注。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10、服务器液冷出货了吗？有供货华为吗？</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尊敬的投资者，您好！液冷产品没有为华为供货。感谢您的关注。</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11、冷却液测试和业务进展情况如何，未来冷却液是公司的大方向吗？准备侧重哪方面发展？</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尊敬的投资者，您好！冷液是公司业务发展的重要方向之一。感谢您的关注。</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12、现在新能源汽车发展迅速，请问公司在用于燃油车和电动车的产品收入占比各为多少？有无对未来发展的策略性思考？</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尊敬的投资者，您好！关于公司产品收入占比等数据请关注公司定期报告。公司相应的战略规划会通过董事会审议和披露。感谢您的关注。</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13、李总，你好，随着新能源车市场份额越来越大，公司积极布局新能源车冷却液，并且联合交通部参与制定了行业标准，请问相关方面准则预计什么时候可以制定出来？</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尊敬的投资者，您好！行业标准正在制定阶段，后续结果请关注标准制定机构官方披露信息。</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14、统一股份在供应链管理上有哪些创新或优化措施？</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为应对供应市场变化，公司一直在推动从传统采购向战略采购转型，构建与关键供应商的长期战略合作关系，共同探索成本节约与技术革新路径。通过前瞻分析市场动态，提前布局关键环节的采购策略，我们强化供应链的灵活性与韧性，并持续优化成本结构。同时，公司持续推进采购系统全面数字化，包括部署行业领先的电子竞价平台等，实施智能化比价分析，从而提升采购效率并降低了人为误差，实现了资源的精细化配置与管理效能提升。此外，公司积极将可持续发展融入采购实践，成功构建并获得了由权威机构BSI认证的ISO 20400可持续采购体系。该体系确保从采购源头到供应链终端，每一个环节均遵循可持续原则，巩固了供应链的可持续性，提升品牌形象，还有效降低了风险，平衡了市场需求与社会责任。</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15、公司的员工总数在2023年末为868人，人均创收和人均薪酬分别增长25.98%和18.79%，请问公司如何评估员工的绩效和激励政策？</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尊敬的投资者，您好！员工薪酬及考核请查阅公司2023年年度报告中“第四节 公司治理 薪酬政策”，感谢您的关注。</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16、公司主营业务是石化行业，根据彭博报道壳牌，嘉实，美孚多等同业公司  都已经积极布局新能源冷却液赛道，并且量产出多类产品。公司北京地域的统一石化主营</w:t>
            </w:r>
            <w:r>
              <w:rPr>
                <w:rFonts w:hint="default" w:ascii="宋体" w:hAnsi="宋体"/>
                <w:b/>
                <w:sz w:val="24"/>
                <w:szCs w:val="24"/>
                <w:lang w:val="en-US"/>
              </w:rPr>
              <w:t>收入</w:t>
            </w:r>
            <w:r>
              <w:rPr>
                <w:rFonts w:hint="default" w:ascii="宋体" w:hAnsi="宋体"/>
                <w:b/>
                <w:sz w:val="24"/>
                <w:szCs w:val="24"/>
              </w:rPr>
              <w:t>占比高，新疆地域业务占比低，董秘并不在北京办公，公司为什么不摒弃新疆没有实质性的业务，精兵简政？公司证代给予投资者的答复，与贵公司李嘉李总对外口径有出入。贵司的新能源冷却液，和数据中心冷却液，还需多久时间通过厂商验证？</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尊敬的投资者，您好！感谢您的建议，我们会转达</w:t>
            </w:r>
            <w:bookmarkStart w:id="0" w:name="_GoBack"/>
            <w:bookmarkEnd w:id="0"/>
            <w:r>
              <w:rPr>
                <w:rFonts w:hint="default" w:ascii="宋体" w:hAnsi="宋体"/>
                <w:sz w:val="24"/>
                <w:szCs w:val="24"/>
              </w:rPr>
              <w:t>公司董事会。公司冷液等相关产品的经营情况会在定期报告中予以披露。</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17、李总，3年业绩承诺未完成，卖方要不要补偿给公司。</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买卖双方严格遵守之前签订的股权收购协议。根据《重大资产购买及盈利预测补偿协议》，统一石化2021年度的业绩承诺已经达成，公司于2022年支付了第二期收购价款人民币9,000.00万元；因统一石化未完成 2022年度业绩承诺，确认2022年度无需支付的收购价款金额为11,900.00万元，相关金额已计入公司2022年度公允价值变动损益；因统一石化未完成2023年度业绩承诺，确认2023年度剩余2,900.00万元收购价款均无需支付，相关金额计入公司2023年度公允价值变动损益。</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18、没有市值绩效考核吗？20多年未分红，会不会被st？</w:t>
            </w:r>
          </w:p>
          <w:p>
            <w:pPr>
              <w:pStyle w:val="7"/>
              <w:spacing w:line="460" w:lineRule="exact"/>
              <w:ind w:left="0" w:leftChars="0" w:firstLine="480" w:firstLineChars="200"/>
              <w:rPr>
                <w:rFonts w:hint="default" w:ascii="宋体" w:hAnsi="宋体"/>
                <w:sz w:val="24"/>
                <w:szCs w:val="24"/>
              </w:rPr>
            </w:pPr>
            <w:r>
              <w:rPr>
                <w:rFonts w:hint="default" w:ascii="宋体" w:hAnsi="宋体"/>
                <w:sz w:val="24"/>
                <w:szCs w:val="24"/>
              </w:rPr>
              <w:t>尊敬的投资者，您好！根据《上海证券交易所股票上市规则》的规定，“出现最近一个会计年度净利润为正值且母公司报表年度末未分配利润为正值的公司，其最近三个会计年度累计现金分红总额低于最近三个会计年度年均净利润的30%，且最近三个会计年度累计现金分红金额低于5000万元的，被实施其他风险警示”。公司目前不适用此条规定。感谢您的关注。</w:t>
            </w:r>
          </w:p>
          <w:p>
            <w:pPr>
              <w:pStyle w:val="7"/>
              <w:numPr>
                <w:ilvl w:val="0"/>
                <w:numId w:val="0"/>
              </w:numPr>
              <w:spacing w:line="460" w:lineRule="exact"/>
              <w:ind w:left="413" w:leftChars="0"/>
              <w:rPr>
                <w:rFonts w:hint="eastAsia" w:ascii="宋体" w:hAnsi="宋体" w:eastAsia="宋体"/>
                <w:b/>
                <w:sz w:val="24"/>
                <w:szCs w:val="24"/>
                <w:lang w:eastAsia="zh-CN"/>
              </w:rPr>
            </w:pPr>
            <w:r>
              <w:rPr>
                <w:rFonts w:hint="default" w:ascii="宋体" w:hAnsi="宋体"/>
                <w:b/>
                <w:sz w:val="24"/>
                <w:szCs w:val="24"/>
              </w:rPr>
              <w:t>19、二季度业绩预算如何</w:t>
            </w:r>
            <w:r>
              <w:rPr>
                <w:rFonts w:hint="eastAsia" w:ascii="宋体" w:hAnsi="宋体"/>
                <w:b/>
                <w:sz w:val="24"/>
                <w:szCs w:val="24"/>
                <w:lang w:eastAsia="zh-CN"/>
              </w:rPr>
              <w:t>？</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尊敬的投资者，您好！公司业绩情况请关注公司定期公告。</w:t>
            </w:r>
          </w:p>
          <w:p>
            <w:pPr>
              <w:pStyle w:val="7"/>
              <w:numPr>
                <w:ilvl w:val="0"/>
                <w:numId w:val="0"/>
              </w:numPr>
              <w:spacing w:line="460" w:lineRule="exact"/>
              <w:ind w:left="413" w:leftChars="0"/>
              <w:rPr>
                <w:rFonts w:hint="eastAsia" w:ascii="宋体" w:hAnsi="宋体" w:eastAsia="宋体"/>
                <w:b/>
                <w:sz w:val="24"/>
                <w:szCs w:val="24"/>
                <w:lang w:eastAsia="zh-CN"/>
              </w:rPr>
            </w:pPr>
            <w:r>
              <w:rPr>
                <w:rFonts w:hint="default" w:ascii="宋体" w:hAnsi="宋体"/>
                <w:b/>
                <w:sz w:val="24"/>
                <w:szCs w:val="24"/>
              </w:rPr>
              <w:t>20、一季度业绩大增，是否能保持常态</w:t>
            </w:r>
            <w:r>
              <w:rPr>
                <w:rFonts w:hint="eastAsia" w:ascii="宋体" w:hAnsi="宋体"/>
                <w:b/>
                <w:sz w:val="24"/>
                <w:szCs w:val="24"/>
                <w:lang w:eastAsia="zh-CN"/>
              </w:rPr>
              <w:t>？</w:t>
            </w:r>
          </w:p>
          <w:p>
            <w:pPr>
              <w:pStyle w:val="7"/>
              <w:spacing w:line="460" w:lineRule="exact"/>
              <w:ind w:left="0" w:leftChars="0" w:firstLine="480" w:firstLineChars="200"/>
              <w:rPr>
                <w:rFonts w:hint="default" w:ascii="宋体" w:hAnsi="宋体"/>
                <w:sz w:val="24"/>
                <w:szCs w:val="24"/>
              </w:rPr>
            </w:pPr>
            <w:r>
              <w:rPr>
                <w:rFonts w:hint="default" w:ascii="宋体" w:hAnsi="宋体"/>
                <w:sz w:val="24"/>
                <w:szCs w:val="24"/>
              </w:rPr>
              <w:t>尊敬的投资者，感谢您的关注。公司将尽最大努力，不断提升业绩。</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21、归母净利润在2023年亏损4898.45万人民币，同比大幅减亏，请问公司采取了哪些措施来实现这一减亏？</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2023年，公司通过多方面努力提升了上市公司业绩。一方面，公司拓宽统润滑油液领域，为交通运输、工业制造及传统电力、工程机械及矿业、农业机械、数据中心、通讯基站等行业提供低碳油液解决方案 ，另一方面 ，公司拓展新能源行业产品发展为新能源汽车、充电站桩、可再生能源、储能等新能源行业提供液冷和特种油脂解决方案。同时，公司拓展营销路径，激发经销商活力，贴近终端消费者。此外，公司积极降本增效，不断提升经营效率和公司利润。感谢您的关注。</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22、公司的净利率在2023年为-2.19%，较上年上升2.00个百分点，请问公司如何计划进一步提高净利率？</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2023年，公司通过多方面努力提升了上市公司业绩。一方面，公司拓宽润滑油液领域，为交通运输、工业制造及传统电力、工程机械及矿业、农业机械、数据中心、通讯基站等行业提供低碳油液解决方案，另一方面，公司拓展新能源行业产品发展 为新能源汽车、充电站桩、可再生能源、储能等新能源行业提供液冷和特种油脂解决方案。同时，公司拓展营销路径，激发经销商活力，贴近终端消费者。此外，公司积极降本增效，不断提升经营效率和公司利润。感谢您的关注。</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23、鉴于原材料价格波动和市场竞争加剧，公司如何控制成本并维持利润水平？</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为了应对原材料价格的波动和市场竞争的加剧，公司采取多方面行动来尽力提升利润率：在传统润滑油领域，积极调整产品结构，突出低碳业务优势。同时，公司积极开拓新能源市场，不断研发和推出新产品，比如适用于新能源汽车、充电桩、光伏等可再生能源设备等行业的冷却液和满足特定需要的特种油脂产品。感谢您的关注！</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24、公司2023年的毛利率达到16.81%，同比上升1.65个百分点，请问这一提升的主要原因是什么？</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2023年，公司通过多方面努力提升了上市公司业绩。一方面，公司拓宽统润滑油液领域，为交通运输、工业制造及传统电力、工程机械及矿业、农业机械、数据中心、通讯基站等行业提供低碳油液解决方案，另一方面，公司拓展新能源行业产品发展 为新能源汽车、充电站桩、可再生能源、储能等新能源行业提供液冷和特种油脂解决方案。同时，公司拓展营销路径，激发经销商活力，贴近终端消费者。此外，公司积极降本增效，不断提升经营效率和公司利润。感谢您的关注。</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25、统一股份在报告期内如何优化债务结构以降低财务费用？</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尊敬的投资者，感谢您的关注。公司目前现金流状况良好。公司通过运营不断产生现金流，负债规模和财务费用正在逐步缩减。</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26、防冻液和尿素业务在2023年收入分别下降3.91%和59.24%，请问公司如何评估这两个业务板块的未来发展？</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尊敬的投资者，您好！公司的防冻液产品在升级换代中，尿素业务对公司的整体业务影响不大。公司后续将聚焦在低碳润滑油脂，新能源液冷及特种润滑油，数据中心液冷业务上。感谢您的关注。</w:t>
            </w:r>
          </w:p>
          <w:p>
            <w:pPr>
              <w:pStyle w:val="7"/>
              <w:numPr>
                <w:ilvl w:val="0"/>
                <w:numId w:val="0"/>
              </w:numPr>
              <w:spacing w:line="460" w:lineRule="exact"/>
              <w:ind w:left="0" w:leftChars="0" w:firstLine="482" w:firstLineChars="200"/>
              <w:rPr>
                <w:rFonts w:ascii="宋体" w:hAnsi="宋体"/>
                <w:b/>
                <w:sz w:val="24"/>
                <w:szCs w:val="24"/>
              </w:rPr>
            </w:pPr>
            <w:r>
              <w:rPr>
                <w:rFonts w:hint="default" w:ascii="宋体" w:hAnsi="宋体"/>
                <w:b/>
                <w:sz w:val="24"/>
                <w:szCs w:val="24"/>
              </w:rPr>
              <w:t>27、公司2023年研发费用投入1784.82万元，主要用于哪些方面？有哪些研发成果？</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尊敬的投资者，您好！公司研发投资包括：低碳润滑油、润滑脂、新能源液冷、数据中心液冷等研发设备投资，配方开发及各类测试，碳足迹核查等。感谢您的关注。</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28</w:t>
            </w:r>
            <w:r>
              <w:rPr>
                <w:rFonts w:hint="eastAsia" w:ascii="宋体" w:hAnsi="宋体"/>
                <w:b/>
                <w:sz w:val="24"/>
                <w:szCs w:val="24"/>
                <w:lang w:eastAsia="zh-CN"/>
              </w:rPr>
              <w:t>、</w:t>
            </w:r>
            <w:r>
              <w:rPr>
                <w:rFonts w:hint="default" w:ascii="宋体" w:hAnsi="宋体"/>
                <w:b/>
                <w:sz w:val="24"/>
                <w:szCs w:val="24"/>
              </w:rPr>
              <w:t>统一股份，20多年未分红，连续3年净利润亏损，会被st吗？</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根据《上海证券交易所股票上市规则》的规定，“出现最近一个会计年度净利润为正值且母公司报表年度末未分配利润为正值的公司，其最近三个会计年度累计现金分红总额低于最近三个会计年度年均净利润的30%，且最近三个会计年度累计现金分红金额低于5000万元的，被实施其他风险警示”。公司目前不适用此条规定。</w:t>
            </w:r>
          </w:p>
          <w:p>
            <w:pPr>
              <w:pStyle w:val="7"/>
              <w:numPr>
                <w:ilvl w:val="0"/>
                <w:numId w:val="0"/>
              </w:numPr>
              <w:spacing w:line="460" w:lineRule="exact"/>
              <w:ind w:left="413" w:leftChars="0"/>
              <w:rPr>
                <w:rFonts w:hint="eastAsia" w:ascii="宋体" w:hAnsi="宋体" w:eastAsia="宋体"/>
                <w:b/>
                <w:sz w:val="24"/>
                <w:szCs w:val="24"/>
                <w:lang w:eastAsia="zh-CN"/>
              </w:rPr>
            </w:pPr>
            <w:r>
              <w:rPr>
                <w:rFonts w:hint="default" w:ascii="宋体" w:hAnsi="宋体"/>
                <w:b/>
                <w:sz w:val="24"/>
                <w:szCs w:val="24"/>
              </w:rPr>
              <w:t>29、哈哈哈，请问液冷润滑油今年的业绩情况如何</w:t>
            </w:r>
            <w:r>
              <w:rPr>
                <w:rFonts w:hint="eastAsia" w:ascii="宋体" w:hAnsi="宋体"/>
                <w:b/>
                <w:sz w:val="24"/>
                <w:szCs w:val="24"/>
                <w:lang w:eastAsia="zh-CN"/>
              </w:rPr>
              <w:t>？</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尊敬的投资者，您好！公司业绩情况请关注定期报告。谢谢。</w:t>
            </w:r>
          </w:p>
          <w:p>
            <w:pPr>
              <w:pStyle w:val="7"/>
              <w:numPr>
                <w:ilvl w:val="0"/>
                <w:numId w:val="0"/>
              </w:numPr>
              <w:spacing w:line="460" w:lineRule="exact"/>
              <w:ind w:left="13" w:leftChars="0" w:firstLine="400" w:firstLineChars="166"/>
              <w:rPr>
                <w:rFonts w:ascii="宋体" w:hAnsi="宋体"/>
                <w:b/>
                <w:sz w:val="24"/>
                <w:szCs w:val="24"/>
              </w:rPr>
            </w:pPr>
            <w:r>
              <w:rPr>
                <w:rFonts w:hint="default" w:ascii="宋体" w:hAnsi="宋体"/>
                <w:b/>
                <w:sz w:val="24"/>
                <w:szCs w:val="24"/>
              </w:rPr>
              <w:t>30、请问公司是否已放弃香梨业务，相关的资产如何处置的？</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尊敬的投资者，您好！由于市场原因等，公司2023年开始未再开展香梨等果品购销业务。公司资产变化的情况会以定期报告或临时公告的方式披露，请关注公司的公告。</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31、统一股份半年报什么时间公布？</w:t>
            </w:r>
          </w:p>
          <w:p>
            <w:pPr>
              <w:pStyle w:val="7"/>
              <w:spacing w:line="460" w:lineRule="exact"/>
              <w:ind w:left="-2" w:leftChars="-1" w:firstLine="480"/>
              <w:rPr>
                <w:rFonts w:hint="default" w:ascii="宋体" w:hAnsi="宋体"/>
                <w:sz w:val="24"/>
                <w:szCs w:val="24"/>
              </w:rPr>
            </w:pPr>
            <w:r>
              <w:rPr>
                <w:rFonts w:hint="default" w:ascii="宋体" w:hAnsi="宋体"/>
                <w:sz w:val="24"/>
                <w:szCs w:val="24"/>
              </w:rPr>
              <w:t>尊敬的投资者，您好！公司约好半年报披露时间后，交易所官网会有显示。请您关注上海证券交易所网站里定期报告的预约情况。</w:t>
            </w:r>
          </w:p>
          <w:p>
            <w:pPr>
              <w:adjustRightInd w:val="0"/>
              <w:snapToGrid w:val="0"/>
              <w:spacing w:line="500" w:lineRule="exact"/>
              <w:rPr>
                <w:rFonts w:ascii="宋体" w:hAnsi="宋体"/>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附件清单（如有）</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日期</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bCs/>
                <w:iCs/>
                <w:color w:val="000000"/>
                <w:sz w:val="24"/>
              </w:rPr>
            </w:pPr>
            <w:r>
              <w:rPr>
                <w:bCs/>
                <w:iCs/>
                <w:color w:val="000000"/>
                <w:sz w:val="24"/>
              </w:rPr>
              <w:t>2024-06-14 18:05</w:t>
            </w: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仿宋" w:hAnsi="仿宋" w:eastAsia="仿宋"/>
        <w:sz w:val="24"/>
        <w:szCs w:val="24"/>
        <w:lang w:val="en-US" w:eastAsia="zh-Hans"/>
      </w:rPr>
      <w:t>深圳市全景网络有限公司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r>
      <w:drawing>
        <wp:inline distT="0" distB="0" distL="114300" distR="114300">
          <wp:extent cx="674370" cy="328295"/>
          <wp:effectExtent l="0" t="0" r="11430" b="190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674370" cy="328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MTExOTRlOWI0NDM5MDk2YjE4OTg0NGI1YTc3OTcifQ=="/>
  </w:docVars>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08EE43E4"/>
    <w:rsid w:val="0D3C216F"/>
    <w:rsid w:val="11AD3FE4"/>
    <w:rsid w:val="179B3F36"/>
    <w:rsid w:val="1B2418A5"/>
    <w:rsid w:val="1FBFC074"/>
    <w:rsid w:val="27EE00B2"/>
    <w:rsid w:val="2B9A532A"/>
    <w:rsid w:val="349618B6"/>
    <w:rsid w:val="36FB9E1F"/>
    <w:rsid w:val="39635CB4"/>
    <w:rsid w:val="3BFA3B96"/>
    <w:rsid w:val="3CEF3472"/>
    <w:rsid w:val="3EFF16E9"/>
    <w:rsid w:val="3F485EA2"/>
    <w:rsid w:val="44DE7BA4"/>
    <w:rsid w:val="5B10566E"/>
    <w:rsid w:val="77CF73AC"/>
    <w:rsid w:val="78FF0116"/>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_Style 6"/>
    <w:basedOn w:val="1"/>
    <w:qFormat/>
    <w:uiPriority w:val="34"/>
    <w:pPr>
      <w:ind w:firstLine="420" w:firstLineChars="200"/>
    </w:pPr>
    <w:rPr>
      <w:rFonts w:ascii="Calibri" w:hAnsi="Calibri" w:eastAsia="宋体" w:cs="Times New Roman"/>
      <w:szCs w:val="22"/>
    </w:rPr>
  </w:style>
  <w:style w:type="paragraph" w:customStyle="1" w:styleId="8">
    <w:name w:val="Char Char Char"/>
    <w:basedOn w:val="1"/>
    <w:autoRedefine/>
    <w:qFormat/>
    <w:uiPriority w:val="0"/>
    <w:rPr>
      <w:szCs w:val="21"/>
    </w:rPr>
  </w:style>
  <w:style w:type="paragraph" w:customStyle="1" w:styleId="9">
    <w:name w:val="Char Char Char Char Char Char Char Char Char Char Char Char Char Char Char Char"/>
    <w:basedOn w:val="1"/>
    <w:autoRedefine/>
    <w:qFormat/>
    <w:uiPriority w:val="0"/>
  </w:style>
  <w:style w:type="paragraph" w:customStyle="1" w:styleId="10">
    <w:name w:val=" Char Char Char"/>
    <w:basedOn w:val="1"/>
    <w:qFormat/>
    <w:uiPriority w:val="0"/>
  </w:style>
  <w:style w:type="character" w:customStyle="1" w:styleId="11">
    <w:name w:val="页脚 Char"/>
    <w:basedOn w:val="6"/>
    <w:link w:val="2"/>
    <w:autoRedefine/>
    <w:qFormat/>
    <w:uiPriority w:val="0"/>
    <w:rPr>
      <w:kern w:val="2"/>
      <w:sz w:val="18"/>
      <w:szCs w:val="18"/>
    </w:rPr>
  </w:style>
  <w:style w:type="character" w:customStyle="1" w:styleId="12">
    <w:name w:val="页眉 Char"/>
    <w:basedOn w:val="6"/>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189</Words>
  <Characters>389</Characters>
  <Lines>60</Lines>
  <Paragraphs>17</Paragraphs>
  <TotalTime>11</TotalTime>
  <ScaleCrop>false</ScaleCrop>
  <LinksUpToDate>false</LinksUpToDate>
  <CharactersWithSpaces>513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无花果</cp:lastModifiedBy>
  <cp:lastPrinted>2014-02-21T05:34:00Z</cp:lastPrinted>
  <dcterms:modified xsi:type="dcterms:W3CDTF">2024-06-17T07:05:55Z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B1110C4AF7FE4FD494F6ED66DFFA2DB9_13</vt:lpwstr>
  </property>
</Properties>
</file>