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上海之江生物科技股份有限公司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投资者关系活动记录表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30"/>
          <w:szCs w:val="30"/>
        </w:rPr>
      </w:pPr>
    </w:p>
    <w:p>
      <w:pPr>
        <w:jc w:val="right"/>
        <w:rPr>
          <w:rFonts w:ascii="宋体" w:hAnsi="宋体" w:eastAsia="宋体" w:cs="Calibri"/>
          <w:b/>
          <w:bCs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 xml:space="preserve">                    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编号：2024-004</w:t>
      </w:r>
    </w:p>
    <w:tbl>
      <w:tblPr>
        <w:tblStyle w:val="8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7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投资者关系活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动类别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特定对象调研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□分析师会议     □媒体采访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□业绩说明会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□新闻发布会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□路演活动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□现场参观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参与单位名称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中泰证券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西部利德基金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上海市闵行区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陈行公路2168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智慧广场9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号楼之江生物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公司接待人员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公司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副总经理兼</w:t>
            </w:r>
            <w:r>
              <w:rPr>
                <w:rFonts w:ascii="宋体" w:hAnsi="宋体" w:eastAsia="宋体"/>
                <w:sz w:val="24"/>
                <w:szCs w:val="24"/>
              </w:rPr>
              <w:t>董事会秘书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：倪卫琴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证券事务代表金宇丹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41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投资者关系活动主要内容介绍</w:t>
            </w:r>
          </w:p>
        </w:tc>
        <w:tc>
          <w:tcPr>
            <w:tcW w:w="7362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交流的主要问题及答复：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公司团队来自浙江，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none"/>
                <w:lang w:eastAsia="zh-CN"/>
              </w:rPr>
              <w:t>想了解一下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贵公司扎根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上海的原因。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default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公司创始人邵俊斌博士，出生于中医世家毕业于浙江大学内科学专业。2003年SARS疫情，他成功利用基因检测试剂确诊了浙江省的第一例SARS样本，也让他看到了分子诊断领域不断深耕的前景和使命。邵俊斌博士于2005年带领团队创建了上海之江生物，自主研发了一系列应用于疾病精准预防、诊断的国际领先核心技术。上海作为生物医药制造的重镇，也是国际大都市，营商环境开放、监管优化、人才密集、公共资源丰富、政策优惠，故而一直在上海扎根、成长、拓展壮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想了解一下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贵公司2023年度营业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收入组成情况。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default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答：公司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营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分子诊断试剂和仪器设备。仪器设备方面，已形成11大系列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用于更好的满足客户的不同需求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分子诊断试剂方面，共有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00多项产品，已形成 20 大系列，覆盖了绝大多数国家法定传染病。</w:t>
            </w:r>
            <w:r>
              <w:rPr>
                <w:rFonts w:hint="default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2023年公司核酸检测试剂收入占全年营业收入比例为73.17%，分子诊断仪器收入占全年营业收入比例为20.37%。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default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想了解一下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eastAsia="zh-CN"/>
              </w:rPr>
              <w:t>公司高管持有公司的股份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default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答：上海之江药业有限公司、宁波康飞顿斯投资管理合伙企业，这两家作为上海之江生物的持股公司，其持股成员基本都是之江生物的团队成员。同时为进一步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调动公司员工的积极性，有效地将股东利益、公司利益和员工个人利益紧密结合在一起，促进公司健康可持续发展，公司通过集中竞价交易方式进行股份回购，回购的股份将在未来适宜时机用于员工持股计划或股权激励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想了解一下贵公司的研发情况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答：根据公司《2023年年度报告》，在职员工305人，研发人员132人，占比43.28%，2023年研发支出6100万元左右，研发投入占营业收入的比例达22.24%。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公司下设之江研究院，以高效的技术研发与产品转化平台为抓手，以市场需求为主要研究方向，适当兼顾前沿探索，全面打造技术护城河。目前在上游原材料开发、磁珠提取、自动化设备、流水线、高通量测序、分子POCT、抗体药物研发等研发方向都有相应布局。公司将充分发挥创新主导作用，调动各方面资源，提高全要素生产率，积极推进项目研发建设，驱动项目快速投产，努力实现公司可持续、高质量发展，以良好的业绩回报投资者信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想了解一下贵公司今年的海外计划。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答：海外市场是公司的重点布局方向，也是未来新的增长空间。目前公司的海外业务主要集中在欧洲、东南亚、非洲等地区。公司在美国圣地亚哥设立的研发中心，以研发和国际注册及先进技术对接为主；在新加坡设立的机构作为海外生产基地的布局。公司经过多年的发展，积累了丰富的研发经验和数据资源，建立了成熟的研发生产流程，在面对突发事件时能够快速响应。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结合多品类试剂与自动化设备的搭配及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一站式技术服务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支持，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将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加大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全球布局及海外市场业务拓展的步伐，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同时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加快规模化产品的CE、FDA等海外认证。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>想了解一下贵公司目前的抗体药情况。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答：目前公司在垂直一体化方向上布局，延申产品链、产业链、价值链，致力于新药及上游关键原材料的研发创新。基于前期的研发创新储备，看好抗体药物在肿瘤、自免疾病及感染性疾病治疗上的应用，公司2016年、2020年通过两轮投资，持有领先的创新抗体药物发现公司三优生物股权。公司已与三优生物建立合作团队，一旦项目获得突破，将建立从早筛到抗体药物的全周期管理能力。此外，公司成立了上海之江未来材料科技有限公司，以纳米磁珠等核心上游原材料和关键工艺为创新突破口，目前在膜技术、类器官芯片和微流控分子POCT等领域取得了阶段性的成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想了解一下贵公司的市场销售模式情况。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default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答：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公司持续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加强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国内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营销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网格化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、推动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营销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全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面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覆盖。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从高端到基层、从医院到疾控、从检验到临床，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以“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产品+服务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”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双轮发展驱动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，聚焦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重点区域、重点领域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强化学术营销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技术营销赋能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，持续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推进客户精细管理和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区域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深耕；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同时，</w:t>
            </w:r>
            <w:r>
              <w:rPr>
                <w:rFonts w:hint="default" w:ascii="宋体" w:hAnsi="宋体" w:eastAsia="宋体" w:cs="宋体"/>
                <w:highlight w:val="none"/>
                <w:lang w:val="en-US" w:eastAsia="zh-CN"/>
              </w:rPr>
              <w:t>优化渠道管理机制，与渠道商形成深度合力，激活潜力共享共赢，实现产品和服务销售规模的快速增长。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想了解一下贵公司的资金未来使用规划。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答：截至2023年12月31日，公司货币资金24亿多。一是聚焦资源高效型运营，合理分配至日常运营及各研发管线。基于多年的技术与实战经验的积累，公司将加大海外市场布局，聚焦重点国家、重点市场开拓深耕，通过投资、参股、合作等方式，布局上中下游相关产业链中一些较高技术壁垒、核心竞争力较强的项目。二是加强资金管理，按照相关规定严格控制风险，适时投资安全性高、满足保本要求、流动性好的理财产品，在安全、合规的前提下充分发挥资金的使用效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想了解公司的未来业务展望及增量点。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420" w:firstLineChars="20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答：一是以科技创新为引擎，继续精益求精，不断完善公司现有产品质量，进一步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促进以技术、质量、品牌、服务为核心的竞争优势；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二是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通过自有研究平台，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  <w:t>适当兼顾前沿探索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在新材料、新装备、新工艺研究和新品开发方面不断推进，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开拓新的产品线，丰富产品矩阵，推出多重、高灵敏产品，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为客户提供更快速、更准确、更智能的诊断服务；三是积极开拓国际市场，以美国、新加坡公司为抓手，进一步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加大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全球布局及海外市场业务拓展的步伐。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ascii="宋体" w:hAnsi="宋体" w:eastAsia="宋体" w:cs="宋体"/>
        <w:b/>
        <w:bCs/>
        <w:sz w:val="24"/>
        <w:szCs w:val="24"/>
        <w:lang w:val="en-US" w:eastAsia="zh-CN"/>
      </w:rPr>
      <w:t>证券简称：之江生物                                   证券代码：688317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A64FB2"/>
    <w:multiLevelType w:val="singleLevel"/>
    <w:tmpl w:val="91A64F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OGIxNzgxN2ZhNzEzNWM1MTg1YWJhYzU5YzQ5YmYifQ=="/>
  </w:docVars>
  <w:rsids>
    <w:rsidRoot w:val="004E38CE"/>
    <w:rsid w:val="00007266"/>
    <w:rsid w:val="00007BF5"/>
    <w:rsid w:val="000204D5"/>
    <w:rsid w:val="00041D9D"/>
    <w:rsid w:val="000E28C0"/>
    <w:rsid w:val="00126F6F"/>
    <w:rsid w:val="00150A86"/>
    <w:rsid w:val="001511C8"/>
    <w:rsid w:val="001925CE"/>
    <w:rsid w:val="001A5D03"/>
    <w:rsid w:val="001D45C3"/>
    <w:rsid w:val="001D7D59"/>
    <w:rsid w:val="002050CF"/>
    <w:rsid w:val="002212EE"/>
    <w:rsid w:val="002C16D4"/>
    <w:rsid w:val="002C49A2"/>
    <w:rsid w:val="0031283E"/>
    <w:rsid w:val="00331C82"/>
    <w:rsid w:val="003C0DFA"/>
    <w:rsid w:val="003C7394"/>
    <w:rsid w:val="0041193E"/>
    <w:rsid w:val="00430EC9"/>
    <w:rsid w:val="004E05DF"/>
    <w:rsid w:val="004E38CE"/>
    <w:rsid w:val="00501956"/>
    <w:rsid w:val="005248DB"/>
    <w:rsid w:val="0053742C"/>
    <w:rsid w:val="005435D2"/>
    <w:rsid w:val="00544F3A"/>
    <w:rsid w:val="00575AA1"/>
    <w:rsid w:val="005D12CF"/>
    <w:rsid w:val="005D6A82"/>
    <w:rsid w:val="006400DD"/>
    <w:rsid w:val="00642722"/>
    <w:rsid w:val="006A6BA2"/>
    <w:rsid w:val="006E2581"/>
    <w:rsid w:val="006E7F5A"/>
    <w:rsid w:val="006F5F81"/>
    <w:rsid w:val="00721FC1"/>
    <w:rsid w:val="00763D78"/>
    <w:rsid w:val="00843EE7"/>
    <w:rsid w:val="00844EFE"/>
    <w:rsid w:val="00894916"/>
    <w:rsid w:val="008A1908"/>
    <w:rsid w:val="008F64D9"/>
    <w:rsid w:val="0091539A"/>
    <w:rsid w:val="00925590"/>
    <w:rsid w:val="00957709"/>
    <w:rsid w:val="00993463"/>
    <w:rsid w:val="009A263B"/>
    <w:rsid w:val="009C1151"/>
    <w:rsid w:val="009F005B"/>
    <w:rsid w:val="00A86B43"/>
    <w:rsid w:val="00AA2D87"/>
    <w:rsid w:val="00AF040C"/>
    <w:rsid w:val="00BB695B"/>
    <w:rsid w:val="00BF357E"/>
    <w:rsid w:val="00C337F0"/>
    <w:rsid w:val="00CA1657"/>
    <w:rsid w:val="00CB276A"/>
    <w:rsid w:val="00CF04DF"/>
    <w:rsid w:val="00D12D78"/>
    <w:rsid w:val="00D32466"/>
    <w:rsid w:val="00D417B6"/>
    <w:rsid w:val="00D51D8D"/>
    <w:rsid w:val="00D75316"/>
    <w:rsid w:val="00DC26F6"/>
    <w:rsid w:val="00E32733"/>
    <w:rsid w:val="00E603FA"/>
    <w:rsid w:val="00E71BC5"/>
    <w:rsid w:val="00E913F2"/>
    <w:rsid w:val="00ED2C5A"/>
    <w:rsid w:val="00EE440E"/>
    <w:rsid w:val="00EF5318"/>
    <w:rsid w:val="00F06482"/>
    <w:rsid w:val="00FA2CE6"/>
    <w:rsid w:val="00FD2D42"/>
    <w:rsid w:val="03B94246"/>
    <w:rsid w:val="05DF3DE1"/>
    <w:rsid w:val="06374953"/>
    <w:rsid w:val="10C2169C"/>
    <w:rsid w:val="113413B0"/>
    <w:rsid w:val="11935716"/>
    <w:rsid w:val="12BE0493"/>
    <w:rsid w:val="17A821AF"/>
    <w:rsid w:val="17D26762"/>
    <w:rsid w:val="18673677"/>
    <w:rsid w:val="18E3411F"/>
    <w:rsid w:val="19902D1D"/>
    <w:rsid w:val="1F9E4534"/>
    <w:rsid w:val="22327245"/>
    <w:rsid w:val="22AC4CE9"/>
    <w:rsid w:val="23A1697A"/>
    <w:rsid w:val="276E1732"/>
    <w:rsid w:val="29F86C12"/>
    <w:rsid w:val="2B5C7F1B"/>
    <w:rsid w:val="2C3167C0"/>
    <w:rsid w:val="3C973C5F"/>
    <w:rsid w:val="3CA757CE"/>
    <w:rsid w:val="3E8A7577"/>
    <w:rsid w:val="42A97452"/>
    <w:rsid w:val="43087A30"/>
    <w:rsid w:val="49D002BE"/>
    <w:rsid w:val="4A6C513B"/>
    <w:rsid w:val="4C265483"/>
    <w:rsid w:val="4DCC0923"/>
    <w:rsid w:val="521833A7"/>
    <w:rsid w:val="57016C0B"/>
    <w:rsid w:val="61B53248"/>
    <w:rsid w:val="64892B9A"/>
    <w:rsid w:val="6AF11079"/>
    <w:rsid w:val="6DD11099"/>
    <w:rsid w:val="6FB75A30"/>
    <w:rsid w:val="719B709D"/>
    <w:rsid w:val="74700A08"/>
    <w:rsid w:val="779F037C"/>
    <w:rsid w:val="7AAE3E0E"/>
    <w:rsid w:val="7D7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11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2167</Words>
  <Characters>2260</Characters>
  <Lines>23</Lines>
  <Paragraphs>6</Paragraphs>
  <TotalTime>0</TotalTime>
  <ScaleCrop>false</ScaleCrop>
  <LinksUpToDate>false</LinksUpToDate>
  <CharactersWithSpaces>2311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2022-05-26T03:24:00Z</dcterms:created>
  <dc:creator>楚天舒</dc:creator>
  <cp:lastModifiedBy>Vivian1405424780</cp:lastModifiedBy>
  <dcterms:modified xsi:type="dcterms:W3CDTF">2024-06-17T09:05:52Z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C03E0C7B5FEA45DDA4FC687868ED5B99</vt:lpwstr>
  </property>
</Properties>
</file>