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69" w:rsidRDefault="00E74669" w:rsidP="00E74669">
      <w:pPr>
        <w:spacing w:beforeLines="50" w:before="156" w:afterLines="50" w:after="156" w:line="400" w:lineRule="exact"/>
        <w:rPr>
          <w:color w:val="000000"/>
          <w:sz w:val="24"/>
        </w:rPr>
      </w:pPr>
      <w:r>
        <w:rPr>
          <w:rFonts w:hAnsi="宋体"/>
          <w:bCs/>
          <w:iCs/>
          <w:color w:val="000000"/>
          <w:sz w:val="24"/>
        </w:rPr>
        <w:t>证券代码：</w:t>
      </w:r>
      <w:r>
        <w:rPr>
          <w:bCs/>
          <w:iCs/>
          <w:color w:val="000000"/>
          <w:sz w:val="24"/>
        </w:rPr>
        <w:t xml:space="preserve"> </w:t>
      </w:r>
      <w:r>
        <w:rPr>
          <w:color w:val="000000"/>
          <w:sz w:val="24"/>
        </w:rPr>
        <w:t xml:space="preserve">605366                             </w:t>
      </w:r>
      <w:r>
        <w:rPr>
          <w:rFonts w:hAnsi="宋体"/>
          <w:bCs/>
          <w:iCs/>
          <w:color w:val="000000"/>
          <w:sz w:val="24"/>
        </w:rPr>
        <w:t>证券简称：</w:t>
      </w:r>
      <w:r>
        <w:rPr>
          <w:color w:val="000000"/>
          <w:sz w:val="24"/>
        </w:rPr>
        <w:t>宏柏新材</w:t>
      </w:r>
    </w:p>
    <w:p w:rsidR="00E74669" w:rsidRPr="00E74669" w:rsidRDefault="00E74669" w:rsidP="00E74669">
      <w:pPr>
        <w:spacing w:beforeLines="50" w:before="156" w:afterLines="50" w:after="156" w:line="400" w:lineRule="exact"/>
        <w:rPr>
          <w:rFonts w:hAnsi="宋体"/>
          <w:bCs/>
          <w:iCs/>
          <w:color w:val="000000"/>
          <w:sz w:val="24"/>
        </w:rPr>
      </w:pPr>
      <w:r w:rsidRPr="00E74669">
        <w:rPr>
          <w:rFonts w:hAnsi="宋体" w:hint="eastAsia"/>
          <w:bCs/>
          <w:iCs/>
          <w:color w:val="000000"/>
          <w:sz w:val="24"/>
        </w:rPr>
        <w:t>债券代码：</w:t>
      </w:r>
      <w:r>
        <w:rPr>
          <w:rFonts w:hAnsi="宋体" w:hint="eastAsia"/>
          <w:bCs/>
          <w:iCs/>
          <w:color w:val="000000"/>
          <w:sz w:val="24"/>
        </w:rPr>
        <w:t xml:space="preserve"> </w:t>
      </w:r>
      <w:r w:rsidRPr="00E74669">
        <w:rPr>
          <w:rFonts w:hAnsi="宋体"/>
          <w:bCs/>
          <w:iCs/>
          <w:color w:val="000000"/>
          <w:sz w:val="24"/>
        </w:rPr>
        <w:t>111019</w:t>
      </w:r>
      <w:r>
        <w:rPr>
          <w:rFonts w:hAnsi="宋体"/>
          <w:bCs/>
          <w:iCs/>
          <w:color w:val="000000"/>
          <w:sz w:val="24"/>
        </w:rPr>
        <w:t xml:space="preserve">                            </w:t>
      </w:r>
      <w:r w:rsidRPr="00E74669">
        <w:rPr>
          <w:rFonts w:hAnsi="宋体"/>
          <w:bCs/>
          <w:iCs/>
          <w:color w:val="000000"/>
          <w:sz w:val="24"/>
        </w:rPr>
        <w:t xml:space="preserve"> </w:t>
      </w:r>
      <w:r w:rsidRPr="00E74669">
        <w:rPr>
          <w:rFonts w:hAnsi="宋体" w:hint="eastAsia"/>
          <w:bCs/>
          <w:iCs/>
          <w:color w:val="000000"/>
          <w:sz w:val="24"/>
        </w:rPr>
        <w:t>债券简称：宏柏转债</w:t>
      </w:r>
      <w:bookmarkStart w:id="0" w:name="_GoBack"/>
      <w:bookmarkEnd w:id="0"/>
    </w:p>
    <w:p w:rsidR="00E74669" w:rsidRDefault="00E74669" w:rsidP="00E74669">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江西宏柏新材料股份有限公司</w:t>
      </w:r>
      <w:r>
        <w:rPr>
          <w:rFonts w:ascii="宋体" w:hAnsi="宋体" w:hint="eastAsia"/>
          <w:b/>
          <w:bCs/>
          <w:iCs/>
          <w:color w:val="000000"/>
          <w:sz w:val="32"/>
          <w:szCs w:val="32"/>
        </w:rPr>
        <w:t>投资者关系活动记录表</w:t>
      </w:r>
    </w:p>
    <w:p w:rsidR="00E74669" w:rsidRDefault="00E74669" w:rsidP="00E74669">
      <w:pPr>
        <w:spacing w:line="400" w:lineRule="exact"/>
        <w:rPr>
          <w:bCs/>
          <w:iCs/>
          <w:color w:val="000000"/>
          <w:sz w:val="24"/>
        </w:rPr>
      </w:pPr>
      <w:r>
        <w:rPr>
          <w:rFonts w:ascii="宋体" w:hAnsi="宋体" w:hint="eastAsia"/>
          <w:bCs/>
          <w:iCs/>
          <w:color w:val="000000"/>
          <w:sz w:val="24"/>
        </w:rPr>
        <w:t xml:space="preserve">                                                     编号：2</w:t>
      </w:r>
      <w:r>
        <w:rPr>
          <w:rFonts w:ascii="宋体" w:hAnsi="宋体"/>
          <w:bCs/>
          <w:iCs/>
          <w:color w:val="000000"/>
          <w:sz w:val="24"/>
        </w:rPr>
        <w:t>02</w:t>
      </w:r>
      <w:r>
        <w:rPr>
          <w:rFonts w:ascii="宋体" w:hAnsi="宋体"/>
          <w:bCs/>
          <w:iCs/>
          <w:color w:val="000000"/>
          <w:sz w:val="24"/>
        </w:rPr>
        <w:t>4</w:t>
      </w:r>
      <w:r>
        <w:rPr>
          <w:rFonts w:ascii="宋体" w:hAnsi="宋体"/>
          <w:bCs/>
          <w:iCs/>
          <w:color w:val="000000"/>
          <w:sz w:val="24"/>
        </w:rPr>
        <w:t>-002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E74669" w:rsidTr="009220CC">
        <w:tc>
          <w:tcPr>
            <w:tcW w:w="1908"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kern w:val="0"/>
                <w:sz w:val="24"/>
              </w:rPr>
            </w:pPr>
            <w:r>
              <w:rPr>
                <w:rFonts w:hAnsi="宋体"/>
                <w:bCs/>
                <w:iCs/>
                <w:color w:val="000000"/>
                <w:kern w:val="0"/>
                <w:sz w:val="24"/>
              </w:rPr>
              <w:t>投资者关系活动类别</w:t>
            </w:r>
          </w:p>
          <w:p w:rsidR="00E74669" w:rsidRDefault="00E74669" w:rsidP="009220CC">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E74669" w:rsidRDefault="00E74669" w:rsidP="009220CC">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E74669" w:rsidRDefault="00E74669" w:rsidP="009220CC">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E74669" w:rsidRDefault="00E74669" w:rsidP="009220CC">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E74669" w:rsidRDefault="00E74669" w:rsidP="009220CC">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sidRPr="00900F10">
              <w:rPr>
                <w:rFonts w:hAnsi="宋体" w:hint="eastAsia"/>
                <w:kern w:val="0"/>
                <w:sz w:val="24"/>
              </w:rPr>
              <w:t>）</w:t>
            </w:r>
          </w:p>
        </w:tc>
      </w:tr>
      <w:tr w:rsidR="00E74669" w:rsidTr="009220CC">
        <w:tc>
          <w:tcPr>
            <w:tcW w:w="1908"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sz w:val="24"/>
                <w:lang w:val="en-GB"/>
              </w:rPr>
            </w:pPr>
            <w:r>
              <w:rPr>
                <w:rFonts w:hint="eastAsia"/>
                <w:bCs/>
                <w:iCs/>
                <w:color w:val="000000"/>
                <w:sz w:val="24"/>
                <w:lang w:val="en-GB"/>
              </w:rPr>
              <w:t>投资者网上提问</w:t>
            </w:r>
          </w:p>
        </w:tc>
      </w:tr>
      <w:tr w:rsidR="00E74669" w:rsidTr="009220CC">
        <w:tc>
          <w:tcPr>
            <w:tcW w:w="1908"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E74669">
            <w:pPr>
              <w:spacing w:line="420" w:lineRule="exact"/>
              <w:rPr>
                <w:bCs/>
                <w:iCs/>
                <w:color w:val="000000"/>
                <w:sz w:val="24"/>
              </w:rPr>
            </w:pPr>
            <w:r>
              <w:rPr>
                <w:bCs/>
                <w:iCs/>
                <w:color w:val="000000"/>
                <w:sz w:val="24"/>
              </w:rPr>
              <w:t>202</w:t>
            </w:r>
            <w:r>
              <w:rPr>
                <w:bCs/>
                <w:iCs/>
                <w:color w:val="000000"/>
                <w:sz w:val="24"/>
              </w:rPr>
              <w:t>4</w:t>
            </w:r>
            <w:r>
              <w:rPr>
                <w:bCs/>
                <w:iCs/>
                <w:color w:val="000000"/>
                <w:sz w:val="24"/>
              </w:rPr>
              <w:t>年</w:t>
            </w:r>
            <w:r>
              <w:rPr>
                <w:bCs/>
                <w:iCs/>
                <w:color w:val="000000"/>
                <w:sz w:val="24"/>
              </w:rPr>
              <w:t>6</w:t>
            </w:r>
            <w:r>
              <w:rPr>
                <w:bCs/>
                <w:iCs/>
                <w:color w:val="000000"/>
                <w:sz w:val="24"/>
              </w:rPr>
              <w:t>月</w:t>
            </w:r>
            <w:r>
              <w:rPr>
                <w:bCs/>
                <w:iCs/>
                <w:color w:val="000000"/>
                <w:sz w:val="24"/>
              </w:rPr>
              <w:t>18</w:t>
            </w:r>
            <w:r>
              <w:rPr>
                <w:bCs/>
                <w:iCs/>
                <w:color w:val="000000"/>
                <w:sz w:val="24"/>
              </w:rPr>
              <w:t>日</w:t>
            </w:r>
            <w:r>
              <w:rPr>
                <w:bCs/>
                <w:iCs/>
                <w:color w:val="000000"/>
                <w:sz w:val="24"/>
              </w:rPr>
              <w:t xml:space="preserve"> (</w:t>
            </w:r>
            <w:r>
              <w:rPr>
                <w:bCs/>
                <w:iCs/>
                <w:color w:val="000000"/>
                <w:sz w:val="24"/>
              </w:rPr>
              <w:t>周</w:t>
            </w:r>
            <w:r>
              <w:rPr>
                <w:rFonts w:hint="eastAsia"/>
                <w:bCs/>
                <w:iCs/>
                <w:color w:val="000000"/>
                <w:sz w:val="24"/>
              </w:rPr>
              <w:t>二</w:t>
            </w:r>
            <w:r>
              <w:rPr>
                <w:bCs/>
                <w:iCs/>
                <w:color w:val="000000"/>
                <w:sz w:val="24"/>
              </w:rPr>
              <w:t xml:space="preserve">) </w:t>
            </w:r>
            <w:r>
              <w:rPr>
                <w:bCs/>
                <w:iCs/>
                <w:color w:val="000000"/>
                <w:sz w:val="24"/>
              </w:rPr>
              <w:t>下午</w:t>
            </w:r>
            <w:r>
              <w:rPr>
                <w:bCs/>
                <w:iCs/>
                <w:color w:val="000000"/>
                <w:sz w:val="24"/>
              </w:rPr>
              <w:t xml:space="preserve"> 1</w:t>
            </w:r>
            <w:r>
              <w:rPr>
                <w:bCs/>
                <w:iCs/>
                <w:color w:val="000000"/>
                <w:sz w:val="24"/>
              </w:rPr>
              <w:t>5</w:t>
            </w:r>
            <w:r>
              <w:rPr>
                <w:bCs/>
                <w:iCs/>
                <w:color w:val="000000"/>
                <w:sz w:val="24"/>
              </w:rPr>
              <w:t>:</w:t>
            </w:r>
            <w:r>
              <w:rPr>
                <w:bCs/>
                <w:iCs/>
                <w:color w:val="000000"/>
                <w:sz w:val="24"/>
              </w:rPr>
              <w:t>0</w:t>
            </w:r>
            <w:r>
              <w:rPr>
                <w:bCs/>
                <w:iCs/>
                <w:color w:val="000000"/>
                <w:sz w:val="24"/>
              </w:rPr>
              <w:t>0~1</w:t>
            </w:r>
            <w:r>
              <w:rPr>
                <w:bCs/>
                <w:iCs/>
                <w:color w:val="000000"/>
                <w:sz w:val="24"/>
              </w:rPr>
              <w:t>6</w:t>
            </w:r>
            <w:r>
              <w:rPr>
                <w:bCs/>
                <w:iCs/>
                <w:color w:val="000000"/>
                <w:sz w:val="24"/>
              </w:rPr>
              <w:t>:00</w:t>
            </w:r>
          </w:p>
        </w:tc>
      </w:tr>
      <w:tr w:rsidR="00E74669" w:rsidTr="009220CC">
        <w:tc>
          <w:tcPr>
            <w:tcW w:w="1908"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sz w:val="24"/>
              </w:rPr>
            </w:pPr>
            <w:r w:rsidRPr="00E74669">
              <w:rPr>
                <w:rFonts w:ascii="宋体" w:hAnsi="宋体" w:hint="eastAsia"/>
                <w:sz w:val="24"/>
              </w:rPr>
              <w:t>上证路演中心（http://roadshow.sseinfo.com/）</w:t>
            </w:r>
          </w:p>
        </w:tc>
      </w:tr>
      <w:tr w:rsidR="00E74669" w:rsidTr="009220CC">
        <w:tc>
          <w:tcPr>
            <w:tcW w:w="1908"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E74669" w:rsidRDefault="00E74669" w:rsidP="009220CC">
            <w:pPr>
              <w:spacing w:line="420" w:lineRule="exact"/>
              <w:rPr>
                <w:rFonts w:ascii="宋体" w:hAnsi="宋体"/>
                <w:bCs/>
                <w:sz w:val="24"/>
              </w:rPr>
            </w:pPr>
            <w:r>
              <w:rPr>
                <w:rFonts w:ascii="宋体" w:hAnsi="宋体"/>
                <w:bCs/>
                <w:sz w:val="24"/>
              </w:rPr>
              <w:t>1、</w:t>
            </w:r>
            <w:r w:rsidRPr="00E74669">
              <w:rPr>
                <w:rFonts w:ascii="宋体" w:hAnsi="宋体" w:hint="eastAsia"/>
                <w:bCs/>
                <w:sz w:val="24"/>
              </w:rPr>
              <w:t>董事长、总经理：纪金树</w:t>
            </w:r>
          </w:p>
          <w:p w:rsidR="00E74669" w:rsidRDefault="00E74669" w:rsidP="009220CC">
            <w:pPr>
              <w:spacing w:line="420" w:lineRule="exact"/>
              <w:rPr>
                <w:rFonts w:ascii="宋体" w:hAnsi="宋体"/>
                <w:bCs/>
                <w:sz w:val="24"/>
              </w:rPr>
            </w:pPr>
            <w:r>
              <w:rPr>
                <w:rFonts w:ascii="宋体" w:hAnsi="宋体"/>
                <w:bCs/>
                <w:sz w:val="24"/>
              </w:rPr>
              <w:t>2、</w:t>
            </w:r>
            <w:r w:rsidRPr="00E74669">
              <w:rPr>
                <w:rFonts w:ascii="宋体" w:hAnsi="宋体" w:hint="eastAsia"/>
                <w:bCs/>
                <w:sz w:val="24"/>
              </w:rPr>
              <w:t>董事会秘书：张捷</w:t>
            </w:r>
          </w:p>
          <w:p w:rsidR="00E74669" w:rsidRDefault="00E74669" w:rsidP="009220CC">
            <w:pPr>
              <w:spacing w:line="420" w:lineRule="exact"/>
              <w:rPr>
                <w:rFonts w:ascii="宋体" w:hAnsi="宋体"/>
                <w:bCs/>
                <w:sz w:val="24"/>
              </w:rPr>
            </w:pPr>
            <w:r>
              <w:rPr>
                <w:rFonts w:ascii="宋体" w:hAnsi="宋体" w:hint="eastAsia"/>
                <w:bCs/>
                <w:sz w:val="24"/>
              </w:rPr>
              <w:t>3、</w:t>
            </w:r>
            <w:r w:rsidRPr="00E74669">
              <w:rPr>
                <w:rFonts w:ascii="宋体" w:hAnsi="宋体" w:hint="eastAsia"/>
                <w:bCs/>
                <w:sz w:val="24"/>
              </w:rPr>
              <w:t>财务总监：李喜勇</w:t>
            </w:r>
          </w:p>
          <w:p w:rsidR="00E74669" w:rsidRDefault="00E74669" w:rsidP="009220CC">
            <w:pPr>
              <w:spacing w:line="420" w:lineRule="exact"/>
              <w:rPr>
                <w:rFonts w:ascii="宋体" w:hAnsi="宋体" w:hint="eastAsia"/>
                <w:bCs/>
                <w:sz w:val="24"/>
              </w:rPr>
            </w:pPr>
            <w:r>
              <w:rPr>
                <w:rFonts w:ascii="宋体" w:hAnsi="宋体" w:hint="eastAsia"/>
                <w:bCs/>
                <w:sz w:val="24"/>
              </w:rPr>
              <w:t>4、</w:t>
            </w:r>
            <w:r w:rsidRPr="00E74669">
              <w:rPr>
                <w:rFonts w:ascii="宋体" w:hAnsi="宋体" w:hint="eastAsia"/>
                <w:bCs/>
                <w:sz w:val="24"/>
              </w:rPr>
              <w:t>独立董事：李汉国</w:t>
            </w:r>
          </w:p>
        </w:tc>
      </w:tr>
      <w:tr w:rsidR="00E74669" w:rsidTr="009220CC">
        <w:tc>
          <w:tcPr>
            <w:tcW w:w="1908" w:type="dxa"/>
            <w:tcBorders>
              <w:top w:val="single" w:sz="4" w:space="0" w:color="auto"/>
              <w:left w:val="single" w:sz="4" w:space="0" w:color="auto"/>
              <w:bottom w:val="single" w:sz="4" w:space="0" w:color="auto"/>
              <w:right w:val="single" w:sz="4" w:space="0" w:color="auto"/>
            </w:tcBorders>
            <w:vAlign w:val="center"/>
          </w:tcPr>
          <w:p w:rsidR="00E74669" w:rsidRDefault="00E74669" w:rsidP="009220CC">
            <w:pPr>
              <w:spacing w:line="420" w:lineRule="exact"/>
              <w:rPr>
                <w:bCs/>
                <w:iCs/>
                <w:color w:val="000000"/>
                <w:kern w:val="0"/>
                <w:sz w:val="24"/>
              </w:rPr>
            </w:pPr>
            <w:r>
              <w:rPr>
                <w:rFonts w:hAnsi="宋体"/>
                <w:bCs/>
                <w:iCs/>
                <w:color w:val="000000"/>
                <w:kern w:val="0"/>
                <w:sz w:val="24"/>
              </w:rPr>
              <w:t>投资者关系活动主要内容介绍</w:t>
            </w:r>
          </w:p>
          <w:p w:rsidR="00E74669" w:rsidRDefault="00E74669" w:rsidP="009220CC">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9220CC">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E74669" w:rsidRDefault="00E74669" w:rsidP="009220CC">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rsidR="00E74669" w:rsidRDefault="00E74669" w:rsidP="009220CC">
            <w:pPr>
              <w:pStyle w:val="Style6"/>
              <w:spacing w:line="460" w:lineRule="exact"/>
              <w:ind w:left="413" w:firstLineChars="0" w:firstLine="0"/>
              <w:rPr>
                <w:rFonts w:ascii="宋体" w:hAnsi="宋体"/>
                <w:b/>
                <w:sz w:val="24"/>
                <w:szCs w:val="24"/>
              </w:rPr>
            </w:pPr>
            <w:r>
              <w:rPr>
                <w:rFonts w:ascii="宋体" w:hAnsi="宋体"/>
                <w:b/>
                <w:sz w:val="24"/>
                <w:szCs w:val="24"/>
              </w:rPr>
              <w:t>1、</w:t>
            </w:r>
            <w:r w:rsidRPr="00E74669">
              <w:rPr>
                <w:rFonts w:ascii="宋体" w:hAnsi="宋体" w:hint="eastAsia"/>
                <w:b/>
                <w:sz w:val="24"/>
                <w:szCs w:val="24"/>
              </w:rPr>
              <w:t>目前行业政策风向是怎样的？谢谢！</w:t>
            </w:r>
          </w:p>
          <w:p w:rsidR="00E74669" w:rsidRDefault="00E74669" w:rsidP="009220CC">
            <w:pPr>
              <w:pStyle w:val="Style6"/>
              <w:spacing w:line="460" w:lineRule="exact"/>
              <w:ind w:leftChars="-1" w:left="-2" w:firstLine="480"/>
              <w:rPr>
                <w:rFonts w:ascii="宋体" w:hAnsi="宋体"/>
                <w:sz w:val="24"/>
                <w:szCs w:val="24"/>
              </w:rPr>
            </w:pPr>
            <w:r w:rsidRPr="00E74669">
              <w:rPr>
                <w:rFonts w:ascii="宋体" w:hAnsi="宋体" w:hint="eastAsia"/>
                <w:sz w:val="24"/>
                <w:szCs w:val="24"/>
              </w:rPr>
              <w:t>传统消费领域存量需求是推动功能性硅烷市场规模迈入百亿级别的主要原因，而新兴工业应用领域的开发和新兴经济体的需求带动是功能性硅烷市场规模不断增长的动力源泉。</w:t>
            </w:r>
          </w:p>
          <w:p w:rsidR="00E74669" w:rsidRDefault="00E74669" w:rsidP="009220CC">
            <w:pPr>
              <w:pStyle w:val="Style6"/>
              <w:spacing w:line="460" w:lineRule="exact"/>
              <w:ind w:left="413" w:firstLineChars="0" w:firstLine="0"/>
              <w:rPr>
                <w:rFonts w:ascii="宋体" w:hAnsi="宋体"/>
                <w:b/>
                <w:sz w:val="24"/>
                <w:szCs w:val="24"/>
              </w:rPr>
            </w:pPr>
            <w:r>
              <w:rPr>
                <w:rFonts w:ascii="宋体" w:hAnsi="宋体"/>
                <w:b/>
                <w:sz w:val="24"/>
                <w:szCs w:val="24"/>
              </w:rPr>
              <w:t>2、</w:t>
            </w:r>
            <w:r w:rsidRPr="00E74669">
              <w:rPr>
                <w:rFonts w:ascii="宋体" w:hAnsi="宋体" w:hint="eastAsia"/>
                <w:b/>
                <w:sz w:val="24"/>
                <w:szCs w:val="24"/>
              </w:rPr>
              <w:t>请问公司在目前市场环境下有哪些技术优势，目前的市场表现如何?</w:t>
            </w:r>
          </w:p>
          <w:p w:rsidR="00E74669" w:rsidRDefault="00E74669" w:rsidP="009220CC">
            <w:pPr>
              <w:pStyle w:val="Style6"/>
              <w:spacing w:line="460" w:lineRule="exact"/>
              <w:ind w:leftChars="-1" w:left="-2" w:firstLine="480"/>
              <w:rPr>
                <w:rFonts w:ascii="宋体" w:hAnsi="宋体"/>
                <w:sz w:val="24"/>
                <w:szCs w:val="24"/>
              </w:rPr>
            </w:pPr>
            <w:r w:rsidRPr="00E74669">
              <w:rPr>
                <w:rFonts w:ascii="宋体" w:hAnsi="宋体" w:hint="eastAsia"/>
                <w:sz w:val="24"/>
                <w:szCs w:val="24"/>
              </w:rPr>
              <w:t>尊敬的投资者您好，感谢您的关注和支持。公司作为含硫硅烷制造细分行业中具备循环经济体系及世界领先产业规模的企业之一，始终坚持“自主创新为核心、产学研相结合为促进”的技术创新原则，通过各种技术创新不断提升公司综合竞争力，逐渐在全产业链、氯循环、创新平台、技术团队等方面形成公司特</w:t>
            </w:r>
            <w:r w:rsidRPr="00E74669">
              <w:rPr>
                <w:rFonts w:ascii="宋体" w:hAnsi="宋体" w:hint="eastAsia"/>
                <w:sz w:val="24"/>
                <w:szCs w:val="24"/>
              </w:rPr>
              <w:lastRenderedPageBreak/>
              <w:t>有的技术优势，同时公司拥有一支化学工程、分析化学、精细化工、高分子、化工设备、仪表控制等诸多领域背景的数十人专业团队，构建了从研发到应用完整的技术研发体系。截至2023年12月31日，公司共获得授权发明专利36项。</w:t>
            </w:r>
          </w:p>
          <w:p w:rsidR="00E74669" w:rsidRDefault="00E74669" w:rsidP="009220CC">
            <w:pPr>
              <w:pStyle w:val="Style6"/>
              <w:spacing w:line="460" w:lineRule="exact"/>
              <w:ind w:left="413" w:firstLineChars="0" w:firstLine="0"/>
              <w:rPr>
                <w:rFonts w:ascii="宋体" w:hAnsi="宋体"/>
                <w:b/>
                <w:sz w:val="24"/>
                <w:szCs w:val="24"/>
              </w:rPr>
            </w:pPr>
            <w:r>
              <w:rPr>
                <w:rFonts w:ascii="宋体" w:hAnsi="宋体"/>
                <w:b/>
                <w:sz w:val="24"/>
                <w:szCs w:val="24"/>
              </w:rPr>
              <w:t>3、</w:t>
            </w:r>
            <w:r w:rsidRPr="00E74669">
              <w:rPr>
                <w:rFonts w:ascii="宋体" w:hAnsi="宋体" w:hint="eastAsia"/>
                <w:b/>
                <w:sz w:val="24"/>
                <w:szCs w:val="24"/>
              </w:rPr>
              <w:t>请问公司对未来的市场份额及盈利情况如何预测，谢谢！</w:t>
            </w:r>
          </w:p>
          <w:p w:rsidR="00E74669" w:rsidRDefault="00E74669" w:rsidP="009220CC">
            <w:pPr>
              <w:pStyle w:val="Style6"/>
              <w:spacing w:line="460" w:lineRule="exact"/>
              <w:ind w:leftChars="-1" w:left="-2" w:firstLine="480"/>
              <w:rPr>
                <w:rFonts w:ascii="宋体" w:hAnsi="宋体"/>
                <w:sz w:val="24"/>
                <w:szCs w:val="24"/>
              </w:rPr>
            </w:pPr>
            <w:r w:rsidRPr="00E74669">
              <w:rPr>
                <w:rFonts w:ascii="宋体" w:hAnsi="宋体" w:hint="eastAsia"/>
                <w:sz w:val="24"/>
                <w:szCs w:val="24"/>
              </w:rPr>
              <w:t>尊敬的投资者您好，感谢您的关注和支持。经中国石油和化学工业联合会认定，自2016年开始，公司含硫硅烷偶联剂连续六年在全球市场的占有率位列第一，目前公司含硫硅烷偶联剂综合市场占有率仍保持领先地位。公司投建的其他新型产品正扩大市场份额。关于公司盈利目标：公司将紧紧围绕年度生产经营计划，努力做好公司各项经营工作，力争实现年度盈利目标。</w:t>
            </w:r>
          </w:p>
          <w:p w:rsidR="00E74669" w:rsidRDefault="00E74669" w:rsidP="009220CC">
            <w:pPr>
              <w:pStyle w:val="Style6"/>
              <w:spacing w:line="460" w:lineRule="exact"/>
              <w:ind w:leftChars="-1" w:left="-2" w:firstLine="480"/>
              <w:rPr>
                <w:rFonts w:ascii="宋体" w:hAnsi="宋体"/>
                <w:bCs/>
                <w:iCs/>
                <w:color w:val="000000"/>
                <w:sz w:val="24"/>
              </w:rPr>
            </w:pPr>
          </w:p>
        </w:tc>
      </w:tr>
      <w:tr w:rsidR="00E74669" w:rsidTr="009220CC">
        <w:tc>
          <w:tcPr>
            <w:tcW w:w="1908" w:type="dxa"/>
            <w:tcBorders>
              <w:top w:val="single" w:sz="4" w:space="0" w:color="auto"/>
              <w:left w:val="single" w:sz="4" w:space="0" w:color="auto"/>
              <w:bottom w:val="single" w:sz="4" w:space="0" w:color="auto"/>
              <w:right w:val="single" w:sz="4" w:space="0" w:color="auto"/>
            </w:tcBorders>
            <w:vAlign w:val="center"/>
          </w:tcPr>
          <w:p w:rsidR="00E74669" w:rsidRDefault="00E74669" w:rsidP="009220CC">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9220CC">
            <w:pPr>
              <w:spacing w:line="420" w:lineRule="exact"/>
              <w:rPr>
                <w:bCs/>
                <w:iCs/>
                <w:color w:val="000000"/>
                <w:sz w:val="24"/>
              </w:rPr>
            </w:pPr>
          </w:p>
        </w:tc>
      </w:tr>
      <w:tr w:rsidR="00E74669" w:rsidTr="009220CC">
        <w:tc>
          <w:tcPr>
            <w:tcW w:w="1908" w:type="dxa"/>
            <w:tcBorders>
              <w:top w:val="single" w:sz="4" w:space="0" w:color="auto"/>
              <w:left w:val="single" w:sz="4" w:space="0" w:color="auto"/>
              <w:bottom w:val="single" w:sz="4" w:space="0" w:color="auto"/>
              <w:right w:val="single" w:sz="4" w:space="0" w:color="auto"/>
            </w:tcBorders>
            <w:vAlign w:val="center"/>
          </w:tcPr>
          <w:p w:rsidR="00E74669" w:rsidRDefault="00E74669" w:rsidP="009220CC">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E74669" w:rsidRDefault="00E74669" w:rsidP="00E74669">
            <w:pPr>
              <w:spacing w:line="420" w:lineRule="exact"/>
              <w:rPr>
                <w:bCs/>
                <w:iCs/>
                <w:color w:val="000000"/>
                <w:sz w:val="24"/>
              </w:rPr>
            </w:pPr>
            <w:r>
              <w:rPr>
                <w:bCs/>
                <w:iCs/>
                <w:color w:val="000000"/>
                <w:sz w:val="24"/>
              </w:rPr>
              <w:t>202</w:t>
            </w:r>
            <w:r>
              <w:rPr>
                <w:bCs/>
                <w:iCs/>
                <w:color w:val="000000"/>
                <w:sz w:val="24"/>
              </w:rPr>
              <w:t>4</w:t>
            </w:r>
            <w:r>
              <w:rPr>
                <w:bCs/>
                <w:iCs/>
                <w:color w:val="000000"/>
                <w:sz w:val="24"/>
              </w:rPr>
              <w:t>-0</w:t>
            </w:r>
            <w:r>
              <w:rPr>
                <w:bCs/>
                <w:iCs/>
                <w:color w:val="000000"/>
                <w:sz w:val="24"/>
              </w:rPr>
              <w:t>6</w:t>
            </w:r>
            <w:r>
              <w:rPr>
                <w:bCs/>
                <w:iCs/>
                <w:color w:val="000000"/>
                <w:sz w:val="24"/>
              </w:rPr>
              <w:t>-1</w:t>
            </w:r>
            <w:r>
              <w:rPr>
                <w:bCs/>
                <w:iCs/>
                <w:color w:val="000000"/>
                <w:sz w:val="24"/>
              </w:rPr>
              <w:t>8</w:t>
            </w:r>
            <w:r>
              <w:rPr>
                <w:bCs/>
                <w:iCs/>
                <w:color w:val="000000"/>
                <w:sz w:val="24"/>
              </w:rPr>
              <w:t xml:space="preserve"> </w:t>
            </w:r>
          </w:p>
        </w:tc>
      </w:tr>
    </w:tbl>
    <w:p w:rsidR="00822D2E" w:rsidRDefault="00822D2E"/>
    <w:sectPr w:rsidR="00822D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57" w:rsidRDefault="00926857" w:rsidP="00E74669">
      <w:r>
        <w:separator/>
      </w:r>
    </w:p>
  </w:endnote>
  <w:endnote w:type="continuationSeparator" w:id="0">
    <w:p w:rsidR="00926857" w:rsidRDefault="00926857" w:rsidP="00E7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57" w:rsidRDefault="00926857" w:rsidP="00E74669">
      <w:r>
        <w:separator/>
      </w:r>
    </w:p>
  </w:footnote>
  <w:footnote w:type="continuationSeparator" w:id="0">
    <w:p w:rsidR="00926857" w:rsidRDefault="00926857" w:rsidP="00E74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FC"/>
    <w:rsid w:val="0006613E"/>
    <w:rsid w:val="00087070"/>
    <w:rsid w:val="00095A07"/>
    <w:rsid w:val="00096D28"/>
    <w:rsid w:val="000B35A1"/>
    <w:rsid w:val="000C0964"/>
    <w:rsid w:val="000C09B0"/>
    <w:rsid w:val="000C2292"/>
    <w:rsid w:val="000D3E06"/>
    <w:rsid w:val="00113292"/>
    <w:rsid w:val="001600C6"/>
    <w:rsid w:val="00160F2C"/>
    <w:rsid w:val="00164BD1"/>
    <w:rsid w:val="00165C34"/>
    <w:rsid w:val="00170DA0"/>
    <w:rsid w:val="001B00B4"/>
    <w:rsid w:val="001E305E"/>
    <w:rsid w:val="001E45C2"/>
    <w:rsid w:val="001E7E1A"/>
    <w:rsid w:val="001F5809"/>
    <w:rsid w:val="002126B0"/>
    <w:rsid w:val="002327C9"/>
    <w:rsid w:val="00234228"/>
    <w:rsid w:val="00240CE7"/>
    <w:rsid w:val="00253736"/>
    <w:rsid w:val="00263A5A"/>
    <w:rsid w:val="00275F84"/>
    <w:rsid w:val="00286171"/>
    <w:rsid w:val="002E4ED1"/>
    <w:rsid w:val="002F6183"/>
    <w:rsid w:val="00311E6A"/>
    <w:rsid w:val="00331A8E"/>
    <w:rsid w:val="0033469E"/>
    <w:rsid w:val="00342091"/>
    <w:rsid w:val="00343D71"/>
    <w:rsid w:val="003441FC"/>
    <w:rsid w:val="00387073"/>
    <w:rsid w:val="003C6E38"/>
    <w:rsid w:val="003C7281"/>
    <w:rsid w:val="003E48EE"/>
    <w:rsid w:val="003E7A68"/>
    <w:rsid w:val="003F0DAB"/>
    <w:rsid w:val="003F5109"/>
    <w:rsid w:val="00400F91"/>
    <w:rsid w:val="004144DB"/>
    <w:rsid w:val="0041640A"/>
    <w:rsid w:val="00424C08"/>
    <w:rsid w:val="00431767"/>
    <w:rsid w:val="00467555"/>
    <w:rsid w:val="00482CE0"/>
    <w:rsid w:val="00485F4F"/>
    <w:rsid w:val="00530028"/>
    <w:rsid w:val="00571D2A"/>
    <w:rsid w:val="005905F8"/>
    <w:rsid w:val="005A7DDF"/>
    <w:rsid w:val="005B30B8"/>
    <w:rsid w:val="005C03E2"/>
    <w:rsid w:val="005C16B4"/>
    <w:rsid w:val="005C3E8A"/>
    <w:rsid w:val="00600D8B"/>
    <w:rsid w:val="00611FFE"/>
    <w:rsid w:val="00617BF8"/>
    <w:rsid w:val="00622E6E"/>
    <w:rsid w:val="006347D4"/>
    <w:rsid w:val="00654C01"/>
    <w:rsid w:val="0067287C"/>
    <w:rsid w:val="00672F1F"/>
    <w:rsid w:val="006A3DE6"/>
    <w:rsid w:val="006C21CD"/>
    <w:rsid w:val="006C7BD8"/>
    <w:rsid w:val="006D27E9"/>
    <w:rsid w:val="006D4591"/>
    <w:rsid w:val="006F6CCC"/>
    <w:rsid w:val="00717D22"/>
    <w:rsid w:val="007204F2"/>
    <w:rsid w:val="00724A0A"/>
    <w:rsid w:val="00784A44"/>
    <w:rsid w:val="0080725C"/>
    <w:rsid w:val="00822D2E"/>
    <w:rsid w:val="00841379"/>
    <w:rsid w:val="008414E6"/>
    <w:rsid w:val="00872D59"/>
    <w:rsid w:val="008D188C"/>
    <w:rsid w:val="008E4764"/>
    <w:rsid w:val="0091359D"/>
    <w:rsid w:val="00914C69"/>
    <w:rsid w:val="0092075F"/>
    <w:rsid w:val="00926857"/>
    <w:rsid w:val="00926EFC"/>
    <w:rsid w:val="009331E0"/>
    <w:rsid w:val="009728EA"/>
    <w:rsid w:val="00975368"/>
    <w:rsid w:val="009960C1"/>
    <w:rsid w:val="009B45BA"/>
    <w:rsid w:val="009B5E56"/>
    <w:rsid w:val="009D58F5"/>
    <w:rsid w:val="009D609F"/>
    <w:rsid w:val="009E48CE"/>
    <w:rsid w:val="00A30114"/>
    <w:rsid w:val="00A45FD6"/>
    <w:rsid w:val="00A5309E"/>
    <w:rsid w:val="00B16584"/>
    <w:rsid w:val="00B20827"/>
    <w:rsid w:val="00B20A7A"/>
    <w:rsid w:val="00B2332B"/>
    <w:rsid w:val="00B46F00"/>
    <w:rsid w:val="00B56DF0"/>
    <w:rsid w:val="00B61B80"/>
    <w:rsid w:val="00B74CCC"/>
    <w:rsid w:val="00B92087"/>
    <w:rsid w:val="00BA1648"/>
    <w:rsid w:val="00BA4352"/>
    <w:rsid w:val="00BC7B24"/>
    <w:rsid w:val="00BD045B"/>
    <w:rsid w:val="00BD546A"/>
    <w:rsid w:val="00C04022"/>
    <w:rsid w:val="00C55EEA"/>
    <w:rsid w:val="00C56973"/>
    <w:rsid w:val="00C63158"/>
    <w:rsid w:val="00C71709"/>
    <w:rsid w:val="00C91671"/>
    <w:rsid w:val="00CC067B"/>
    <w:rsid w:val="00CC7CE3"/>
    <w:rsid w:val="00CE0062"/>
    <w:rsid w:val="00CF1B9F"/>
    <w:rsid w:val="00D27CEA"/>
    <w:rsid w:val="00D435F4"/>
    <w:rsid w:val="00D735C9"/>
    <w:rsid w:val="00D75412"/>
    <w:rsid w:val="00D83C38"/>
    <w:rsid w:val="00DB70BA"/>
    <w:rsid w:val="00DD01A4"/>
    <w:rsid w:val="00DF29D9"/>
    <w:rsid w:val="00DF5F40"/>
    <w:rsid w:val="00E070FA"/>
    <w:rsid w:val="00E21180"/>
    <w:rsid w:val="00E2273B"/>
    <w:rsid w:val="00E3379D"/>
    <w:rsid w:val="00E549B3"/>
    <w:rsid w:val="00E648F7"/>
    <w:rsid w:val="00E74669"/>
    <w:rsid w:val="00EA4F32"/>
    <w:rsid w:val="00EB095A"/>
    <w:rsid w:val="00EC7D05"/>
    <w:rsid w:val="00F047E0"/>
    <w:rsid w:val="00F05C7B"/>
    <w:rsid w:val="00F41E46"/>
    <w:rsid w:val="00F52C00"/>
    <w:rsid w:val="00FC270B"/>
    <w:rsid w:val="00FD3FAB"/>
    <w:rsid w:val="00FD5F8A"/>
    <w:rsid w:val="00FD7DC5"/>
    <w:rsid w:val="00FE04DF"/>
    <w:rsid w:val="00FF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D5E8"/>
  <w15:chartTrackingRefBased/>
  <w15:docId w15:val="{1D3B3846-4E33-4CB4-9204-22DB3CDA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6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669"/>
    <w:rPr>
      <w:sz w:val="18"/>
      <w:szCs w:val="18"/>
    </w:rPr>
  </w:style>
  <w:style w:type="paragraph" w:styleId="a5">
    <w:name w:val="footer"/>
    <w:basedOn w:val="a"/>
    <w:link w:val="a6"/>
    <w:uiPriority w:val="99"/>
    <w:unhideWhenUsed/>
    <w:rsid w:val="00E74669"/>
    <w:pPr>
      <w:tabs>
        <w:tab w:val="center" w:pos="4153"/>
        <w:tab w:val="right" w:pos="8306"/>
      </w:tabs>
      <w:snapToGrid w:val="0"/>
      <w:jc w:val="left"/>
    </w:pPr>
    <w:rPr>
      <w:sz w:val="18"/>
      <w:szCs w:val="18"/>
    </w:rPr>
  </w:style>
  <w:style w:type="character" w:customStyle="1" w:styleId="a6">
    <w:name w:val="页脚 字符"/>
    <w:basedOn w:val="a0"/>
    <w:link w:val="a5"/>
    <w:uiPriority w:val="99"/>
    <w:rsid w:val="00E74669"/>
    <w:rPr>
      <w:sz w:val="18"/>
      <w:szCs w:val="18"/>
    </w:rPr>
  </w:style>
  <w:style w:type="paragraph" w:customStyle="1" w:styleId="Style6">
    <w:name w:val="_Style 6"/>
    <w:basedOn w:val="a"/>
    <w:uiPriority w:val="34"/>
    <w:qFormat/>
    <w:rsid w:val="00E7466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8787">
      <w:bodyDiv w:val="1"/>
      <w:marLeft w:val="0"/>
      <w:marRight w:val="0"/>
      <w:marTop w:val="0"/>
      <w:marBottom w:val="0"/>
      <w:divBdr>
        <w:top w:val="none" w:sz="0" w:space="0" w:color="auto"/>
        <w:left w:val="none" w:sz="0" w:space="0" w:color="auto"/>
        <w:bottom w:val="none" w:sz="0" w:space="0" w:color="auto"/>
        <w:right w:val="none" w:sz="0" w:space="0" w:color="auto"/>
      </w:divBdr>
      <w:divsChild>
        <w:div w:id="1127820716">
          <w:marLeft w:val="0"/>
          <w:marRight w:val="0"/>
          <w:marTop w:val="75"/>
          <w:marBottom w:val="75"/>
          <w:divBdr>
            <w:top w:val="none" w:sz="0" w:space="0" w:color="auto"/>
            <w:left w:val="none" w:sz="0" w:space="0" w:color="auto"/>
            <w:bottom w:val="none" w:sz="0" w:space="0" w:color="auto"/>
            <w:right w:val="none" w:sz="0" w:space="0" w:color="auto"/>
          </w:divBdr>
          <w:divsChild>
            <w:div w:id="13661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dc:creator>
  <cp:keywords/>
  <dc:description/>
  <cp:lastModifiedBy>叶</cp:lastModifiedBy>
  <cp:revision>2</cp:revision>
  <dcterms:created xsi:type="dcterms:W3CDTF">2024-06-18T08:15:00Z</dcterms:created>
  <dcterms:modified xsi:type="dcterms:W3CDTF">2024-06-18T08:24:00Z</dcterms:modified>
</cp:coreProperties>
</file>