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93F60" w14:textId="34457E62" w:rsidR="00472422" w:rsidRDefault="00472422" w:rsidP="0047242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证券代码：6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88326       </w:t>
      </w:r>
      <w:r w:rsidR="00AA047A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="00AA047A"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证券简称：经纬恒润</w:t>
      </w:r>
    </w:p>
    <w:p w14:paraId="4C712A34" w14:textId="77777777" w:rsidR="00472422" w:rsidRDefault="00472422" w:rsidP="0047242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2C6CEF0C" w14:textId="77777777" w:rsidR="00472422" w:rsidRPr="0006181A" w:rsidRDefault="00472422" w:rsidP="0047242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6181A">
        <w:rPr>
          <w:rFonts w:ascii="黑体" w:eastAsia="黑体" w:hAnsi="黑体" w:hint="eastAsia"/>
          <w:b/>
          <w:bCs/>
          <w:sz w:val="36"/>
          <w:szCs w:val="36"/>
        </w:rPr>
        <w:t>北京经纬恒润科技股份有限公司</w:t>
      </w:r>
    </w:p>
    <w:p w14:paraId="6A1B773F" w14:textId="690E398F" w:rsidR="00472422" w:rsidRDefault="00472422" w:rsidP="0047242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6181A">
        <w:rPr>
          <w:rFonts w:ascii="黑体" w:eastAsia="黑体" w:hAnsi="黑体" w:hint="eastAsia"/>
          <w:b/>
          <w:bCs/>
          <w:sz w:val="36"/>
          <w:szCs w:val="36"/>
        </w:rPr>
        <w:t>投资者关系活动记录表</w:t>
      </w:r>
    </w:p>
    <w:p w14:paraId="61C3197C" w14:textId="074D0AE8" w:rsidR="00AA047A" w:rsidRPr="00AA047A" w:rsidRDefault="00AA047A" w:rsidP="00AA047A">
      <w:pPr>
        <w:adjustRightInd w:val="0"/>
        <w:snapToGrid w:val="0"/>
        <w:spacing w:line="360" w:lineRule="auto"/>
        <w:jc w:val="right"/>
        <w:rPr>
          <w:rFonts w:ascii="宋体" w:hAnsi="宋体"/>
          <w:b/>
          <w:bCs/>
          <w:sz w:val="24"/>
          <w:szCs w:val="24"/>
        </w:rPr>
      </w:pPr>
      <w:r w:rsidRPr="00AA047A">
        <w:rPr>
          <w:rFonts w:ascii="宋体" w:hAnsi="宋体" w:hint="eastAsia"/>
          <w:b/>
          <w:bCs/>
          <w:sz w:val="24"/>
          <w:szCs w:val="24"/>
        </w:rPr>
        <w:t>编号：2</w:t>
      </w:r>
      <w:r w:rsidRPr="00AA047A">
        <w:rPr>
          <w:rFonts w:ascii="宋体" w:hAnsi="宋体"/>
          <w:b/>
          <w:bCs/>
          <w:sz w:val="24"/>
          <w:szCs w:val="24"/>
        </w:rPr>
        <w:t>02</w:t>
      </w:r>
      <w:r w:rsidR="00145A85">
        <w:rPr>
          <w:rFonts w:ascii="宋体" w:hAnsi="宋体"/>
          <w:b/>
          <w:bCs/>
          <w:sz w:val="24"/>
          <w:szCs w:val="24"/>
        </w:rPr>
        <w:t>4</w:t>
      </w:r>
      <w:r w:rsidRPr="00AA047A">
        <w:rPr>
          <w:rFonts w:ascii="宋体" w:hAnsi="宋体"/>
          <w:b/>
          <w:bCs/>
          <w:sz w:val="24"/>
          <w:szCs w:val="24"/>
        </w:rPr>
        <w:t>-</w:t>
      </w:r>
      <w:r w:rsidR="00A532F9">
        <w:rPr>
          <w:rFonts w:ascii="宋体" w:hAnsi="宋体"/>
          <w:b/>
          <w:bCs/>
          <w:sz w:val="24"/>
          <w:szCs w:val="24"/>
        </w:rPr>
        <w:t>00</w:t>
      </w:r>
      <w:r w:rsidR="00E91C97">
        <w:rPr>
          <w:rFonts w:ascii="宋体" w:hAnsi="宋体"/>
          <w:b/>
          <w:bCs/>
          <w:sz w:val="24"/>
          <w:szCs w:val="24"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0"/>
        <w:gridCol w:w="6496"/>
      </w:tblGrid>
      <w:tr w:rsidR="00472422" w14:paraId="720774CE" w14:textId="77777777" w:rsidTr="00764D30">
        <w:tc>
          <w:tcPr>
            <w:tcW w:w="1085" w:type="pct"/>
            <w:vAlign w:val="center"/>
          </w:tcPr>
          <w:p w14:paraId="087AAE30" w14:textId="403C511A" w:rsidR="00472422" w:rsidRPr="00764D30" w:rsidRDefault="00472422" w:rsidP="00764D30">
            <w:pPr>
              <w:rPr>
                <w:b/>
                <w:bCs/>
                <w:sz w:val="24"/>
                <w:szCs w:val="24"/>
              </w:rPr>
            </w:pPr>
            <w:r w:rsidRPr="00764D30">
              <w:rPr>
                <w:rFonts w:hint="eastAsia"/>
                <w:b/>
                <w:bCs/>
                <w:sz w:val="24"/>
                <w:szCs w:val="24"/>
              </w:rPr>
              <w:t>投资者关系活动类别</w:t>
            </w:r>
          </w:p>
        </w:tc>
        <w:tc>
          <w:tcPr>
            <w:tcW w:w="3915" w:type="pct"/>
          </w:tcPr>
          <w:p w14:paraId="5B59358C" w14:textId="472FB60B" w:rsidR="00472422" w:rsidRPr="007B0D34" w:rsidRDefault="00656EE1" w:rsidP="00764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sym w:font="Wingdings" w:char="F0FE"/>
            </w:r>
            <w:r w:rsidR="00472422" w:rsidRPr="007B0D34">
              <w:rPr>
                <w:rFonts w:hint="eastAsia"/>
                <w:sz w:val="24"/>
                <w:szCs w:val="24"/>
              </w:rPr>
              <w:t>特定对象调研</w:t>
            </w:r>
            <w:r w:rsidR="00472422" w:rsidRPr="007B0D34">
              <w:rPr>
                <w:rFonts w:hint="eastAsia"/>
                <w:sz w:val="24"/>
                <w:szCs w:val="24"/>
              </w:rPr>
              <w:t xml:space="preserve"> </w:t>
            </w:r>
            <w:r w:rsidR="00C10EFB" w:rsidRPr="007B0D34">
              <w:rPr>
                <w:sz w:val="24"/>
                <w:szCs w:val="24"/>
              </w:rPr>
              <w:t xml:space="preserve">        </w:t>
            </w:r>
            <w:r w:rsidR="00472422" w:rsidRPr="007B0D34">
              <w:rPr>
                <w:sz w:val="24"/>
                <w:szCs w:val="24"/>
              </w:rPr>
              <w:t xml:space="preserve">  </w:t>
            </w:r>
            <w:r w:rsidR="00472422" w:rsidRPr="007B0D34">
              <w:rPr>
                <w:rFonts w:ascii="宋体" w:hAnsi="宋体" w:hint="eastAsia"/>
                <w:sz w:val="24"/>
                <w:szCs w:val="24"/>
              </w:rPr>
              <w:t>□分析师会议</w:t>
            </w:r>
          </w:p>
          <w:p w14:paraId="02118FFA" w14:textId="6036440A" w:rsidR="00472422" w:rsidRPr="007B0D34" w:rsidRDefault="00472422" w:rsidP="00764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t xml:space="preserve">□媒体采访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C10EFB" w:rsidRPr="007B0D34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</w:t>
            </w:r>
            <w:r w:rsidR="007C2BB7">
              <w:rPr>
                <w:rFonts w:ascii="宋体" w:hAnsi="宋体"/>
                <w:sz w:val="24"/>
                <w:szCs w:val="24"/>
              </w:rPr>
              <w:t xml:space="preserve"> </w:t>
            </w:r>
            <w:r w:rsidR="00656EE1" w:rsidRPr="007B0D34">
              <w:rPr>
                <w:rFonts w:ascii="宋体" w:hAnsi="宋体" w:hint="eastAsia"/>
                <w:sz w:val="24"/>
                <w:szCs w:val="24"/>
              </w:rPr>
              <w:t>□</w:t>
            </w:r>
            <w:r w:rsidRPr="007B0D34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16A5338" w14:textId="6C36DF98" w:rsidR="00472422" w:rsidRPr="007B0D34" w:rsidRDefault="00472422" w:rsidP="00764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t xml:space="preserve">□新闻发布会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</w:t>
            </w:r>
            <w:r w:rsidR="00C10EFB" w:rsidRPr="007B0D34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</w:t>
            </w:r>
            <w:r w:rsidR="002E0E84" w:rsidRPr="007B0D34">
              <w:rPr>
                <w:rFonts w:ascii="宋体" w:hAnsi="宋体" w:hint="eastAsia"/>
                <w:sz w:val="24"/>
                <w:szCs w:val="24"/>
              </w:rPr>
              <w:t>□</w:t>
            </w:r>
            <w:r w:rsidRPr="007B0D34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4E4A6447" w14:textId="07E89FFA" w:rsidR="00472422" w:rsidRPr="007B0D34" w:rsidRDefault="00472422" w:rsidP="00764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t xml:space="preserve">□现场参观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C10EFB" w:rsidRPr="007B0D34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355E52" w:rsidRPr="007B0D34">
              <w:rPr>
                <w:rFonts w:ascii="宋体" w:hAnsi="宋体" w:hint="eastAsia"/>
                <w:sz w:val="24"/>
                <w:szCs w:val="24"/>
              </w:rPr>
              <w:t>□</w:t>
            </w:r>
            <w:r w:rsidR="005D51F1" w:rsidRPr="007B0D34">
              <w:rPr>
                <w:rFonts w:ascii="宋体" w:hAnsi="宋体" w:hint="eastAsia"/>
                <w:sz w:val="24"/>
                <w:szCs w:val="24"/>
              </w:rPr>
              <w:t>电话会议</w:t>
            </w:r>
          </w:p>
          <w:p w14:paraId="65791AD6" w14:textId="20DF4323" w:rsidR="00472422" w:rsidRPr="007B0D34" w:rsidRDefault="00472422" w:rsidP="00764D30">
            <w:pPr>
              <w:spacing w:line="360" w:lineRule="auto"/>
              <w:rPr>
                <w:sz w:val="24"/>
                <w:szCs w:val="24"/>
              </w:rPr>
            </w:pPr>
            <w:r w:rsidRPr="007B0D34">
              <w:rPr>
                <w:rFonts w:ascii="宋体" w:hAnsi="宋体" w:hint="eastAsia"/>
                <w:sz w:val="24"/>
                <w:szCs w:val="24"/>
              </w:rPr>
              <w:t xml:space="preserve">□券商策略会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</w:t>
            </w:r>
            <w:r w:rsidR="00C10EFB" w:rsidRPr="007B0D34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B0D34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B0D34">
              <w:rPr>
                <w:rFonts w:ascii="宋体" w:hAnsi="宋体" w:hint="eastAsia"/>
                <w:sz w:val="24"/>
                <w:szCs w:val="24"/>
              </w:rPr>
              <w:t>□其他</w:t>
            </w:r>
          </w:p>
        </w:tc>
      </w:tr>
      <w:tr w:rsidR="00472422" w:rsidRPr="00DA7369" w14:paraId="6DA6965E" w14:textId="77777777" w:rsidTr="00764D30">
        <w:tc>
          <w:tcPr>
            <w:tcW w:w="1085" w:type="pct"/>
            <w:vAlign w:val="center"/>
          </w:tcPr>
          <w:p w14:paraId="231906B6" w14:textId="11182E03" w:rsidR="00472422" w:rsidRPr="00764D30" w:rsidRDefault="00472422" w:rsidP="00764D30">
            <w:pPr>
              <w:rPr>
                <w:b/>
                <w:bCs/>
                <w:sz w:val="24"/>
                <w:szCs w:val="24"/>
              </w:rPr>
            </w:pPr>
            <w:r w:rsidRPr="00764D30">
              <w:rPr>
                <w:rFonts w:hint="eastAsia"/>
                <w:b/>
                <w:bCs/>
                <w:sz w:val="24"/>
                <w:szCs w:val="24"/>
              </w:rPr>
              <w:t>参与单位名称</w:t>
            </w:r>
          </w:p>
        </w:tc>
        <w:tc>
          <w:tcPr>
            <w:tcW w:w="3915" w:type="pct"/>
          </w:tcPr>
          <w:p w14:paraId="7918F55C" w14:textId="5A227FE9" w:rsidR="00D91C2D" w:rsidRDefault="00D91C2D" w:rsidP="00C606CF">
            <w:pPr>
              <w:spacing w:line="360" w:lineRule="auto"/>
              <w:rPr>
                <w:sz w:val="24"/>
                <w:szCs w:val="24"/>
              </w:rPr>
            </w:pPr>
            <w:r w:rsidRPr="00D91C2D">
              <w:rPr>
                <w:rFonts w:hint="eastAsia"/>
                <w:sz w:val="24"/>
                <w:szCs w:val="24"/>
              </w:rPr>
              <w:t>（排名不分先后，按字母顺序排列）</w:t>
            </w:r>
          </w:p>
          <w:p w14:paraId="122341F9" w14:textId="170A8DB8" w:rsidR="00534CD0" w:rsidRPr="007B0D34" w:rsidRDefault="00E91C97" w:rsidP="00C606CF">
            <w:pPr>
              <w:spacing w:line="360" w:lineRule="auto"/>
              <w:rPr>
                <w:sz w:val="24"/>
                <w:szCs w:val="24"/>
              </w:rPr>
            </w:pPr>
            <w:r w:rsidRPr="00E91C97">
              <w:rPr>
                <w:rFonts w:hint="eastAsia"/>
                <w:sz w:val="24"/>
                <w:szCs w:val="24"/>
              </w:rPr>
              <w:t>长城证券，东吴证券，方正证券，光大计算机，广发基金，国信证券，天风证券，西部证券，星石投资，源峰基金，中信建投，中信证券</w:t>
            </w:r>
          </w:p>
        </w:tc>
      </w:tr>
      <w:tr w:rsidR="00472422" w:rsidRPr="004B2CD6" w14:paraId="3020CB8D" w14:textId="77777777" w:rsidTr="00764D30">
        <w:tc>
          <w:tcPr>
            <w:tcW w:w="1085" w:type="pct"/>
            <w:vAlign w:val="center"/>
          </w:tcPr>
          <w:p w14:paraId="2AE374BC" w14:textId="06E319BF" w:rsidR="00472422" w:rsidRPr="00764D30" w:rsidRDefault="00105034" w:rsidP="00764D3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</w:t>
            </w:r>
            <w:r w:rsidR="00472422" w:rsidRPr="00764D30"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915" w:type="pct"/>
          </w:tcPr>
          <w:p w14:paraId="73020904" w14:textId="426EC99D" w:rsidR="00472422" w:rsidRPr="006C199E" w:rsidRDefault="00A532F9" w:rsidP="00764D30">
            <w:pPr>
              <w:spacing w:line="360" w:lineRule="auto"/>
              <w:rPr>
                <w:sz w:val="24"/>
                <w:szCs w:val="24"/>
              </w:rPr>
            </w:pPr>
            <w:r w:rsidRPr="007B0D34">
              <w:rPr>
                <w:rFonts w:hint="eastAsia"/>
                <w:sz w:val="24"/>
                <w:szCs w:val="24"/>
              </w:rPr>
              <w:t>2</w:t>
            </w:r>
            <w:r w:rsidRPr="007B0D3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4</w:t>
            </w:r>
            <w:r w:rsidRPr="007B0D34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6</w:t>
            </w:r>
            <w:r w:rsidR="00124B3C">
              <w:rPr>
                <w:sz w:val="24"/>
                <w:szCs w:val="24"/>
              </w:rPr>
              <w:t>月</w:t>
            </w:r>
            <w:r w:rsidR="00E91C97">
              <w:rPr>
                <w:sz w:val="24"/>
                <w:szCs w:val="24"/>
              </w:rPr>
              <w:t>25</w:t>
            </w:r>
            <w:r w:rsidR="008C284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72422" w14:paraId="1038F154" w14:textId="77777777" w:rsidTr="00764D30">
        <w:tc>
          <w:tcPr>
            <w:tcW w:w="1085" w:type="pct"/>
            <w:vAlign w:val="center"/>
          </w:tcPr>
          <w:p w14:paraId="752DA5AE" w14:textId="55BBCFD8" w:rsidR="00472422" w:rsidRPr="00764D30" w:rsidRDefault="00105034" w:rsidP="00764D3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</w:t>
            </w:r>
            <w:r w:rsidR="00764D30" w:rsidRPr="00764D30">
              <w:rPr>
                <w:rFonts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3915" w:type="pct"/>
          </w:tcPr>
          <w:p w14:paraId="7339ECA8" w14:textId="411E8762" w:rsidR="00472422" w:rsidRPr="007B0D34" w:rsidRDefault="00656EE1" w:rsidP="00764D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</w:p>
        </w:tc>
      </w:tr>
      <w:tr w:rsidR="00764D30" w14:paraId="53B220CE" w14:textId="77777777" w:rsidTr="00656EE1">
        <w:tc>
          <w:tcPr>
            <w:tcW w:w="1085" w:type="pct"/>
            <w:vAlign w:val="center"/>
          </w:tcPr>
          <w:p w14:paraId="3FD3E51A" w14:textId="476324F9" w:rsidR="00764D30" w:rsidRPr="00764D30" w:rsidRDefault="00764D30" w:rsidP="009A23F4">
            <w:pPr>
              <w:rPr>
                <w:b/>
                <w:bCs/>
                <w:sz w:val="24"/>
                <w:szCs w:val="24"/>
              </w:rPr>
            </w:pPr>
            <w:r w:rsidRPr="00764D30">
              <w:rPr>
                <w:rFonts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3915" w:type="pct"/>
            <w:vAlign w:val="center"/>
          </w:tcPr>
          <w:p w14:paraId="59CCB122" w14:textId="04E76EE6" w:rsidR="00562A8D" w:rsidRDefault="00E91C97" w:rsidP="00656E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副总裁</w:t>
            </w:r>
            <w:r w:rsidR="0031370B">
              <w:rPr>
                <w:rFonts w:hint="eastAsia"/>
                <w:sz w:val="24"/>
                <w:szCs w:val="24"/>
              </w:rPr>
              <w:t>、核心技术人员</w:t>
            </w:r>
            <w:r w:rsidR="00562A8D"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rFonts w:hint="eastAsia"/>
                <w:sz w:val="24"/>
                <w:szCs w:val="24"/>
              </w:rPr>
              <w:t>吴临政</w:t>
            </w:r>
            <w:proofErr w:type="gramEnd"/>
          </w:p>
          <w:p w14:paraId="3F08E7D1" w14:textId="2ABE18DD" w:rsidR="00770C4E" w:rsidRPr="00493176" w:rsidRDefault="00D30232" w:rsidP="00656E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证券事务代表</w:t>
            </w:r>
            <w:r w:rsidR="00C2654F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高冰</w:t>
            </w:r>
          </w:p>
        </w:tc>
      </w:tr>
      <w:tr w:rsidR="00764D30" w:rsidRPr="00AD7852" w14:paraId="32F867D0" w14:textId="77777777" w:rsidTr="009A23F4">
        <w:tc>
          <w:tcPr>
            <w:tcW w:w="1085" w:type="pct"/>
            <w:vAlign w:val="center"/>
          </w:tcPr>
          <w:p w14:paraId="47EEC8AC" w14:textId="12C3A4A5" w:rsidR="00764D30" w:rsidRPr="00764D30" w:rsidRDefault="00764D30" w:rsidP="009A23F4">
            <w:pPr>
              <w:rPr>
                <w:b/>
                <w:bCs/>
                <w:sz w:val="24"/>
                <w:szCs w:val="24"/>
              </w:rPr>
            </w:pPr>
            <w:r w:rsidRPr="00764D30">
              <w:rPr>
                <w:rFonts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3915" w:type="pct"/>
          </w:tcPr>
          <w:p w14:paraId="1B16769B" w14:textId="451FABAD" w:rsidR="00AB66FB" w:rsidRDefault="00AB66FB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40E38">
              <w:rPr>
                <w:rFonts w:hint="eastAsia"/>
              </w:rPr>
              <w:t xml:space="preserve"> </w:t>
            </w:r>
            <w:r w:rsidR="00B40E38" w:rsidRPr="00B40E38">
              <w:rPr>
                <w:rFonts w:hint="eastAsia"/>
                <w:sz w:val="24"/>
                <w:szCs w:val="24"/>
              </w:rPr>
              <w:t>公司</w:t>
            </w:r>
            <w:r w:rsidR="00C62FA4">
              <w:rPr>
                <w:rFonts w:hint="eastAsia"/>
                <w:sz w:val="24"/>
                <w:szCs w:val="24"/>
              </w:rPr>
              <w:t>目前</w:t>
            </w:r>
            <w:r w:rsidR="00574732">
              <w:rPr>
                <w:rFonts w:hint="eastAsia"/>
                <w:sz w:val="24"/>
                <w:szCs w:val="24"/>
              </w:rPr>
              <w:t>车路协同的</w:t>
            </w:r>
            <w:r w:rsidR="00C62FA4">
              <w:rPr>
                <w:rFonts w:hint="eastAsia"/>
                <w:sz w:val="24"/>
                <w:szCs w:val="24"/>
              </w:rPr>
              <w:t>应用有哪些？</w:t>
            </w:r>
          </w:p>
          <w:p w14:paraId="4A4BB2F9" w14:textId="0FF5C4F6" w:rsidR="00C62FA4" w:rsidRDefault="00AB66FB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030737" w:rsidRPr="00030737">
              <w:rPr>
                <w:rFonts w:hint="eastAsia"/>
                <w:sz w:val="24"/>
                <w:szCs w:val="24"/>
              </w:rPr>
              <w:t>车路协同</w:t>
            </w:r>
            <w:r w:rsidR="008D2EC0">
              <w:rPr>
                <w:rFonts w:hint="eastAsia"/>
                <w:sz w:val="24"/>
                <w:szCs w:val="24"/>
              </w:rPr>
              <w:t>主要</w:t>
            </w:r>
            <w:r w:rsidR="00030737" w:rsidRPr="00030737">
              <w:rPr>
                <w:rFonts w:hint="eastAsia"/>
                <w:sz w:val="24"/>
                <w:szCs w:val="24"/>
              </w:rPr>
              <w:t>有两大应用领域：一是政府部门或者交通管理部门用于更好地管理交通，提升交通安全性</w:t>
            </w:r>
            <w:r w:rsidR="00030737">
              <w:rPr>
                <w:rFonts w:hint="eastAsia"/>
                <w:sz w:val="24"/>
                <w:szCs w:val="24"/>
              </w:rPr>
              <w:t>以及通行效率</w:t>
            </w:r>
            <w:r w:rsidR="00030737" w:rsidRPr="00030737">
              <w:rPr>
                <w:rFonts w:hint="eastAsia"/>
                <w:sz w:val="24"/>
                <w:szCs w:val="24"/>
              </w:rPr>
              <w:t>，比如快速</w:t>
            </w:r>
            <w:r w:rsidR="00030737">
              <w:rPr>
                <w:rFonts w:hint="eastAsia"/>
                <w:sz w:val="24"/>
                <w:szCs w:val="24"/>
              </w:rPr>
              <w:t>监测</w:t>
            </w:r>
            <w:r w:rsidR="00030737" w:rsidRPr="00030737">
              <w:rPr>
                <w:rFonts w:hint="eastAsia"/>
                <w:sz w:val="24"/>
                <w:szCs w:val="24"/>
              </w:rPr>
              <w:t>交通事故、违章、超速</w:t>
            </w:r>
            <w:r w:rsidR="0050323F">
              <w:rPr>
                <w:rFonts w:hint="eastAsia"/>
                <w:sz w:val="24"/>
                <w:szCs w:val="24"/>
              </w:rPr>
              <w:t>等</w:t>
            </w:r>
            <w:r w:rsidR="00030737">
              <w:rPr>
                <w:rFonts w:hint="eastAsia"/>
                <w:sz w:val="24"/>
                <w:szCs w:val="24"/>
              </w:rPr>
              <w:t>；二</w:t>
            </w:r>
            <w:r w:rsidR="00030737" w:rsidRPr="00030737">
              <w:rPr>
                <w:rFonts w:hint="eastAsia"/>
                <w:sz w:val="24"/>
                <w:szCs w:val="24"/>
              </w:rPr>
              <w:t>是</w:t>
            </w:r>
            <w:r w:rsidR="008D2EC0">
              <w:rPr>
                <w:rFonts w:hint="eastAsia"/>
                <w:sz w:val="24"/>
                <w:szCs w:val="24"/>
              </w:rPr>
              <w:t>应用于</w:t>
            </w:r>
            <w:r w:rsidR="00030737" w:rsidRPr="00030737">
              <w:rPr>
                <w:rFonts w:hint="eastAsia"/>
                <w:sz w:val="24"/>
                <w:szCs w:val="24"/>
              </w:rPr>
              <w:t>自动驾驶领域，通过车路协同提升自动驾驶的适应性和能力。公司作为提供汽车电子</w:t>
            </w:r>
            <w:r w:rsidR="0031370B">
              <w:rPr>
                <w:rFonts w:hint="eastAsia"/>
                <w:sz w:val="24"/>
                <w:szCs w:val="24"/>
              </w:rPr>
              <w:t>产品</w:t>
            </w:r>
            <w:r w:rsidR="00030737" w:rsidRPr="00030737">
              <w:rPr>
                <w:rFonts w:hint="eastAsia"/>
                <w:sz w:val="24"/>
                <w:szCs w:val="24"/>
              </w:rPr>
              <w:t>和自动驾驶解决方案的</w:t>
            </w:r>
            <w:r w:rsidR="0031370B">
              <w:rPr>
                <w:rFonts w:hint="eastAsia"/>
                <w:sz w:val="24"/>
                <w:szCs w:val="24"/>
              </w:rPr>
              <w:t>科技服务商</w:t>
            </w:r>
            <w:r w:rsidR="00030737" w:rsidRPr="00030737">
              <w:rPr>
                <w:rFonts w:hint="eastAsia"/>
                <w:sz w:val="24"/>
                <w:szCs w:val="24"/>
              </w:rPr>
              <w:t>，主要针对</w:t>
            </w:r>
            <w:r w:rsidR="0031370B">
              <w:rPr>
                <w:rFonts w:hint="eastAsia"/>
                <w:sz w:val="24"/>
                <w:szCs w:val="24"/>
              </w:rPr>
              <w:t>第二个</w:t>
            </w:r>
            <w:r w:rsidR="00030737" w:rsidRPr="00030737">
              <w:rPr>
                <w:rFonts w:hint="eastAsia"/>
                <w:sz w:val="24"/>
                <w:szCs w:val="24"/>
              </w:rPr>
              <w:t>领域，</w:t>
            </w:r>
            <w:r w:rsidR="00030737">
              <w:rPr>
                <w:rFonts w:hint="eastAsia"/>
                <w:sz w:val="24"/>
                <w:szCs w:val="24"/>
              </w:rPr>
              <w:t>使</w:t>
            </w:r>
            <w:r w:rsidR="00030737" w:rsidRPr="00030737">
              <w:rPr>
                <w:rFonts w:hint="eastAsia"/>
                <w:sz w:val="24"/>
                <w:szCs w:val="24"/>
              </w:rPr>
              <w:t>车路协同服务于自动驾驶。</w:t>
            </w:r>
            <w:r w:rsidR="00C62FA4">
              <w:rPr>
                <w:rFonts w:hint="eastAsia"/>
                <w:sz w:val="24"/>
                <w:szCs w:val="24"/>
              </w:rPr>
              <w:t>目前，</w:t>
            </w:r>
            <w:r w:rsidR="00030737" w:rsidRPr="00030737">
              <w:rPr>
                <w:rFonts w:hint="eastAsia"/>
                <w:sz w:val="24"/>
                <w:szCs w:val="24"/>
              </w:rPr>
              <w:t>在港口</w:t>
            </w:r>
            <w:r w:rsidR="00030737" w:rsidRPr="00030737">
              <w:rPr>
                <w:rFonts w:hint="eastAsia"/>
                <w:sz w:val="24"/>
                <w:szCs w:val="24"/>
              </w:rPr>
              <w:t>L4</w:t>
            </w:r>
            <w:r w:rsidR="00030737" w:rsidRPr="00030737">
              <w:rPr>
                <w:rFonts w:hint="eastAsia"/>
                <w:sz w:val="24"/>
                <w:szCs w:val="24"/>
              </w:rPr>
              <w:t>无人驾驶业务方面，日照港、唐山港、济宁港项目</w:t>
            </w:r>
            <w:proofErr w:type="gramStart"/>
            <w:r w:rsidR="00030737" w:rsidRPr="00030737">
              <w:rPr>
                <w:rFonts w:hint="eastAsia"/>
                <w:sz w:val="24"/>
                <w:szCs w:val="24"/>
              </w:rPr>
              <w:t>均应用</w:t>
            </w:r>
            <w:proofErr w:type="gramEnd"/>
            <w:r w:rsidR="00030737" w:rsidRPr="00030737">
              <w:rPr>
                <w:rFonts w:hint="eastAsia"/>
                <w:sz w:val="24"/>
                <w:szCs w:val="24"/>
              </w:rPr>
              <w:t>了公司自</w:t>
            </w:r>
            <w:proofErr w:type="gramStart"/>
            <w:r w:rsidR="00030737" w:rsidRPr="00030737">
              <w:rPr>
                <w:rFonts w:hint="eastAsia"/>
                <w:sz w:val="24"/>
                <w:szCs w:val="24"/>
              </w:rPr>
              <w:t>研</w:t>
            </w:r>
            <w:proofErr w:type="gramEnd"/>
            <w:r w:rsidR="00030737" w:rsidRPr="00030737">
              <w:rPr>
                <w:rFonts w:hint="eastAsia"/>
                <w:sz w:val="24"/>
                <w:szCs w:val="24"/>
              </w:rPr>
              <w:t>的车路协同系统，</w:t>
            </w:r>
            <w:proofErr w:type="gramStart"/>
            <w:r w:rsidR="00030737" w:rsidRPr="00030737">
              <w:rPr>
                <w:rFonts w:hint="eastAsia"/>
                <w:sz w:val="24"/>
                <w:szCs w:val="24"/>
              </w:rPr>
              <w:t>包括路测的</w:t>
            </w:r>
            <w:proofErr w:type="gramEnd"/>
            <w:r w:rsidR="00030737" w:rsidRPr="00030737">
              <w:rPr>
                <w:rFonts w:hint="eastAsia"/>
                <w:sz w:val="24"/>
                <w:szCs w:val="24"/>
              </w:rPr>
              <w:t>感知设备和通讯设备。</w:t>
            </w:r>
          </w:p>
          <w:p w14:paraId="2C7763BE" w14:textId="43D8AF66" w:rsidR="00C62FA4" w:rsidRDefault="00C62FA4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公司在车路协同方面</w:t>
            </w:r>
            <w:r w:rsidRPr="00C62FA4">
              <w:rPr>
                <w:rFonts w:hint="eastAsia"/>
                <w:sz w:val="24"/>
                <w:szCs w:val="24"/>
              </w:rPr>
              <w:t>后续的推进计划如何？</w:t>
            </w:r>
          </w:p>
          <w:p w14:paraId="22BF7A0A" w14:textId="53B45900" w:rsidR="00574732" w:rsidRDefault="00236053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030737" w:rsidRPr="00030737">
              <w:rPr>
                <w:rFonts w:hint="eastAsia"/>
                <w:sz w:val="24"/>
                <w:szCs w:val="24"/>
              </w:rPr>
              <w:t>公司</w:t>
            </w:r>
            <w:r>
              <w:rPr>
                <w:rFonts w:hint="eastAsia"/>
                <w:sz w:val="24"/>
                <w:szCs w:val="24"/>
              </w:rPr>
              <w:t>后续</w:t>
            </w:r>
            <w:r w:rsidR="00030737" w:rsidRPr="00030737">
              <w:rPr>
                <w:rFonts w:hint="eastAsia"/>
                <w:sz w:val="24"/>
                <w:szCs w:val="24"/>
              </w:rPr>
              <w:t>会基于过去几年积累的港口封闭场景的经验与技术，逐渐地向开放道路拓展业务，</w:t>
            </w:r>
            <w:r w:rsidR="00574732" w:rsidRPr="00574732">
              <w:rPr>
                <w:rFonts w:hint="eastAsia"/>
                <w:sz w:val="24"/>
                <w:szCs w:val="24"/>
              </w:rPr>
              <w:t>目前</w:t>
            </w:r>
            <w:r w:rsidR="0050323F">
              <w:rPr>
                <w:rFonts w:hint="eastAsia"/>
                <w:sz w:val="24"/>
                <w:szCs w:val="24"/>
              </w:rPr>
              <w:t>主要</w:t>
            </w:r>
            <w:r w:rsidR="00574732" w:rsidRPr="00574732">
              <w:rPr>
                <w:rFonts w:hint="eastAsia"/>
                <w:sz w:val="24"/>
                <w:szCs w:val="24"/>
              </w:rPr>
              <w:t>有两个思路</w:t>
            </w:r>
            <w:r w:rsidR="00574732">
              <w:rPr>
                <w:rFonts w:hint="eastAsia"/>
                <w:sz w:val="24"/>
                <w:szCs w:val="24"/>
              </w:rPr>
              <w:t>：</w:t>
            </w:r>
            <w:r w:rsidR="00574732" w:rsidRPr="00574732">
              <w:rPr>
                <w:rFonts w:hint="eastAsia"/>
                <w:sz w:val="24"/>
                <w:szCs w:val="24"/>
              </w:rPr>
              <w:t>一个是公司自己做</w:t>
            </w:r>
            <w:r w:rsidR="00574732" w:rsidRPr="00574732">
              <w:rPr>
                <w:rFonts w:hint="eastAsia"/>
                <w:sz w:val="24"/>
                <w:szCs w:val="24"/>
              </w:rPr>
              <w:t>L4</w:t>
            </w:r>
            <w:r w:rsidR="00574732" w:rsidRPr="00574732">
              <w:rPr>
                <w:rFonts w:hint="eastAsia"/>
                <w:sz w:val="24"/>
                <w:szCs w:val="24"/>
              </w:rPr>
              <w:t>级别的公开道路的运营，预计</w:t>
            </w:r>
            <w:r w:rsidR="00574732">
              <w:rPr>
                <w:rFonts w:hint="eastAsia"/>
                <w:sz w:val="24"/>
                <w:szCs w:val="24"/>
              </w:rPr>
              <w:t>后续</w:t>
            </w:r>
            <w:r w:rsidR="00574732" w:rsidRPr="00574732">
              <w:rPr>
                <w:rFonts w:hint="eastAsia"/>
                <w:sz w:val="24"/>
                <w:szCs w:val="24"/>
              </w:rPr>
              <w:t>会逐渐进行公开道路的</w:t>
            </w:r>
            <w:r w:rsidR="00574732" w:rsidRPr="00574732">
              <w:rPr>
                <w:rFonts w:hint="eastAsia"/>
                <w:sz w:val="24"/>
                <w:szCs w:val="24"/>
              </w:rPr>
              <w:t>L4</w:t>
            </w:r>
            <w:r w:rsidR="00574732" w:rsidRPr="00574732">
              <w:rPr>
                <w:rFonts w:hint="eastAsia"/>
                <w:sz w:val="24"/>
                <w:szCs w:val="24"/>
              </w:rPr>
              <w:t>无人测试，在测试的环节中，公司会在风险较大的点</w:t>
            </w:r>
            <w:proofErr w:type="gramStart"/>
            <w:r w:rsidR="00574732" w:rsidRPr="00574732">
              <w:rPr>
                <w:rFonts w:hint="eastAsia"/>
                <w:sz w:val="24"/>
                <w:szCs w:val="24"/>
              </w:rPr>
              <w:t>位加装车路</w:t>
            </w:r>
            <w:proofErr w:type="gramEnd"/>
            <w:r w:rsidR="00574732" w:rsidRPr="00574732">
              <w:rPr>
                <w:rFonts w:hint="eastAsia"/>
                <w:sz w:val="24"/>
                <w:szCs w:val="24"/>
              </w:rPr>
              <w:t>协同设备，但不会整条路</w:t>
            </w:r>
            <w:r w:rsidR="00574732">
              <w:rPr>
                <w:rFonts w:hint="eastAsia"/>
                <w:sz w:val="24"/>
                <w:szCs w:val="24"/>
              </w:rPr>
              <w:t>全部部署</w:t>
            </w:r>
            <w:r w:rsidR="00574732" w:rsidRPr="00574732">
              <w:rPr>
                <w:rFonts w:hint="eastAsia"/>
                <w:sz w:val="24"/>
                <w:szCs w:val="24"/>
              </w:rPr>
              <w:t>，</w:t>
            </w:r>
            <w:r w:rsidR="00574732">
              <w:rPr>
                <w:rFonts w:hint="eastAsia"/>
                <w:sz w:val="24"/>
                <w:szCs w:val="24"/>
              </w:rPr>
              <w:t>争取</w:t>
            </w:r>
            <w:r w:rsidR="00574732" w:rsidRPr="00574732">
              <w:rPr>
                <w:rFonts w:hint="eastAsia"/>
                <w:sz w:val="24"/>
                <w:szCs w:val="24"/>
              </w:rPr>
              <w:t>做到投入和产出的平衡</w:t>
            </w:r>
            <w:r w:rsidR="00574732">
              <w:rPr>
                <w:rFonts w:hint="eastAsia"/>
                <w:sz w:val="24"/>
                <w:szCs w:val="24"/>
              </w:rPr>
              <w:t>；</w:t>
            </w:r>
            <w:r w:rsidR="00574732" w:rsidRPr="00574732">
              <w:rPr>
                <w:rFonts w:hint="eastAsia"/>
                <w:sz w:val="24"/>
                <w:szCs w:val="24"/>
              </w:rPr>
              <w:t>另一个是对于广泛建设的</w:t>
            </w:r>
            <w:r w:rsidR="00574732">
              <w:rPr>
                <w:rFonts w:hint="eastAsia"/>
                <w:sz w:val="24"/>
                <w:szCs w:val="24"/>
              </w:rPr>
              <w:t>地方</w:t>
            </w:r>
            <w:r w:rsidR="00574732" w:rsidRPr="00574732">
              <w:rPr>
                <w:rFonts w:hint="eastAsia"/>
                <w:sz w:val="24"/>
                <w:szCs w:val="24"/>
              </w:rPr>
              <w:t>项目，公司后续可能会作为技术产品服务商或零部件供应商参与</w:t>
            </w:r>
            <w:proofErr w:type="gramStart"/>
            <w:r w:rsidR="00574732" w:rsidRPr="00574732">
              <w:rPr>
                <w:rFonts w:hint="eastAsia"/>
                <w:sz w:val="24"/>
                <w:szCs w:val="24"/>
              </w:rPr>
              <w:t>提供路测</w:t>
            </w:r>
            <w:proofErr w:type="gramEnd"/>
            <w:r w:rsidR="00574732" w:rsidRPr="00574732">
              <w:rPr>
                <w:rFonts w:hint="eastAsia"/>
                <w:sz w:val="24"/>
                <w:szCs w:val="24"/>
              </w:rPr>
              <w:t>的产品、车载的产品以及</w:t>
            </w:r>
            <w:r w:rsidR="0050323F" w:rsidRPr="00574732">
              <w:rPr>
                <w:rFonts w:hint="eastAsia"/>
                <w:sz w:val="24"/>
                <w:szCs w:val="24"/>
              </w:rPr>
              <w:t>进行</w:t>
            </w:r>
            <w:proofErr w:type="gramStart"/>
            <w:r w:rsidR="00574732" w:rsidRPr="00574732">
              <w:rPr>
                <w:rFonts w:hint="eastAsia"/>
                <w:sz w:val="24"/>
                <w:szCs w:val="24"/>
              </w:rPr>
              <w:t>产品网</w:t>
            </w:r>
            <w:proofErr w:type="gramEnd"/>
            <w:r w:rsidR="00574732" w:rsidRPr="00574732">
              <w:rPr>
                <w:rFonts w:hint="eastAsia"/>
                <w:sz w:val="24"/>
                <w:szCs w:val="24"/>
              </w:rPr>
              <w:t>联化和云端管理的后台服务。</w:t>
            </w:r>
          </w:p>
          <w:p w14:paraId="34CCBA27" w14:textId="77777777" w:rsidR="00AB66FB" w:rsidRDefault="00AB66FB" w:rsidP="00AB66FB">
            <w:pPr>
              <w:spacing w:line="360" w:lineRule="auto"/>
              <w:rPr>
                <w:sz w:val="24"/>
                <w:szCs w:val="24"/>
              </w:rPr>
            </w:pPr>
          </w:p>
          <w:p w14:paraId="2741858A" w14:textId="6B09DB32" w:rsidR="00E741C0" w:rsidRDefault="00236053" w:rsidP="00AB66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41C0">
              <w:rPr>
                <w:sz w:val="24"/>
                <w:szCs w:val="24"/>
              </w:rPr>
              <w:t>.</w:t>
            </w:r>
            <w:r w:rsidR="009C5E51">
              <w:rPr>
                <w:rFonts w:hint="eastAsia"/>
                <w:sz w:val="24"/>
                <w:szCs w:val="24"/>
              </w:rPr>
              <w:t>公司如何保证在人员总量基本稳定的情况下收入的持续增长</w:t>
            </w:r>
            <w:r w:rsidR="00E741C0">
              <w:rPr>
                <w:rFonts w:hint="eastAsia"/>
                <w:sz w:val="24"/>
                <w:szCs w:val="24"/>
              </w:rPr>
              <w:t>？</w:t>
            </w:r>
          </w:p>
          <w:p w14:paraId="2E955C08" w14:textId="0F8C6960" w:rsidR="000303A2" w:rsidRPr="00A8068A" w:rsidRDefault="00E741C0" w:rsidP="000B3C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264716" w:rsidRPr="00264716">
              <w:rPr>
                <w:rFonts w:hint="eastAsia"/>
                <w:sz w:val="24"/>
                <w:szCs w:val="24"/>
              </w:rPr>
              <w:t>首先，公司前期诸如</w:t>
            </w:r>
            <w:r w:rsidR="00264716" w:rsidRPr="00264716">
              <w:rPr>
                <w:rFonts w:hint="eastAsia"/>
                <w:sz w:val="24"/>
                <w:szCs w:val="24"/>
              </w:rPr>
              <w:t>AR-HUD</w:t>
            </w:r>
            <w:r w:rsidR="00264716" w:rsidRPr="00264716">
              <w:rPr>
                <w:rFonts w:hint="eastAsia"/>
                <w:sz w:val="24"/>
                <w:szCs w:val="24"/>
              </w:rPr>
              <w:t>以及车身域控、</w:t>
            </w:r>
            <w:proofErr w:type="gramStart"/>
            <w:r w:rsidR="00264716" w:rsidRPr="00264716">
              <w:rPr>
                <w:rFonts w:hint="eastAsia"/>
                <w:sz w:val="24"/>
                <w:szCs w:val="24"/>
              </w:rPr>
              <w:t>智驾域控</w:t>
            </w:r>
            <w:proofErr w:type="gramEnd"/>
            <w:r w:rsidR="00264716" w:rsidRPr="00264716"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="00264716" w:rsidRPr="00264716">
              <w:rPr>
                <w:rFonts w:hint="eastAsia"/>
                <w:sz w:val="24"/>
                <w:szCs w:val="24"/>
              </w:rPr>
              <w:t>底盘域控等</w:t>
            </w:r>
            <w:proofErr w:type="gramEnd"/>
            <w:r w:rsidR="00264716" w:rsidRPr="00264716">
              <w:rPr>
                <w:rFonts w:hint="eastAsia"/>
                <w:sz w:val="24"/>
                <w:szCs w:val="24"/>
              </w:rPr>
              <w:t>新产品需要投入的开发人员较多，因此人员增长较快，目前新产品逐步进入量</w:t>
            </w:r>
            <w:proofErr w:type="gramStart"/>
            <w:r w:rsidR="00264716" w:rsidRPr="00264716">
              <w:rPr>
                <w:rFonts w:hint="eastAsia"/>
                <w:sz w:val="24"/>
                <w:szCs w:val="24"/>
              </w:rPr>
              <w:t>产状态</w:t>
            </w:r>
            <w:proofErr w:type="gramEnd"/>
            <w:r w:rsidR="00264716" w:rsidRPr="00264716">
              <w:rPr>
                <w:rFonts w:hint="eastAsia"/>
                <w:sz w:val="24"/>
                <w:szCs w:val="24"/>
              </w:rPr>
              <w:t>形成持续收入，量产后不再需要大规模的开发人员进行投入，在人员保持基本稳定的情况下未来会保持人均收入的提升。其次，公司对人员实行矩阵化管理，部分人员复用性较高，能够支撑各个业务线</w:t>
            </w:r>
            <w:r w:rsidR="008D2EC0">
              <w:rPr>
                <w:rFonts w:hint="eastAsia"/>
                <w:sz w:val="24"/>
                <w:szCs w:val="24"/>
              </w:rPr>
              <w:t>；</w:t>
            </w:r>
            <w:r w:rsidR="00264716" w:rsidRPr="00264716">
              <w:rPr>
                <w:rFonts w:hint="eastAsia"/>
                <w:sz w:val="24"/>
                <w:szCs w:val="24"/>
              </w:rPr>
              <w:t>针对大部分项目，当进入相对成熟的阶段后，后续需要投入的人力和时间精力等成本都会大幅下降，部分人力资源可以得到释放从而投入到新的项目中；随着技术和经验的积累，后续项目的可复用部分增加，项目本身需要的人力会相对减少</w:t>
            </w:r>
            <w:r w:rsidR="008D2EC0">
              <w:rPr>
                <w:rFonts w:hint="eastAsia"/>
                <w:sz w:val="24"/>
                <w:szCs w:val="24"/>
              </w:rPr>
              <w:t>。</w:t>
            </w:r>
            <w:r w:rsidR="00264716" w:rsidRPr="00264716">
              <w:rPr>
                <w:rFonts w:hint="eastAsia"/>
                <w:sz w:val="24"/>
                <w:szCs w:val="24"/>
              </w:rPr>
              <w:t>同时，公司也在积极提升人效，对各个事业部都提出了相应的任务目标。因此，短期内公司人员数量基本稳定的情况下，仍可保持收入的稳定增长。</w:t>
            </w:r>
          </w:p>
        </w:tc>
      </w:tr>
    </w:tbl>
    <w:p w14:paraId="2EE411BA" w14:textId="137596BD" w:rsidR="00D65459" w:rsidRPr="005C7F57" w:rsidRDefault="00D65459"/>
    <w:sectPr w:rsidR="00D65459" w:rsidRPr="005C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BE0BE" w14:textId="77777777" w:rsidR="000A7932" w:rsidRDefault="000A7932" w:rsidP="006804F5">
      <w:r>
        <w:separator/>
      </w:r>
    </w:p>
  </w:endnote>
  <w:endnote w:type="continuationSeparator" w:id="0">
    <w:p w14:paraId="22488A71" w14:textId="77777777" w:rsidR="000A7932" w:rsidRDefault="000A7932" w:rsidP="0068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3E8F9" w14:textId="77777777" w:rsidR="000A7932" w:rsidRDefault="000A7932" w:rsidP="006804F5">
      <w:r>
        <w:separator/>
      </w:r>
    </w:p>
  </w:footnote>
  <w:footnote w:type="continuationSeparator" w:id="0">
    <w:p w14:paraId="30D441F1" w14:textId="77777777" w:rsidR="000A7932" w:rsidRDefault="000A7932" w:rsidP="0068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D3365"/>
    <w:multiLevelType w:val="hybridMultilevel"/>
    <w:tmpl w:val="25BC1F42"/>
    <w:lvl w:ilvl="0" w:tplc="427C096E">
      <w:start w:val="1"/>
      <w:numFmt w:val="decimal"/>
      <w:lvlText w:val="%1."/>
      <w:lvlJc w:val="left"/>
      <w:pPr>
        <w:ind w:left="290" w:hanging="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C78B6"/>
    <w:multiLevelType w:val="hybridMultilevel"/>
    <w:tmpl w:val="B9D2313E"/>
    <w:lvl w:ilvl="0" w:tplc="C840B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1165165">
    <w:abstractNumId w:val="0"/>
  </w:num>
  <w:num w:numId="2" w16cid:durableId="199047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8A"/>
    <w:rsid w:val="000020AB"/>
    <w:rsid w:val="00003E07"/>
    <w:rsid w:val="00004FF1"/>
    <w:rsid w:val="000115ED"/>
    <w:rsid w:val="0001368C"/>
    <w:rsid w:val="0001654A"/>
    <w:rsid w:val="000233C0"/>
    <w:rsid w:val="000267A1"/>
    <w:rsid w:val="000303A2"/>
    <w:rsid w:val="00030737"/>
    <w:rsid w:val="000340EE"/>
    <w:rsid w:val="00034821"/>
    <w:rsid w:val="00037ACA"/>
    <w:rsid w:val="000413F1"/>
    <w:rsid w:val="0004297E"/>
    <w:rsid w:val="00050A16"/>
    <w:rsid w:val="00055464"/>
    <w:rsid w:val="000622D5"/>
    <w:rsid w:val="00070603"/>
    <w:rsid w:val="00073FA0"/>
    <w:rsid w:val="00074323"/>
    <w:rsid w:val="00082534"/>
    <w:rsid w:val="00082BD2"/>
    <w:rsid w:val="00093BDE"/>
    <w:rsid w:val="000960D2"/>
    <w:rsid w:val="000966BF"/>
    <w:rsid w:val="00097CC1"/>
    <w:rsid w:val="00097FFA"/>
    <w:rsid w:val="000A77DB"/>
    <w:rsid w:val="000A7932"/>
    <w:rsid w:val="000B0E9B"/>
    <w:rsid w:val="000B0FF7"/>
    <w:rsid w:val="000B3C22"/>
    <w:rsid w:val="000B7205"/>
    <w:rsid w:val="000C298D"/>
    <w:rsid w:val="000C3C53"/>
    <w:rsid w:val="000C62D8"/>
    <w:rsid w:val="000D3AF8"/>
    <w:rsid w:val="000E1939"/>
    <w:rsid w:val="000E2512"/>
    <w:rsid w:val="000E3FEB"/>
    <w:rsid w:val="000F21E1"/>
    <w:rsid w:val="000F2F70"/>
    <w:rsid w:val="000F319B"/>
    <w:rsid w:val="000F3C11"/>
    <w:rsid w:val="000F57D4"/>
    <w:rsid w:val="00104B5F"/>
    <w:rsid w:val="00105034"/>
    <w:rsid w:val="0012302D"/>
    <w:rsid w:val="00124B3C"/>
    <w:rsid w:val="001261E6"/>
    <w:rsid w:val="00130BA5"/>
    <w:rsid w:val="001324FF"/>
    <w:rsid w:val="00136A14"/>
    <w:rsid w:val="001442D6"/>
    <w:rsid w:val="00145A85"/>
    <w:rsid w:val="0016015F"/>
    <w:rsid w:val="00164AC9"/>
    <w:rsid w:val="00166CA7"/>
    <w:rsid w:val="001724BF"/>
    <w:rsid w:val="0017678D"/>
    <w:rsid w:val="0017686C"/>
    <w:rsid w:val="00177438"/>
    <w:rsid w:val="00183052"/>
    <w:rsid w:val="00185E86"/>
    <w:rsid w:val="001908FE"/>
    <w:rsid w:val="00196D95"/>
    <w:rsid w:val="001A2411"/>
    <w:rsid w:val="001A528C"/>
    <w:rsid w:val="001B1FBD"/>
    <w:rsid w:val="001B29B7"/>
    <w:rsid w:val="001D6056"/>
    <w:rsid w:val="001E65BC"/>
    <w:rsid w:val="001E6E04"/>
    <w:rsid w:val="001F2AAC"/>
    <w:rsid w:val="002031DF"/>
    <w:rsid w:val="002143D0"/>
    <w:rsid w:val="002166CA"/>
    <w:rsid w:val="00226229"/>
    <w:rsid w:val="00236053"/>
    <w:rsid w:val="002365B7"/>
    <w:rsid w:val="00237506"/>
    <w:rsid w:val="00242049"/>
    <w:rsid w:val="00243371"/>
    <w:rsid w:val="00244E93"/>
    <w:rsid w:val="00247F13"/>
    <w:rsid w:val="002528F4"/>
    <w:rsid w:val="00254F6C"/>
    <w:rsid w:val="00255C6F"/>
    <w:rsid w:val="00263D92"/>
    <w:rsid w:val="00264406"/>
    <w:rsid w:val="00264716"/>
    <w:rsid w:val="00267FF7"/>
    <w:rsid w:val="002813D7"/>
    <w:rsid w:val="00281D6B"/>
    <w:rsid w:val="00284B8E"/>
    <w:rsid w:val="00286CB3"/>
    <w:rsid w:val="00293A4D"/>
    <w:rsid w:val="002A3292"/>
    <w:rsid w:val="002B01C6"/>
    <w:rsid w:val="002B3697"/>
    <w:rsid w:val="002B5594"/>
    <w:rsid w:val="002C3654"/>
    <w:rsid w:val="002C3823"/>
    <w:rsid w:val="002C510F"/>
    <w:rsid w:val="002D1612"/>
    <w:rsid w:val="002D322D"/>
    <w:rsid w:val="002D4893"/>
    <w:rsid w:val="002E0E84"/>
    <w:rsid w:val="002E5E0F"/>
    <w:rsid w:val="002E6609"/>
    <w:rsid w:val="002F63AE"/>
    <w:rsid w:val="0030214F"/>
    <w:rsid w:val="0030246B"/>
    <w:rsid w:val="00312A87"/>
    <w:rsid w:val="0031370B"/>
    <w:rsid w:val="00321C53"/>
    <w:rsid w:val="003267C8"/>
    <w:rsid w:val="0033383C"/>
    <w:rsid w:val="003342A3"/>
    <w:rsid w:val="00335266"/>
    <w:rsid w:val="00343A5D"/>
    <w:rsid w:val="00345D71"/>
    <w:rsid w:val="00347D59"/>
    <w:rsid w:val="003511BC"/>
    <w:rsid w:val="00355E52"/>
    <w:rsid w:val="00356029"/>
    <w:rsid w:val="00364A5B"/>
    <w:rsid w:val="003673E9"/>
    <w:rsid w:val="00377DE6"/>
    <w:rsid w:val="00382931"/>
    <w:rsid w:val="003929CE"/>
    <w:rsid w:val="00393E93"/>
    <w:rsid w:val="003A4008"/>
    <w:rsid w:val="003A6210"/>
    <w:rsid w:val="003A6F33"/>
    <w:rsid w:val="003A7336"/>
    <w:rsid w:val="003B5321"/>
    <w:rsid w:val="003B7244"/>
    <w:rsid w:val="003C3359"/>
    <w:rsid w:val="003D628D"/>
    <w:rsid w:val="003E2E53"/>
    <w:rsid w:val="003E3F3B"/>
    <w:rsid w:val="003E4701"/>
    <w:rsid w:val="003E78BB"/>
    <w:rsid w:val="003F3154"/>
    <w:rsid w:val="00410382"/>
    <w:rsid w:val="004366F9"/>
    <w:rsid w:val="004438CF"/>
    <w:rsid w:val="0044748F"/>
    <w:rsid w:val="00451BE4"/>
    <w:rsid w:val="00455477"/>
    <w:rsid w:val="004671C0"/>
    <w:rsid w:val="0047228E"/>
    <w:rsid w:val="00472422"/>
    <w:rsid w:val="0048262A"/>
    <w:rsid w:val="004922BD"/>
    <w:rsid w:val="004930AB"/>
    <w:rsid w:val="00493176"/>
    <w:rsid w:val="004A0E9E"/>
    <w:rsid w:val="004A36FE"/>
    <w:rsid w:val="004A495F"/>
    <w:rsid w:val="004A6796"/>
    <w:rsid w:val="004B2CD6"/>
    <w:rsid w:val="004C420D"/>
    <w:rsid w:val="004C6C6B"/>
    <w:rsid w:val="004D0678"/>
    <w:rsid w:val="004F2B64"/>
    <w:rsid w:val="004F3876"/>
    <w:rsid w:val="004F539F"/>
    <w:rsid w:val="004F71D6"/>
    <w:rsid w:val="0050323F"/>
    <w:rsid w:val="00504E33"/>
    <w:rsid w:val="0050700D"/>
    <w:rsid w:val="0050735A"/>
    <w:rsid w:val="005157ED"/>
    <w:rsid w:val="00521D9A"/>
    <w:rsid w:val="00522887"/>
    <w:rsid w:val="00523609"/>
    <w:rsid w:val="00534CD0"/>
    <w:rsid w:val="005367AC"/>
    <w:rsid w:val="005460B5"/>
    <w:rsid w:val="005503D6"/>
    <w:rsid w:val="00553208"/>
    <w:rsid w:val="0056155E"/>
    <w:rsid w:val="0056260D"/>
    <w:rsid w:val="00562A8D"/>
    <w:rsid w:val="00571FE5"/>
    <w:rsid w:val="00574732"/>
    <w:rsid w:val="005761FD"/>
    <w:rsid w:val="0057710E"/>
    <w:rsid w:val="00582C56"/>
    <w:rsid w:val="00583100"/>
    <w:rsid w:val="00584CFF"/>
    <w:rsid w:val="00587073"/>
    <w:rsid w:val="005901B0"/>
    <w:rsid w:val="00591AF4"/>
    <w:rsid w:val="0059413B"/>
    <w:rsid w:val="005A4AC1"/>
    <w:rsid w:val="005A57D2"/>
    <w:rsid w:val="005C7F57"/>
    <w:rsid w:val="005D51F1"/>
    <w:rsid w:val="005E3426"/>
    <w:rsid w:val="005E6A3C"/>
    <w:rsid w:val="005F0A8D"/>
    <w:rsid w:val="005F2505"/>
    <w:rsid w:val="005F2987"/>
    <w:rsid w:val="005F49C1"/>
    <w:rsid w:val="00600470"/>
    <w:rsid w:val="0061238F"/>
    <w:rsid w:val="00620E58"/>
    <w:rsid w:val="00626777"/>
    <w:rsid w:val="00630333"/>
    <w:rsid w:val="006327BD"/>
    <w:rsid w:val="00633FA9"/>
    <w:rsid w:val="00634BB9"/>
    <w:rsid w:val="006556E5"/>
    <w:rsid w:val="00656EE1"/>
    <w:rsid w:val="006706CF"/>
    <w:rsid w:val="006761C3"/>
    <w:rsid w:val="006804F5"/>
    <w:rsid w:val="00681783"/>
    <w:rsid w:val="006851D5"/>
    <w:rsid w:val="0068538C"/>
    <w:rsid w:val="0069133F"/>
    <w:rsid w:val="0069559F"/>
    <w:rsid w:val="006A59E5"/>
    <w:rsid w:val="006A610E"/>
    <w:rsid w:val="006C199E"/>
    <w:rsid w:val="006C23E5"/>
    <w:rsid w:val="006C36B8"/>
    <w:rsid w:val="006D237C"/>
    <w:rsid w:val="006D3F29"/>
    <w:rsid w:val="006E56E1"/>
    <w:rsid w:val="006E7871"/>
    <w:rsid w:val="006F6D88"/>
    <w:rsid w:val="00707268"/>
    <w:rsid w:val="007150B6"/>
    <w:rsid w:val="00715D21"/>
    <w:rsid w:val="007267B6"/>
    <w:rsid w:val="00736559"/>
    <w:rsid w:val="007411CA"/>
    <w:rsid w:val="00747D20"/>
    <w:rsid w:val="00755F04"/>
    <w:rsid w:val="00762C10"/>
    <w:rsid w:val="00764D30"/>
    <w:rsid w:val="00770C4E"/>
    <w:rsid w:val="00774ED2"/>
    <w:rsid w:val="0078301B"/>
    <w:rsid w:val="00785BF0"/>
    <w:rsid w:val="007975E4"/>
    <w:rsid w:val="007A0714"/>
    <w:rsid w:val="007A10D1"/>
    <w:rsid w:val="007A22D4"/>
    <w:rsid w:val="007B0D34"/>
    <w:rsid w:val="007C2BB7"/>
    <w:rsid w:val="007D53FB"/>
    <w:rsid w:val="007D6C42"/>
    <w:rsid w:val="007D7150"/>
    <w:rsid w:val="0080074C"/>
    <w:rsid w:val="00803380"/>
    <w:rsid w:val="00810FAA"/>
    <w:rsid w:val="008114DF"/>
    <w:rsid w:val="0081467C"/>
    <w:rsid w:val="00823B6A"/>
    <w:rsid w:val="00823F9D"/>
    <w:rsid w:val="00825210"/>
    <w:rsid w:val="0083327C"/>
    <w:rsid w:val="0083468A"/>
    <w:rsid w:val="00842701"/>
    <w:rsid w:val="0084535E"/>
    <w:rsid w:val="00851D26"/>
    <w:rsid w:val="00857EA6"/>
    <w:rsid w:val="0086155A"/>
    <w:rsid w:val="00866C13"/>
    <w:rsid w:val="008740D1"/>
    <w:rsid w:val="00881215"/>
    <w:rsid w:val="00893EF7"/>
    <w:rsid w:val="008A04C4"/>
    <w:rsid w:val="008A1B72"/>
    <w:rsid w:val="008B1FEF"/>
    <w:rsid w:val="008B2656"/>
    <w:rsid w:val="008B35CE"/>
    <w:rsid w:val="008B6CF1"/>
    <w:rsid w:val="008C1658"/>
    <w:rsid w:val="008C2845"/>
    <w:rsid w:val="008C6346"/>
    <w:rsid w:val="008D2C98"/>
    <w:rsid w:val="008D2EC0"/>
    <w:rsid w:val="008E5A6A"/>
    <w:rsid w:val="008F2DEB"/>
    <w:rsid w:val="008F3B9F"/>
    <w:rsid w:val="00904B95"/>
    <w:rsid w:val="009104A1"/>
    <w:rsid w:val="0091202E"/>
    <w:rsid w:val="009157A8"/>
    <w:rsid w:val="00921C08"/>
    <w:rsid w:val="00932D2A"/>
    <w:rsid w:val="0094501C"/>
    <w:rsid w:val="00972591"/>
    <w:rsid w:val="00973A0E"/>
    <w:rsid w:val="00973BD0"/>
    <w:rsid w:val="00975778"/>
    <w:rsid w:val="0098294E"/>
    <w:rsid w:val="0098342D"/>
    <w:rsid w:val="00987D0A"/>
    <w:rsid w:val="0099064A"/>
    <w:rsid w:val="00990A4E"/>
    <w:rsid w:val="009968E3"/>
    <w:rsid w:val="009A23F4"/>
    <w:rsid w:val="009A4C87"/>
    <w:rsid w:val="009A764B"/>
    <w:rsid w:val="009B236F"/>
    <w:rsid w:val="009B2F09"/>
    <w:rsid w:val="009B36E1"/>
    <w:rsid w:val="009B4845"/>
    <w:rsid w:val="009C2D73"/>
    <w:rsid w:val="009C5E51"/>
    <w:rsid w:val="009D314D"/>
    <w:rsid w:val="009D3F0C"/>
    <w:rsid w:val="009D4C60"/>
    <w:rsid w:val="009D5B65"/>
    <w:rsid w:val="009D709B"/>
    <w:rsid w:val="009E50BE"/>
    <w:rsid w:val="009E512C"/>
    <w:rsid w:val="009E7E8A"/>
    <w:rsid w:val="009F2D49"/>
    <w:rsid w:val="009F4695"/>
    <w:rsid w:val="009F4D2E"/>
    <w:rsid w:val="00A028B8"/>
    <w:rsid w:val="00A104D9"/>
    <w:rsid w:val="00A16E3B"/>
    <w:rsid w:val="00A269FF"/>
    <w:rsid w:val="00A30A30"/>
    <w:rsid w:val="00A32272"/>
    <w:rsid w:val="00A36C46"/>
    <w:rsid w:val="00A532F9"/>
    <w:rsid w:val="00A55039"/>
    <w:rsid w:val="00A66A8A"/>
    <w:rsid w:val="00A8068A"/>
    <w:rsid w:val="00A814E8"/>
    <w:rsid w:val="00A858EA"/>
    <w:rsid w:val="00A86BCD"/>
    <w:rsid w:val="00A86DE7"/>
    <w:rsid w:val="00A91F60"/>
    <w:rsid w:val="00A962C7"/>
    <w:rsid w:val="00A96AE3"/>
    <w:rsid w:val="00AA047A"/>
    <w:rsid w:val="00AA5C2B"/>
    <w:rsid w:val="00AB0EE8"/>
    <w:rsid w:val="00AB66FB"/>
    <w:rsid w:val="00AC401A"/>
    <w:rsid w:val="00AC45CF"/>
    <w:rsid w:val="00AD598A"/>
    <w:rsid w:val="00AD726C"/>
    <w:rsid w:val="00AD7852"/>
    <w:rsid w:val="00AF1115"/>
    <w:rsid w:val="00AF61BC"/>
    <w:rsid w:val="00AF6D9E"/>
    <w:rsid w:val="00B005E5"/>
    <w:rsid w:val="00B00F3D"/>
    <w:rsid w:val="00B162A6"/>
    <w:rsid w:val="00B2124F"/>
    <w:rsid w:val="00B23214"/>
    <w:rsid w:val="00B40E38"/>
    <w:rsid w:val="00B4415D"/>
    <w:rsid w:val="00B4716C"/>
    <w:rsid w:val="00B52FD2"/>
    <w:rsid w:val="00B6761E"/>
    <w:rsid w:val="00B821E2"/>
    <w:rsid w:val="00B8228A"/>
    <w:rsid w:val="00BA51AF"/>
    <w:rsid w:val="00BA5B15"/>
    <w:rsid w:val="00BB170B"/>
    <w:rsid w:val="00BB648B"/>
    <w:rsid w:val="00BC3198"/>
    <w:rsid w:val="00BC393F"/>
    <w:rsid w:val="00BD2DBA"/>
    <w:rsid w:val="00BD3E2E"/>
    <w:rsid w:val="00BF2563"/>
    <w:rsid w:val="00BF3989"/>
    <w:rsid w:val="00C033D8"/>
    <w:rsid w:val="00C10EFB"/>
    <w:rsid w:val="00C14DFF"/>
    <w:rsid w:val="00C1769D"/>
    <w:rsid w:val="00C202B5"/>
    <w:rsid w:val="00C2654F"/>
    <w:rsid w:val="00C26CFB"/>
    <w:rsid w:val="00C368FE"/>
    <w:rsid w:val="00C41ABE"/>
    <w:rsid w:val="00C42CA1"/>
    <w:rsid w:val="00C5598E"/>
    <w:rsid w:val="00C606CF"/>
    <w:rsid w:val="00C61365"/>
    <w:rsid w:val="00C61F76"/>
    <w:rsid w:val="00C62FA4"/>
    <w:rsid w:val="00C65DD0"/>
    <w:rsid w:val="00C71202"/>
    <w:rsid w:val="00C7180F"/>
    <w:rsid w:val="00C71DE4"/>
    <w:rsid w:val="00C72874"/>
    <w:rsid w:val="00C81164"/>
    <w:rsid w:val="00C9063E"/>
    <w:rsid w:val="00C9131F"/>
    <w:rsid w:val="00C91986"/>
    <w:rsid w:val="00C930CA"/>
    <w:rsid w:val="00C95A50"/>
    <w:rsid w:val="00C9792A"/>
    <w:rsid w:val="00CA17B5"/>
    <w:rsid w:val="00CB56E1"/>
    <w:rsid w:val="00CC0FAC"/>
    <w:rsid w:val="00CC1170"/>
    <w:rsid w:val="00CC554F"/>
    <w:rsid w:val="00CD7976"/>
    <w:rsid w:val="00CE120A"/>
    <w:rsid w:val="00CE3996"/>
    <w:rsid w:val="00CE4DE2"/>
    <w:rsid w:val="00CE6700"/>
    <w:rsid w:val="00CF392E"/>
    <w:rsid w:val="00CF433A"/>
    <w:rsid w:val="00D04811"/>
    <w:rsid w:val="00D05138"/>
    <w:rsid w:val="00D062F9"/>
    <w:rsid w:val="00D30232"/>
    <w:rsid w:val="00D331C5"/>
    <w:rsid w:val="00D33914"/>
    <w:rsid w:val="00D42F02"/>
    <w:rsid w:val="00D460CF"/>
    <w:rsid w:val="00D51B58"/>
    <w:rsid w:val="00D51CF0"/>
    <w:rsid w:val="00D53EBA"/>
    <w:rsid w:val="00D57C1F"/>
    <w:rsid w:val="00D65459"/>
    <w:rsid w:val="00D74ECA"/>
    <w:rsid w:val="00D812E3"/>
    <w:rsid w:val="00D849BC"/>
    <w:rsid w:val="00D91C2D"/>
    <w:rsid w:val="00DA7369"/>
    <w:rsid w:val="00DB5609"/>
    <w:rsid w:val="00DC073C"/>
    <w:rsid w:val="00DC253E"/>
    <w:rsid w:val="00DD27B4"/>
    <w:rsid w:val="00DD477D"/>
    <w:rsid w:val="00DD7A0A"/>
    <w:rsid w:val="00DE5B81"/>
    <w:rsid w:val="00DF12FE"/>
    <w:rsid w:val="00DF1C37"/>
    <w:rsid w:val="00DF6005"/>
    <w:rsid w:val="00DF65FE"/>
    <w:rsid w:val="00E12083"/>
    <w:rsid w:val="00E1680C"/>
    <w:rsid w:val="00E216B5"/>
    <w:rsid w:val="00E25455"/>
    <w:rsid w:val="00E327FD"/>
    <w:rsid w:val="00E41119"/>
    <w:rsid w:val="00E440AF"/>
    <w:rsid w:val="00E65C0A"/>
    <w:rsid w:val="00E6689A"/>
    <w:rsid w:val="00E67C1F"/>
    <w:rsid w:val="00E711FA"/>
    <w:rsid w:val="00E741C0"/>
    <w:rsid w:val="00E74783"/>
    <w:rsid w:val="00E861A8"/>
    <w:rsid w:val="00E91C97"/>
    <w:rsid w:val="00EB3B17"/>
    <w:rsid w:val="00EB5554"/>
    <w:rsid w:val="00EC0F8A"/>
    <w:rsid w:val="00EC5EBD"/>
    <w:rsid w:val="00ED2845"/>
    <w:rsid w:val="00ED60DC"/>
    <w:rsid w:val="00EE371F"/>
    <w:rsid w:val="00EF2E4C"/>
    <w:rsid w:val="00F1165C"/>
    <w:rsid w:val="00F12596"/>
    <w:rsid w:val="00F13256"/>
    <w:rsid w:val="00F23D93"/>
    <w:rsid w:val="00F24487"/>
    <w:rsid w:val="00F25A53"/>
    <w:rsid w:val="00F27D56"/>
    <w:rsid w:val="00F338FE"/>
    <w:rsid w:val="00F37937"/>
    <w:rsid w:val="00F4062D"/>
    <w:rsid w:val="00F53E6A"/>
    <w:rsid w:val="00F61444"/>
    <w:rsid w:val="00F75615"/>
    <w:rsid w:val="00F80E50"/>
    <w:rsid w:val="00F870E4"/>
    <w:rsid w:val="00F8738C"/>
    <w:rsid w:val="00F93DBB"/>
    <w:rsid w:val="00F97C47"/>
    <w:rsid w:val="00FA0D9D"/>
    <w:rsid w:val="00FA3A06"/>
    <w:rsid w:val="00FA5858"/>
    <w:rsid w:val="00FA6293"/>
    <w:rsid w:val="00FB52C9"/>
    <w:rsid w:val="00FB7BEA"/>
    <w:rsid w:val="00FC28A3"/>
    <w:rsid w:val="00FD26BC"/>
    <w:rsid w:val="00FE3257"/>
    <w:rsid w:val="00FE5738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133AB"/>
  <w15:chartTrackingRefBased/>
  <w15:docId w15:val="{87B7AA68-E410-4CFA-9C0E-6E7469F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EA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8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04F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0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04F5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1115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AF1115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AF1115"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1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F1115"/>
    <w:rPr>
      <w:rFonts w:ascii="Calibri" w:eastAsia="宋体" w:hAnsi="Calibri" w:cs="Times New Roman"/>
      <w:b/>
      <w:bCs/>
    </w:rPr>
  </w:style>
  <w:style w:type="paragraph" w:styleId="ae">
    <w:name w:val="Revision"/>
    <w:hidden/>
    <w:uiPriority w:val="99"/>
    <w:semiHidden/>
    <w:rsid w:val="005F49C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天津临时7</dc:creator>
  <cp:keywords/>
  <dc:description/>
  <cp:lastModifiedBy>证券部01</cp:lastModifiedBy>
  <cp:revision>6</cp:revision>
  <dcterms:created xsi:type="dcterms:W3CDTF">2024-06-26T09:14:00Z</dcterms:created>
  <dcterms:modified xsi:type="dcterms:W3CDTF">2024-06-26T10:17:00Z</dcterms:modified>
</cp:coreProperties>
</file>