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BC30D" w14:textId="77777777" w:rsidR="00EE428E" w:rsidRDefault="00000000">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证券代码：6</w:t>
      </w:r>
      <w:r>
        <w:rPr>
          <w:rFonts w:ascii="宋体" w:hAnsi="宋体"/>
          <w:bCs/>
          <w:iCs/>
          <w:color w:val="000000"/>
          <w:sz w:val="24"/>
        </w:rPr>
        <w:t>88343</w:t>
      </w:r>
      <w:r>
        <w:rPr>
          <w:rFonts w:ascii="宋体" w:hAnsi="宋体" w:hint="eastAsia"/>
          <w:bCs/>
          <w:iCs/>
          <w:color w:val="000000"/>
          <w:sz w:val="24"/>
        </w:rPr>
        <w:t xml:space="preserve">                                   证券简称：云天励飞</w:t>
      </w:r>
    </w:p>
    <w:p w14:paraId="60F68597" w14:textId="77777777" w:rsidR="00EE428E" w:rsidRDefault="0000000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深圳云天励飞技术股份有限公司</w:t>
      </w:r>
    </w:p>
    <w:p w14:paraId="6C6FD0B7" w14:textId="5AC0F5FF" w:rsidR="00EE428E" w:rsidRDefault="0000000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2024年0</w:t>
      </w:r>
      <w:r>
        <w:rPr>
          <w:rFonts w:ascii="宋体" w:hAnsi="宋体"/>
          <w:b/>
          <w:bCs/>
          <w:iCs/>
          <w:color w:val="000000"/>
          <w:sz w:val="32"/>
          <w:szCs w:val="32"/>
        </w:rPr>
        <w:t>7</w:t>
      </w:r>
      <w:r>
        <w:rPr>
          <w:rFonts w:ascii="宋体" w:hAnsi="宋体" w:hint="eastAsia"/>
          <w:b/>
          <w:bCs/>
          <w:iCs/>
          <w:color w:val="000000"/>
          <w:sz w:val="32"/>
          <w:szCs w:val="32"/>
        </w:rPr>
        <w:t>月</w:t>
      </w:r>
      <w:r w:rsidR="005C54DF">
        <w:rPr>
          <w:rFonts w:ascii="宋体" w:hAnsi="宋体" w:hint="eastAsia"/>
          <w:b/>
          <w:bCs/>
          <w:iCs/>
          <w:color w:val="000000"/>
          <w:sz w:val="32"/>
          <w:szCs w:val="32"/>
        </w:rPr>
        <w:t>0</w:t>
      </w:r>
      <w:r>
        <w:rPr>
          <w:rFonts w:ascii="宋体" w:hAnsi="宋体"/>
          <w:b/>
          <w:bCs/>
          <w:iCs/>
          <w:color w:val="000000"/>
          <w:sz w:val="32"/>
          <w:szCs w:val="32"/>
        </w:rPr>
        <w:t>3</w:t>
      </w:r>
      <w:r>
        <w:rPr>
          <w:rFonts w:ascii="宋体" w:hAnsi="宋体" w:hint="eastAsia"/>
          <w:b/>
          <w:bCs/>
          <w:iCs/>
          <w:color w:val="000000"/>
          <w:sz w:val="32"/>
          <w:szCs w:val="32"/>
        </w:rPr>
        <w:t>日投资者关系活动记录表</w:t>
      </w:r>
    </w:p>
    <w:p w14:paraId="137F49EA" w14:textId="77777777" w:rsidR="00EE428E" w:rsidRDefault="00000000" w:rsidP="00B61D80">
      <w:pPr>
        <w:spacing w:beforeLines="50" w:before="156" w:afterLines="50" w:after="156" w:line="400" w:lineRule="exact"/>
        <w:jc w:val="center"/>
        <w:rPr>
          <w:rFonts w:ascii="宋体" w:hAnsi="宋体"/>
          <w:bCs/>
          <w:iCs/>
          <w:color w:val="000000"/>
          <w:sz w:val="24"/>
        </w:rPr>
      </w:pPr>
      <w:r>
        <w:rPr>
          <w:rFonts w:ascii="宋体" w:hAnsi="宋体" w:hint="eastAsia"/>
          <w:bCs/>
          <w:iCs/>
          <w:color w:val="000000"/>
          <w:sz w:val="24"/>
        </w:rPr>
        <w:t xml:space="preserve">                                                      编号：2</w:t>
      </w:r>
      <w:r>
        <w:rPr>
          <w:rFonts w:ascii="宋体" w:hAnsi="宋体"/>
          <w:bCs/>
          <w:iCs/>
          <w:color w:val="000000"/>
          <w:sz w:val="24"/>
        </w:rPr>
        <w:t>024</w:t>
      </w:r>
      <w:r>
        <w:rPr>
          <w:rFonts w:ascii="宋体" w:hAnsi="宋体" w:hint="eastAsia"/>
          <w:bCs/>
          <w:iCs/>
          <w:color w:val="000000"/>
          <w:sz w:val="24"/>
        </w:rPr>
        <w:t>-0</w:t>
      </w:r>
      <w:r>
        <w:rPr>
          <w:rFonts w:ascii="宋体" w:hAnsi="宋体"/>
          <w:bCs/>
          <w:iCs/>
          <w:color w:val="000000"/>
          <w:sz w:val="24"/>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6434"/>
      </w:tblGrid>
      <w:tr w:rsidR="00EE428E" w14:paraId="678E4E34" w14:textId="77777777" w:rsidTr="00B60084">
        <w:tc>
          <w:tcPr>
            <w:tcW w:w="1862" w:type="dxa"/>
            <w:tcBorders>
              <w:top w:val="single" w:sz="4" w:space="0" w:color="auto"/>
              <w:left w:val="single" w:sz="4" w:space="0" w:color="auto"/>
              <w:bottom w:val="single" w:sz="4" w:space="0" w:color="auto"/>
              <w:right w:val="single" w:sz="4" w:space="0" w:color="auto"/>
            </w:tcBorders>
            <w:shd w:val="clear" w:color="auto" w:fill="auto"/>
          </w:tcPr>
          <w:p w14:paraId="229F4019" w14:textId="77777777" w:rsidR="00EE428E" w:rsidRDefault="00000000">
            <w:pPr>
              <w:spacing w:line="480" w:lineRule="atLeast"/>
              <w:rPr>
                <w:rFonts w:ascii="宋体" w:hAnsi="宋体"/>
                <w:bCs/>
                <w:iCs/>
                <w:color w:val="000000"/>
                <w:sz w:val="24"/>
              </w:rPr>
            </w:pPr>
            <w:r>
              <w:rPr>
                <w:rFonts w:ascii="宋体" w:hAnsi="宋体" w:hint="eastAsia"/>
                <w:bCs/>
                <w:iCs/>
                <w:color w:val="000000"/>
                <w:sz w:val="24"/>
              </w:rPr>
              <w:t>投资者关系活动类别</w:t>
            </w:r>
          </w:p>
          <w:p w14:paraId="526AC4FD" w14:textId="77777777" w:rsidR="00EE428E" w:rsidRDefault="00EE428E">
            <w:pPr>
              <w:spacing w:line="480" w:lineRule="atLeast"/>
              <w:rPr>
                <w:rFonts w:ascii="宋体" w:hAnsi="宋体"/>
                <w:bCs/>
                <w:iCs/>
                <w:color w:val="000000"/>
                <w:sz w:val="24"/>
              </w:rPr>
            </w:pP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651409CE" w14:textId="77777777" w:rsidR="00EE428E" w:rsidRDefault="00000000">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分析师会议</w:t>
            </w:r>
          </w:p>
          <w:p w14:paraId="4CC91341" w14:textId="77777777" w:rsidR="00EE428E" w:rsidRDefault="00000000">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Pr>
                <w:rFonts w:ascii="宋体" w:hAnsi="宋体" w:hint="eastAsia"/>
                <w:bCs/>
                <w:iCs/>
                <w:color w:val="000000"/>
                <w:sz w:val="24"/>
              </w:rPr>
              <w:t>□</w:t>
            </w:r>
            <w:r>
              <w:rPr>
                <w:rFonts w:ascii="宋体" w:hAnsi="宋体" w:hint="eastAsia"/>
                <w:sz w:val="24"/>
              </w:rPr>
              <w:t>业绩说明会</w:t>
            </w:r>
          </w:p>
          <w:p w14:paraId="58F48246" w14:textId="77777777" w:rsidR="00EE428E" w:rsidRDefault="00000000">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14:paraId="43BA9260" w14:textId="77777777" w:rsidR="00EE428E" w:rsidRDefault="00000000">
            <w:pPr>
              <w:tabs>
                <w:tab w:val="left" w:pos="2808"/>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现场参观 </w:t>
            </w:r>
            <w:r>
              <w:rPr>
                <w:rFonts w:ascii="宋体" w:hAnsi="宋体"/>
                <w:sz w:val="24"/>
              </w:rPr>
              <w:t xml:space="preserve">           </w:t>
            </w:r>
            <w:r>
              <w:rPr>
                <w:rFonts w:ascii="宋体" w:hAnsi="宋体" w:hint="eastAsia"/>
                <w:bCs/>
                <w:iCs/>
                <w:color w:val="000000"/>
                <w:sz w:val="24"/>
              </w:rPr>
              <w:t>□</w:t>
            </w:r>
            <w:r>
              <w:rPr>
                <w:rFonts w:ascii="宋体" w:hAnsi="宋体" w:hint="eastAsia"/>
                <w:sz w:val="24"/>
              </w:rPr>
              <w:t>其他（线上）</w:t>
            </w:r>
          </w:p>
        </w:tc>
      </w:tr>
      <w:tr w:rsidR="00EE428E" w14:paraId="29D7E974" w14:textId="77777777" w:rsidTr="00B60084">
        <w:tc>
          <w:tcPr>
            <w:tcW w:w="1862" w:type="dxa"/>
            <w:tcBorders>
              <w:top w:val="single" w:sz="4" w:space="0" w:color="auto"/>
              <w:left w:val="single" w:sz="4" w:space="0" w:color="auto"/>
              <w:bottom w:val="single" w:sz="4" w:space="0" w:color="auto"/>
              <w:right w:val="single" w:sz="4" w:space="0" w:color="auto"/>
            </w:tcBorders>
            <w:shd w:val="clear" w:color="auto" w:fill="auto"/>
          </w:tcPr>
          <w:p w14:paraId="595B1F38" w14:textId="77777777" w:rsidR="00EE428E" w:rsidRDefault="00000000">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434" w:type="dxa"/>
            <w:tcBorders>
              <w:top w:val="single" w:sz="4" w:space="0" w:color="auto"/>
              <w:left w:val="single" w:sz="4" w:space="0" w:color="auto"/>
              <w:bottom w:val="single" w:sz="4" w:space="0" w:color="auto"/>
              <w:right w:val="single" w:sz="4" w:space="0" w:color="auto"/>
            </w:tcBorders>
            <w:shd w:val="clear" w:color="auto" w:fill="auto"/>
            <w:vAlign w:val="center"/>
          </w:tcPr>
          <w:p w14:paraId="17C98AA0" w14:textId="77777777" w:rsidR="00EE428E" w:rsidRDefault="00000000" w:rsidP="00077B86">
            <w:pPr>
              <w:rPr>
                <w:rFonts w:ascii="宋体" w:hAnsi="宋体"/>
                <w:bCs/>
                <w:iCs/>
                <w:color w:val="000000"/>
                <w:sz w:val="24"/>
              </w:rPr>
            </w:pPr>
            <w:r>
              <w:rPr>
                <w:rFonts w:ascii="宋体" w:hAnsi="宋体" w:cs="宋体" w:hint="eastAsia"/>
                <w:sz w:val="24"/>
              </w:rPr>
              <w:t>东北证券、中邮证券，2家机构的代表，共2人。</w:t>
            </w:r>
          </w:p>
        </w:tc>
      </w:tr>
      <w:tr w:rsidR="00EE428E" w14:paraId="075AAF91" w14:textId="77777777" w:rsidTr="00B60084">
        <w:tc>
          <w:tcPr>
            <w:tcW w:w="1862" w:type="dxa"/>
            <w:tcBorders>
              <w:top w:val="single" w:sz="4" w:space="0" w:color="auto"/>
              <w:left w:val="single" w:sz="4" w:space="0" w:color="auto"/>
              <w:bottom w:val="single" w:sz="4" w:space="0" w:color="auto"/>
              <w:right w:val="single" w:sz="4" w:space="0" w:color="auto"/>
            </w:tcBorders>
            <w:shd w:val="clear" w:color="auto" w:fill="auto"/>
          </w:tcPr>
          <w:p w14:paraId="5B23CC00" w14:textId="77777777" w:rsidR="00EE428E" w:rsidRDefault="00000000">
            <w:pPr>
              <w:spacing w:line="480" w:lineRule="atLeast"/>
              <w:rPr>
                <w:rFonts w:ascii="宋体" w:hAnsi="宋体"/>
                <w:bCs/>
                <w:iCs/>
                <w:color w:val="000000"/>
                <w:sz w:val="24"/>
              </w:rPr>
            </w:pPr>
            <w:r>
              <w:rPr>
                <w:rFonts w:ascii="宋体" w:hAnsi="宋体" w:hint="eastAsia"/>
                <w:bCs/>
                <w:iCs/>
                <w:color w:val="000000"/>
                <w:sz w:val="24"/>
              </w:rPr>
              <w:t>时间</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755F312" w14:textId="69A937BB" w:rsidR="00EE428E" w:rsidRDefault="00000000">
            <w:pPr>
              <w:spacing w:line="560" w:lineRule="exact"/>
              <w:jc w:val="left"/>
              <w:rPr>
                <w:rFonts w:ascii="宋体" w:hAnsi="宋体"/>
                <w:color w:val="000000"/>
                <w:sz w:val="24"/>
              </w:rPr>
            </w:pPr>
            <w:r>
              <w:rPr>
                <w:rFonts w:ascii="宋体" w:hAnsi="宋体" w:hint="eastAsia"/>
                <w:color w:val="000000"/>
                <w:sz w:val="24"/>
              </w:rPr>
              <w:t>2024年0</w:t>
            </w:r>
            <w:r>
              <w:rPr>
                <w:rFonts w:ascii="宋体" w:hAnsi="宋体"/>
                <w:color w:val="000000"/>
                <w:sz w:val="24"/>
              </w:rPr>
              <w:t>7</w:t>
            </w:r>
            <w:r>
              <w:rPr>
                <w:rFonts w:ascii="宋体" w:hAnsi="宋体" w:hint="eastAsia"/>
                <w:color w:val="000000"/>
                <w:sz w:val="24"/>
              </w:rPr>
              <w:t>月</w:t>
            </w:r>
            <w:r w:rsidR="00185AFD">
              <w:rPr>
                <w:rFonts w:ascii="宋体" w:hAnsi="宋体" w:hint="eastAsia"/>
                <w:color w:val="000000"/>
                <w:sz w:val="24"/>
              </w:rPr>
              <w:t>0</w:t>
            </w:r>
            <w:r>
              <w:rPr>
                <w:rFonts w:ascii="宋体" w:hAnsi="宋体" w:hint="eastAsia"/>
                <w:color w:val="000000"/>
                <w:sz w:val="24"/>
              </w:rPr>
              <w:t>3日</w:t>
            </w:r>
          </w:p>
        </w:tc>
      </w:tr>
      <w:tr w:rsidR="00EE428E" w14:paraId="00D4C583" w14:textId="77777777" w:rsidTr="00B60084">
        <w:tc>
          <w:tcPr>
            <w:tcW w:w="1862" w:type="dxa"/>
            <w:tcBorders>
              <w:top w:val="single" w:sz="4" w:space="0" w:color="auto"/>
              <w:left w:val="single" w:sz="4" w:space="0" w:color="auto"/>
              <w:bottom w:val="single" w:sz="4" w:space="0" w:color="auto"/>
              <w:right w:val="single" w:sz="4" w:space="0" w:color="auto"/>
            </w:tcBorders>
            <w:shd w:val="clear" w:color="auto" w:fill="auto"/>
          </w:tcPr>
          <w:p w14:paraId="3D0DFFBA" w14:textId="77777777" w:rsidR="00EE428E" w:rsidRDefault="00000000">
            <w:pPr>
              <w:spacing w:line="480" w:lineRule="atLeast"/>
              <w:rPr>
                <w:rFonts w:ascii="宋体" w:hAnsi="宋体"/>
                <w:bCs/>
                <w:iCs/>
                <w:color w:val="000000"/>
                <w:sz w:val="24"/>
              </w:rPr>
            </w:pPr>
            <w:r>
              <w:rPr>
                <w:rFonts w:ascii="宋体" w:hAnsi="宋体" w:hint="eastAsia"/>
                <w:bCs/>
                <w:iCs/>
                <w:color w:val="000000"/>
                <w:sz w:val="24"/>
              </w:rPr>
              <w:t>地点</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C8C6393" w14:textId="77777777" w:rsidR="00EE428E" w:rsidRDefault="00000000">
            <w:pPr>
              <w:spacing w:line="480" w:lineRule="atLeast"/>
              <w:rPr>
                <w:rFonts w:ascii="宋体" w:hAnsi="宋体"/>
                <w:bCs/>
                <w:iCs/>
                <w:color w:val="000000"/>
                <w:sz w:val="24"/>
              </w:rPr>
            </w:pPr>
            <w:r>
              <w:rPr>
                <w:rFonts w:hint="eastAsia"/>
                <w:color w:val="000000"/>
                <w:sz w:val="24"/>
              </w:rPr>
              <w:t>公司会议室</w:t>
            </w:r>
          </w:p>
        </w:tc>
      </w:tr>
      <w:tr w:rsidR="00EE428E" w14:paraId="0DD99DBD" w14:textId="77777777" w:rsidTr="00B60084">
        <w:tc>
          <w:tcPr>
            <w:tcW w:w="1862" w:type="dxa"/>
            <w:tcBorders>
              <w:top w:val="single" w:sz="4" w:space="0" w:color="auto"/>
              <w:left w:val="single" w:sz="4" w:space="0" w:color="auto"/>
              <w:bottom w:val="single" w:sz="4" w:space="0" w:color="auto"/>
              <w:right w:val="single" w:sz="4" w:space="0" w:color="auto"/>
            </w:tcBorders>
            <w:shd w:val="clear" w:color="auto" w:fill="auto"/>
          </w:tcPr>
          <w:p w14:paraId="7DA9F486" w14:textId="77777777" w:rsidR="00EE428E" w:rsidRDefault="00000000">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434" w:type="dxa"/>
            <w:tcBorders>
              <w:top w:val="single" w:sz="4" w:space="0" w:color="auto"/>
              <w:left w:val="single" w:sz="4" w:space="0" w:color="auto"/>
              <w:bottom w:val="single" w:sz="4" w:space="0" w:color="auto"/>
              <w:right w:val="single" w:sz="4" w:space="0" w:color="auto"/>
            </w:tcBorders>
            <w:shd w:val="clear" w:color="auto" w:fill="auto"/>
            <w:vAlign w:val="center"/>
          </w:tcPr>
          <w:p w14:paraId="7C16B2E3" w14:textId="77777777" w:rsidR="00EE428E" w:rsidRDefault="00000000">
            <w:r>
              <w:rPr>
                <w:rFonts w:ascii="宋体" w:hAnsi="宋体" w:cs="宋体"/>
                <w:sz w:val="24"/>
              </w:rPr>
              <w:t>资本中心：</w:t>
            </w:r>
            <w:r>
              <w:rPr>
                <w:rFonts w:ascii="宋体" w:hAnsi="宋体" w:cs="宋体" w:hint="eastAsia"/>
                <w:sz w:val="24"/>
              </w:rPr>
              <w:t>陈腾宇先生，</w:t>
            </w:r>
            <w:r>
              <w:rPr>
                <w:rFonts w:ascii="宋体" w:hAnsi="宋体" w:cs="宋体"/>
                <w:sz w:val="24"/>
              </w:rPr>
              <w:t>韩暘先生</w:t>
            </w:r>
          </w:p>
        </w:tc>
      </w:tr>
      <w:tr w:rsidR="00EE428E" w14:paraId="6080E41D" w14:textId="77777777" w:rsidTr="00B60084">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70850518" w14:textId="77777777" w:rsidR="00EE428E" w:rsidRDefault="00000000">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3A2154B8" w14:textId="77777777" w:rsidR="00EE428E" w:rsidRDefault="00EE428E">
            <w:pPr>
              <w:spacing w:line="480" w:lineRule="atLeast"/>
              <w:rPr>
                <w:rFonts w:ascii="宋体" w:hAnsi="宋体"/>
                <w:bCs/>
                <w:iCs/>
                <w:color w:val="000000"/>
                <w:sz w:val="24"/>
              </w:rPr>
            </w:pP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3CD3BAE5" w14:textId="77777777" w:rsidR="00EE428E" w:rsidRPr="00B61D80" w:rsidRDefault="00000000" w:rsidP="00B61D80">
            <w:pPr>
              <w:autoSpaceDE w:val="0"/>
              <w:autoSpaceDN w:val="0"/>
              <w:adjustRightInd w:val="0"/>
              <w:spacing w:line="360" w:lineRule="auto"/>
              <w:jc w:val="left"/>
              <w:rPr>
                <w:rFonts w:ascii="宋体" w:hAnsi="宋体" w:cs="宋体"/>
                <w:b/>
                <w:bCs/>
                <w:sz w:val="24"/>
              </w:rPr>
            </w:pPr>
            <w:r w:rsidRPr="00B61D80">
              <w:rPr>
                <w:rFonts w:ascii="宋体" w:hAnsi="宋体" w:cs="宋体" w:hint="eastAsia"/>
                <w:b/>
                <w:bCs/>
                <w:sz w:val="24"/>
              </w:rPr>
              <w:t>一、公司情况介绍</w:t>
            </w:r>
          </w:p>
          <w:p w14:paraId="15435C85" w14:textId="77777777" w:rsidR="00EE428E" w:rsidRPr="00B61D80" w:rsidRDefault="00000000" w:rsidP="00B61D80">
            <w:pPr>
              <w:autoSpaceDE w:val="0"/>
              <w:autoSpaceDN w:val="0"/>
              <w:adjustRightInd w:val="0"/>
              <w:spacing w:line="360" w:lineRule="auto"/>
              <w:jc w:val="left"/>
              <w:rPr>
                <w:rFonts w:ascii="宋体" w:hAnsi="宋体" w:cs="宋体"/>
                <w:b/>
                <w:bCs/>
                <w:sz w:val="24"/>
              </w:rPr>
            </w:pPr>
            <w:r w:rsidRPr="00B61D80">
              <w:rPr>
                <w:rFonts w:ascii="宋体" w:hAnsi="宋体" w:cs="宋体" w:hint="eastAsia"/>
                <w:b/>
                <w:bCs/>
                <w:sz w:val="24"/>
              </w:rPr>
              <w:t>二、</w:t>
            </w:r>
            <w:r w:rsidRPr="00B61D80">
              <w:rPr>
                <w:rFonts w:ascii="宋体" w:hAnsi="宋体" w:cs="宋体"/>
                <w:b/>
                <w:bCs/>
                <w:sz w:val="24"/>
              </w:rPr>
              <w:t>Q&amp;A</w:t>
            </w:r>
          </w:p>
          <w:p w14:paraId="54410ADE" w14:textId="223D0B20" w:rsidR="00EE428E" w:rsidRDefault="00000000" w:rsidP="00587BDE">
            <w:pPr>
              <w:autoSpaceDE w:val="0"/>
              <w:autoSpaceDN w:val="0"/>
              <w:adjustRightInd w:val="0"/>
              <w:spacing w:line="360" w:lineRule="auto"/>
              <w:rPr>
                <w:rFonts w:ascii="宋体" w:hAnsi="宋体" w:cs="宋体"/>
                <w:sz w:val="24"/>
              </w:rPr>
            </w:pPr>
            <w:r w:rsidRPr="00B61D80">
              <w:rPr>
                <w:rFonts w:ascii="宋体" w:hAnsi="宋体" w:cs="宋体"/>
                <w:b/>
                <w:bCs/>
                <w:sz w:val="24"/>
              </w:rPr>
              <w:t>1</w:t>
            </w:r>
            <w:r w:rsidRPr="00B61D80">
              <w:rPr>
                <w:rFonts w:ascii="宋体" w:hAnsi="宋体" w:cs="宋体" w:hint="eastAsia"/>
                <w:b/>
                <w:bCs/>
                <w:sz w:val="24"/>
              </w:rPr>
              <w:t>、</w:t>
            </w:r>
            <w:r>
              <w:rPr>
                <w:rFonts w:ascii="宋体" w:hAnsi="宋体" w:cs="宋体" w:hint="eastAsia"/>
                <w:b/>
                <w:bCs/>
                <w:sz w:val="24"/>
                <w:lang w:bidi="ar"/>
              </w:rPr>
              <w:t>公司一季度收入同比增长78%，主要来自于哪里？</w:t>
            </w:r>
            <w:r>
              <w:rPr>
                <w:rFonts w:ascii="宋体" w:hAnsi="宋体" w:cs="宋体" w:hint="eastAsia"/>
                <w:b/>
                <w:bCs/>
                <w:sz w:val="24"/>
              </w:rPr>
              <w:t>当前的收入主要来自哪几个业务板块</w:t>
            </w:r>
            <w:r>
              <w:rPr>
                <w:rFonts w:ascii="宋体" w:hAnsi="宋体" w:cs="宋体"/>
                <w:b/>
                <w:bCs/>
                <w:sz w:val="24"/>
              </w:rPr>
              <w:t>？</w:t>
            </w:r>
            <w:r>
              <w:rPr>
                <w:rFonts w:ascii="宋体" w:hAnsi="宋体" w:cs="宋体" w:hint="eastAsia"/>
                <w:b/>
                <w:bCs/>
                <w:sz w:val="24"/>
              </w:rPr>
              <w:t>后续持续性如何？</w:t>
            </w:r>
          </w:p>
          <w:p w14:paraId="5E4ADB76" w14:textId="35B25010" w:rsidR="00EE428E" w:rsidRDefault="00000000" w:rsidP="00B61D80">
            <w:pPr>
              <w:wordWrap w:val="0"/>
              <w:autoSpaceDE w:val="0"/>
              <w:autoSpaceDN w:val="0"/>
              <w:adjustRightInd w:val="0"/>
              <w:spacing w:line="360" w:lineRule="auto"/>
              <w:ind w:firstLineChars="200" w:firstLine="480"/>
              <w:rPr>
                <w:rFonts w:ascii="宋体" w:hAnsi="宋体" w:cs="宋体"/>
                <w:sz w:val="24"/>
              </w:rPr>
            </w:pPr>
            <w:r>
              <w:rPr>
                <w:rFonts w:ascii="宋体" w:hAnsi="宋体" w:cs="宋体"/>
                <w:sz w:val="24"/>
              </w:rPr>
              <w:t>答：</w:t>
            </w:r>
            <w:r>
              <w:rPr>
                <w:rFonts w:ascii="宋体" w:hAnsi="宋体" w:cs="宋体" w:hint="eastAsia"/>
                <w:sz w:val="24"/>
                <w:lang w:bidi="ar"/>
              </w:rPr>
              <w:t>公司2024年一季度实现收入9844.85万元，主要来自于AI运营及数字城市方面的增长。</w:t>
            </w:r>
            <w:r>
              <w:rPr>
                <w:rFonts w:ascii="宋体" w:hAnsi="宋体" w:cs="宋体"/>
                <w:sz w:val="24"/>
              </w:rPr>
              <w:t>随着人工智能技术演进的加快，基于大模型的各类应用快速涌现，带来了算力需求的急速提升；同时，推理应用也逐步向边缘及端侧迁移，AI推理芯片及预装大模型的标准化硬件将迎来重大发展机遇。基于上述技术演进趋势及产业格局的判断，结合自身核心技术优势，公司从2023年开始由解决方案逐步向运营及标准化硬件转型，并重新划分了业务板块，即“行业解决方案”、“AI运营”、“AI硬件产品”。2024年3月，公司发布了面向于中小企业客户的“深目”AI模盒，于同月发布了关于收购深圳市</w:t>
            </w:r>
            <w:r>
              <w:rPr>
                <w:rFonts w:ascii="宋体" w:hAnsi="宋体" w:cs="宋体"/>
                <w:sz w:val="24"/>
              </w:rPr>
              <w:lastRenderedPageBreak/>
              <w:t>岍丞技术有限公司股权暨开展新业务的公告并于2024年4月，完成了第一期交割，目前公司持有深圳市岍丞技术有限公司51%的股权，通过与岍丞技术的协同，将拓展面向C端的智能可穿戴设备新业务</w:t>
            </w:r>
            <w:r>
              <w:rPr>
                <w:rFonts w:ascii="宋体" w:hAnsi="宋体" w:cs="宋体" w:hint="eastAsia"/>
                <w:sz w:val="24"/>
              </w:rPr>
              <w:t>；</w:t>
            </w:r>
            <w:r>
              <w:rPr>
                <w:rFonts w:ascii="宋体" w:hAnsi="宋体" w:cs="宋体"/>
                <w:sz w:val="24"/>
              </w:rPr>
              <w:t>公司已落地超大规模异构高性能算力集群，给各类大模型应用类公司提供了算力支持</w:t>
            </w:r>
            <w:r>
              <w:rPr>
                <w:rFonts w:ascii="宋体" w:hAnsi="宋体" w:cs="宋体" w:hint="eastAsia"/>
                <w:sz w:val="24"/>
              </w:rPr>
              <w:t>，并于2024年7月正式签署《关于AI算力运营项目的服务合同》并发布相关公告，</w:t>
            </w:r>
            <w:r>
              <w:rPr>
                <w:rFonts w:ascii="宋体" w:hAnsi="宋体" w:cs="宋体"/>
                <w:sz w:val="24"/>
              </w:rPr>
              <w:t>公司</w:t>
            </w:r>
            <w:r>
              <w:rPr>
                <w:rFonts w:ascii="宋体" w:hAnsi="宋体" w:cs="宋体" w:hint="eastAsia"/>
                <w:sz w:val="24"/>
              </w:rPr>
              <w:t>将</w:t>
            </w:r>
            <w:r>
              <w:rPr>
                <w:rFonts w:ascii="宋体" w:hAnsi="宋体" w:cs="宋体"/>
                <w:sz w:val="24"/>
              </w:rPr>
              <w:t>按月确认服务收入，三年服务期内，每年总服务费约为人民币5.356亿元（含税）</w:t>
            </w:r>
            <w:r>
              <w:rPr>
                <w:rFonts w:ascii="宋体" w:hAnsi="宋体" w:cs="宋体" w:hint="eastAsia"/>
                <w:sz w:val="24"/>
              </w:rPr>
              <w:t>。详细内容请见公司于上海证券交易所网站(www.sse.com.cn)披露的《关于已披露合作框架协议签署正式合同的公告》。</w:t>
            </w:r>
            <w:r>
              <w:rPr>
                <w:rFonts w:ascii="宋体" w:hAnsi="宋体" w:cs="宋体"/>
                <w:sz w:val="24"/>
              </w:rPr>
              <w:t>未来，以上业务板块将有力支撑公司收入增长。</w:t>
            </w:r>
          </w:p>
          <w:p w14:paraId="78D21E86" w14:textId="05A9FFDD" w:rsidR="00EE428E" w:rsidRDefault="00000000" w:rsidP="00587BDE">
            <w:pPr>
              <w:autoSpaceDE w:val="0"/>
              <w:autoSpaceDN w:val="0"/>
              <w:adjustRightInd w:val="0"/>
              <w:spacing w:line="360" w:lineRule="auto"/>
              <w:rPr>
                <w:rFonts w:ascii="宋体" w:hAnsi="宋体" w:cs="宋体"/>
                <w:b/>
                <w:bCs/>
                <w:sz w:val="24"/>
              </w:rPr>
            </w:pPr>
            <w:r>
              <w:rPr>
                <w:rFonts w:ascii="宋体" w:hAnsi="宋体" w:cs="宋体" w:hint="eastAsia"/>
                <w:b/>
                <w:bCs/>
                <w:sz w:val="24"/>
              </w:rPr>
              <w:t>2、公司近日披露已正式签署《关于AI算力运营项目的服务合同》并发布相关公告，能否介绍一下</w:t>
            </w:r>
            <w:r>
              <w:rPr>
                <w:rFonts w:ascii="宋体" w:hAnsi="宋体" w:cs="宋体"/>
                <w:b/>
                <w:bCs/>
                <w:sz w:val="24"/>
              </w:rPr>
              <w:t>公司</w:t>
            </w:r>
            <w:r>
              <w:rPr>
                <w:rFonts w:ascii="宋体" w:hAnsi="宋体" w:cs="宋体" w:hint="eastAsia"/>
                <w:b/>
                <w:bCs/>
                <w:sz w:val="24"/>
              </w:rPr>
              <w:t>在该合同中</w:t>
            </w:r>
            <w:r>
              <w:rPr>
                <w:rFonts w:ascii="宋体" w:hAnsi="宋体" w:cs="宋体"/>
                <w:b/>
                <w:bCs/>
                <w:sz w:val="24"/>
              </w:rPr>
              <w:t>提供了什么，核心竞争力如何体现？为达</w:t>
            </w:r>
            <w:r>
              <w:rPr>
                <w:rFonts w:ascii="宋体" w:hAnsi="宋体" w:cs="宋体" w:hint="eastAsia"/>
                <w:b/>
                <w:bCs/>
                <w:sz w:val="24"/>
              </w:rPr>
              <w:t>什么</w:t>
            </w:r>
            <w:r>
              <w:rPr>
                <w:rFonts w:ascii="宋体" w:hAnsi="宋体" w:cs="宋体"/>
                <w:b/>
                <w:bCs/>
                <w:sz w:val="24"/>
              </w:rPr>
              <w:t>战略目的？</w:t>
            </w:r>
          </w:p>
          <w:p w14:paraId="2FE9E0A9" w14:textId="77777777" w:rsidR="00EE428E" w:rsidRDefault="00000000" w:rsidP="00B61D80">
            <w:pPr>
              <w:autoSpaceDE w:val="0"/>
              <w:autoSpaceDN w:val="0"/>
              <w:adjustRightInd w:val="0"/>
              <w:spacing w:line="360" w:lineRule="auto"/>
              <w:ind w:firstLine="480"/>
              <w:rPr>
                <w:rFonts w:ascii="宋体" w:hAnsi="宋体" w:cs="宋体"/>
                <w:sz w:val="24"/>
              </w:rPr>
            </w:pPr>
            <w:r>
              <w:rPr>
                <w:rFonts w:ascii="宋体" w:hAnsi="宋体" w:cs="宋体" w:hint="eastAsia"/>
                <w:sz w:val="24"/>
              </w:rPr>
              <w:t>答：</w:t>
            </w:r>
            <w:r>
              <w:rPr>
                <w:rFonts w:ascii="宋体" w:hAnsi="宋体" w:cs="宋体"/>
                <w:sz w:val="24"/>
              </w:rPr>
              <w:t>公司向客户提供的是异构训练及推理AI算力服务，其中包括两大部分：一是4000P的异构训练及推理算力，二是公司在自身大模型研发所积累的提升模型训练效率的平台工具及智算集群管理平台，最终以算力</w:t>
            </w:r>
            <w:r>
              <w:rPr>
                <w:rFonts w:ascii="宋体" w:hAnsi="宋体" w:cs="宋体" w:hint="eastAsia"/>
                <w:sz w:val="24"/>
              </w:rPr>
              <w:t>服务的形式交付</w:t>
            </w:r>
            <w:r>
              <w:rPr>
                <w:rFonts w:ascii="宋体" w:hAnsi="宋体" w:cs="宋体"/>
                <w:sz w:val="24"/>
              </w:rPr>
              <w:t xml:space="preserve">客户。公司按月确认服务收入，三年服务期内，每年总服务费约为人民币5.356亿元（含税）。 </w:t>
            </w:r>
          </w:p>
          <w:p w14:paraId="3A5C6F1D" w14:textId="1A856447" w:rsidR="00EE428E" w:rsidRDefault="00000000" w:rsidP="00B61D80">
            <w:pPr>
              <w:autoSpaceDE w:val="0"/>
              <w:autoSpaceDN w:val="0"/>
              <w:adjustRightInd w:val="0"/>
              <w:spacing w:line="360" w:lineRule="auto"/>
              <w:ind w:firstLine="480"/>
              <w:rPr>
                <w:rFonts w:ascii="宋体" w:hAnsi="宋体" w:cs="宋体"/>
                <w:sz w:val="24"/>
              </w:rPr>
            </w:pPr>
            <w:r>
              <w:rPr>
                <w:rFonts w:ascii="宋体" w:hAnsi="宋体" w:cs="宋体"/>
                <w:sz w:val="24"/>
              </w:rPr>
              <w:t>公司自研千亿级大模型“云天天书”，并在大模型的研发过程中积累了一系列算力调优、提升模型训练效率的技术平台和相应工具，公司将上述技术沉淀运用在AI算力服务中，可帮助客户提升模型训练及算力利用效率；此外，公司将持续投入自研大模型研发及优化工作，预计将维持较高对AI训练及推理异构算力的需求，此次</w:t>
            </w:r>
            <w:r>
              <w:rPr>
                <w:rFonts w:ascii="宋体" w:hAnsi="宋体" w:cs="宋体" w:hint="eastAsia"/>
                <w:sz w:val="24"/>
              </w:rPr>
              <w:t>《服务合同》</w:t>
            </w:r>
            <w:r>
              <w:rPr>
                <w:rFonts w:ascii="宋体" w:hAnsi="宋体" w:cs="宋体"/>
                <w:sz w:val="24"/>
              </w:rPr>
              <w:t>项下涉及对于高性能异构算力的采购未来亦可视需要作为公司大模型研发工作所需算力基础的补充，支撑公司大模型技术的持续进步。同时，公司持续看好大模型进入成熟商业化阶段后</w:t>
            </w:r>
            <w:r>
              <w:rPr>
                <w:rFonts w:ascii="宋体" w:hAnsi="宋体" w:cs="宋体"/>
                <w:sz w:val="24"/>
              </w:rPr>
              <w:lastRenderedPageBreak/>
              <w:t>推理需求的爆发，后续公司亦可在其超大规模异构高性能算力集群中将其自研推理卡与高性能训练算力相结合，为其自研推理卡落地打开场景触角，搭建生态。</w:t>
            </w:r>
          </w:p>
          <w:p w14:paraId="071F7C76" w14:textId="77777777" w:rsidR="00EE428E" w:rsidRDefault="00000000" w:rsidP="00B61D80">
            <w:pPr>
              <w:autoSpaceDE w:val="0"/>
              <w:autoSpaceDN w:val="0"/>
              <w:adjustRightInd w:val="0"/>
              <w:spacing w:line="360" w:lineRule="auto"/>
              <w:ind w:firstLine="480"/>
              <w:rPr>
                <w:rFonts w:ascii="宋体" w:hAnsi="宋体" w:cs="宋体"/>
                <w:sz w:val="24"/>
              </w:rPr>
            </w:pPr>
            <w:r>
              <w:rPr>
                <w:rFonts w:ascii="宋体" w:hAnsi="宋体" w:cs="宋体"/>
                <w:sz w:val="24"/>
              </w:rPr>
              <w:t>本次签署的</w:t>
            </w:r>
            <w:r>
              <w:rPr>
                <w:rFonts w:ascii="宋体" w:hAnsi="宋体" w:cs="宋体" w:hint="eastAsia"/>
                <w:sz w:val="24"/>
              </w:rPr>
              <w:t>《服务合同》是对《合作框架协议》拟议合作的正式落地，充分发挥双方优势资源，有助于进一步优化公司业务结构，拓宽公司业务布局，有利于持续强化公司的核心竞争优势，提高公司产业协调效力，确保公司整体战略目标的实现。</w:t>
            </w:r>
          </w:p>
          <w:p w14:paraId="5DF674EF" w14:textId="550DD097" w:rsidR="00EE428E" w:rsidRDefault="00000000" w:rsidP="00587BDE">
            <w:pPr>
              <w:autoSpaceDE w:val="0"/>
              <w:autoSpaceDN w:val="0"/>
              <w:adjustRightInd w:val="0"/>
              <w:spacing w:line="360" w:lineRule="auto"/>
              <w:rPr>
                <w:rFonts w:ascii="宋体" w:hAnsi="宋体" w:cs="宋体"/>
                <w:b/>
                <w:bCs/>
                <w:sz w:val="24"/>
              </w:rPr>
            </w:pPr>
            <w:r>
              <w:rPr>
                <w:rFonts w:ascii="宋体" w:hAnsi="宋体" w:cs="宋体" w:hint="eastAsia"/>
                <w:b/>
                <w:bCs/>
                <w:sz w:val="24"/>
              </w:rPr>
              <w:t>3、公司芯片的发展情况如何？</w:t>
            </w:r>
          </w:p>
          <w:p w14:paraId="7FA48E58" w14:textId="625CBD66" w:rsidR="00EE428E" w:rsidRDefault="00000000" w:rsidP="00B61D80">
            <w:pPr>
              <w:autoSpaceDE w:val="0"/>
              <w:autoSpaceDN w:val="0"/>
              <w:adjustRightInd w:val="0"/>
              <w:spacing w:line="360" w:lineRule="auto"/>
              <w:ind w:firstLine="480"/>
              <w:rPr>
                <w:rFonts w:ascii="宋体" w:hAnsi="宋体" w:cs="宋体"/>
                <w:sz w:val="24"/>
              </w:rPr>
            </w:pPr>
            <w:r>
              <w:rPr>
                <w:rFonts w:ascii="宋体" w:hAnsi="宋体" w:cs="宋体" w:hint="eastAsia"/>
                <w:sz w:val="24"/>
              </w:rPr>
              <w:t>答：公司</w:t>
            </w:r>
            <w:r>
              <w:rPr>
                <w:rFonts w:ascii="宋体" w:hAnsi="宋体" w:cs="宋体"/>
                <w:sz w:val="24"/>
              </w:rPr>
              <w:t>AI</w:t>
            </w:r>
            <w:r>
              <w:rPr>
                <w:rFonts w:ascii="宋体" w:hAnsi="宋体" w:cs="宋体" w:hint="eastAsia"/>
                <w:sz w:val="24"/>
              </w:rPr>
              <w:t>芯片可广泛应用于</w:t>
            </w:r>
            <w:r>
              <w:rPr>
                <w:rFonts w:ascii="宋体" w:hAnsi="宋体" w:cs="宋体"/>
                <w:sz w:val="24"/>
              </w:rPr>
              <w:t>AIoT</w:t>
            </w:r>
            <w:r>
              <w:rPr>
                <w:rFonts w:ascii="宋体" w:hAnsi="宋体" w:cs="宋体" w:hint="eastAsia"/>
                <w:sz w:val="24"/>
              </w:rPr>
              <w:t>边缘视频、移动机器人等场景，目前公司主推的芯片</w:t>
            </w:r>
            <w:r>
              <w:rPr>
                <w:rFonts w:ascii="宋体" w:hAnsi="宋体" w:cs="宋体"/>
                <w:sz w:val="24"/>
              </w:rPr>
              <w:t>DeepEdge10</w:t>
            </w:r>
            <w:r>
              <w:rPr>
                <w:rFonts w:ascii="宋体" w:hAnsi="宋体" w:cs="宋体" w:hint="eastAsia"/>
                <w:sz w:val="24"/>
              </w:rPr>
              <w:t>搭载了公司自研的神经网络处理器</w:t>
            </w:r>
            <w:r>
              <w:rPr>
                <w:rFonts w:ascii="宋体" w:hAnsi="宋体" w:cs="宋体"/>
                <w:sz w:val="24"/>
              </w:rPr>
              <w:t>NNP400T</w:t>
            </w:r>
            <w:r>
              <w:rPr>
                <w:rFonts w:ascii="宋体" w:hAnsi="宋体" w:cs="宋体" w:hint="eastAsia"/>
                <w:sz w:val="24"/>
              </w:rPr>
              <w:t>，已在智慧交通、清洁机器人等领域进行应用；依托自研芯片</w:t>
            </w:r>
            <w:r>
              <w:rPr>
                <w:rFonts w:ascii="宋体" w:hAnsi="宋体" w:cs="宋体"/>
                <w:sz w:val="24"/>
              </w:rPr>
              <w:t>Deep Edge10</w:t>
            </w:r>
            <w:r>
              <w:rPr>
                <w:rFonts w:ascii="宋体" w:hAnsi="宋体" w:cs="宋体" w:hint="eastAsia"/>
                <w:sz w:val="24"/>
              </w:rPr>
              <w:t>创新的</w:t>
            </w:r>
            <w:r>
              <w:rPr>
                <w:rFonts w:ascii="宋体" w:hAnsi="宋体" w:cs="宋体"/>
                <w:sz w:val="24"/>
              </w:rPr>
              <w:t>D2D</w:t>
            </w:r>
            <w:r w:rsidR="00C62E65">
              <w:rPr>
                <w:rFonts w:ascii="宋体" w:hAnsi="宋体" w:cs="宋体" w:hint="eastAsia"/>
                <w:sz w:val="24"/>
              </w:rPr>
              <w:t xml:space="preserve"> </w:t>
            </w:r>
            <w:r>
              <w:rPr>
                <w:rFonts w:ascii="宋体" w:hAnsi="宋体" w:cs="宋体"/>
                <w:sz w:val="24"/>
              </w:rPr>
              <w:t>chiplet</w:t>
            </w:r>
            <w:r>
              <w:rPr>
                <w:rFonts w:ascii="宋体" w:hAnsi="宋体" w:cs="宋体" w:hint="eastAsia"/>
                <w:sz w:val="24"/>
              </w:rPr>
              <w:t>架构打造的</w:t>
            </w:r>
            <w:r>
              <w:rPr>
                <w:rFonts w:ascii="宋体" w:hAnsi="宋体" w:cs="宋体"/>
                <w:sz w:val="24"/>
              </w:rPr>
              <w:t xml:space="preserve">X5000 </w:t>
            </w:r>
            <w:r>
              <w:rPr>
                <w:rFonts w:ascii="宋体" w:hAnsi="宋体" w:cs="宋体" w:hint="eastAsia"/>
                <w:sz w:val="24"/>
              </w:rPr>
              <w:t>推理卡，已适配并可承载</w:t>
            </w:r>
            <w:r>
              <w:rPr>
                <w:rFonts w:ascii="宋体" w:hAnsi="宋体" w:cs="宋体"/>
                <w:sz w:val="24"/>
              </w:rPr>
              <w:t>SAM CV</w:t>
            </w:r>
            <w:r>
              <w:rPr>
                <w:rFonts w:ascii="宋体" w:hAnsi="宋体" w:cs="宋体" w:hint="eastAsia"/>
                <w:sz w:val="24"/>
              </w:rPr>
              <w:t>大模型、</w:t>
            </w:r>
            <w:r>
              <w:rPr>
                <w:rFonts w:ascii="宋体" w:hAnsi="宋体" w:cs="宋体"/>
                <w:sz w:val="24"/>
              </w:rPr>
              <w:t>Llama2</w:t>
            </w:r>
            <w:r>
              <w:rPr>
                <w:rFonts w:ascii="宋体" w:hAnsi="宋体" w:cs="宋体" w:hint="eastAsia"/>
                <w:sz w:val="24"/>
              </w:rPr>
              <w:t>等百亿级大模型运算；公司基于自研芯片打造了一款边缘端标准化硬件，并搭载轻量化天书大模型，可实现边缘端部署，有效解决数据上云的隐私问题，并依托大模型的泛化能力，未来有望实现对多种长尾场景的覆盖。</w:t>
            </w:r>
          </w:p>
        </w:tc>
      </w:tr>
      <w:tr w:rsidR="00EE428E" w14:paraId="19705DF8" w14:textId="77777777" w:rsidTr="00B60084">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4BBC03D4" w14:textId="77777777" w:rsidR="00EE428E" w:rsidRDefault="00000000">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6EBA6F3" w14:textId="77777777" w:rsidR="00EE428E" w:rsidRDefault="00000000">
            <w:pPr>
              <w:spacing w:line="480" w:lineRule="atLeast"/>
              <w:rPr>
                <w:rFonts w:ascii="宋体" w:hAnsi="宋体"/>
                <w:bCs/>
                <w:iCs/>
                <w:color w:val="000000"/>
                <w:sz w:val="24"/>
              </w:rPr>
            </w:pPr>
            <w:r>
              <w:rPr>
                <w:rFonts w:ascii="宋体" w:hAnsi="宋体" w:hint="eastAsia"/>
                <w:bCs/>
                <w:iCs/>
                <w:color w:val="000000"/>
                <w:sz w:val="24"/>
              </w:rPr>
              <w:t>无</w:t>
            </w:r>
          </w:p>
        </w:tc>
      </w:tr>
    </w:tbl>
    <w:p w14:paraId="06D1B496" w14:textId="77777777" w:rsidR="00EE428E" w:rsidRDefault="00EE428E">
      <w:pPr>
        <w:jc w:val="center"/>
        <w:rPr>
          <w:rFonts w:ascii="宋体" w:hAnsi="宋体"/>
          <w:sz w:val="28"/>
          <w:szCs w:val="28"/>
        </w:rPr>
      </w:pPr>
    </w:p>
    <w:p w14:paraId="36098887" w14:textId="77777777" w:rsidR="00EE428E" w:rsidRDefault="00EE428E"/>
    <w:sectPr w:rsidR="00EE42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104BA" w14:textId="77777777" w:rsidR="00CD1A5D" w:rsidRDefault="00CD1A5D" w:rsidP="00B61D80">
      <w:r>
        <w:separator/>
      </w:r>
    </w:p>
  </w:endnote>
  <w:endnote w:type="continuationSeparator" w:id="0">
    <w:p w14:paraId="131A58E9" w14:textId="77777777" w:rsidR="00CD1A5D" w:rsidRDefault="00CD1A5D" w:rsidP="00B6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01036" w14:textId="77777777" w:rsidR="00CD1A5D" w:rsidRDefault="00CD1A5D" w:rsidP="00B61D80">
      <w:r>
        <w:separator/>
      </w:r>
    </w:p>
  </w:footnote>
  <w:footnote w:type="continuationSeparator" w:id="0">
    <w:p w14:paraId="0079E3ED" w14:textId="77777777" w:rsidR="00CD1A5D" w:rsidRDefault="00CD1A5D" w:rsidP="00B61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g4ZGVhNjYzNmVhYTMyMjIyMGY1ZmZhZmM5OGYwMTMifQ=="/>
  </w:docVars>
  <w:rsids>
    <w:rsidRoot w:val="00DB361F"/>
    <w:rsid w:val="00005DB8"/>
    <w:rsid w:val="00077B86"/>
    <w:rsid w:val="000C46BA"/>
    <w:rsid w:val="000D6315"/>
    <w:rsid w:val="00107A0B"/>
    <w:rsid w:val="00123A01"/>
    <w:rsid w:val="00185AFD"/>
    <w:rsid w:val="0019092A"/>
    <w:rsid w:val="00197D8E"/>
    <w:rsid w:val="001C5BA8"/>
    <w:rsid w:val="001D205D"/>
    <w:rsid w:val="00211872"/>
    <w:rsid w:val="00217F52"/>
    <w:rsid w:val="00267FD7"/>
    <w:rsid w:val="0027476E"/>
    <w:rsid w:val="002B086A"/>
    <w:rsid w:val="002C0D62"/>
    <w:rsid w:val="002F1226"/>
    <w:rsid w:val="003238A9"/>
    <w:rsid w:val="00417436"/>
    <w:rsid w:val="00420F3F"/>
    <w:rsid w:val="00487889"/>
    <w:rsid w:val="004D172C"/>
    <w:rsid w:val="004E0A03"/>
    <w:rsid w:val="00544247"/>
    <w:rsid w:val="00564FEE"/>
    <w:rsid w:val="00574245"/>
    <w:rsid w:val="0057646D"/>
    <w:rsid w:val="00587BDE"/>
    <w:rsid w:val="005C54DF"/>
    <w:rsid w:val="00607023"/>
    <w:rsid w:val="00612A91"/>
    <w:rsid w:val="006955E2"/>
    <w:rsid w:val="006976CC"/>
    <w:rsid w:val="006A2419"/>
    <w:rsid w:val="006C42AF"/>
    <w:rsid w:val="00727D45"/>
    <w:rsid w:val="00731A4B"/>
    <w:rsid w:val="007502A8"/>
    <w:rsid w:val="00781BC0"/>
    <w:rsid w:val="00797167"/>
    <w:rsid w:val="007C302D"/>
    <w:rsid w:val="007D4DB1"/>
    <w:rsid w:val="00833998"/>
    <w:rsid w:val="008412FF"/>
    <w:rsid w:val="008440C3"/>
    <w:rsid w:val="0087485F"/>
    <w:rsid w:val="008813CC"/>
    <w:rsid w:val="008F013D"/>
    <w:rsid w:val="009271A0"/>
    <w:rsid w:val="0098138B"/>
    <w:rsid w:val="00986C92"/>
    <w:rsid w:val="00996CC7"/>
    <w:rsid w:val="00A91CFD"/>
    <w:rsid w:val="00AA04B3"/>
    <w:rsid w:val="00B07E37"/>
    <w:rsid w:val="00B60084"/>
    <w:rsid w:val="00B61D80"/>
    <w:rsid w:val="00BE36BA"/>
    <w:rsid w:val="00C10103"/>
    <w:rsid w:val="00C23F1E"/>
    <w:rsid w:val="00C62E65"/>
    <w:rsid w:val="00C72F91"/>
    <w:rsid w:val="00CD1A5D"/>
    <w:rsid w:val="00D5509C"/>
    <w:rsid w:val="00D97C05"/>
    <w:rsid w:val="00DB361F"/>
    <w:rsid w:val="00DC5BA5"/>
    <w:rsid w:val="00DE34A3"/>
    <w:rsid w:val="00DE5217"/>
    <w:rsid w:val="00E62194"/>
    <w:rsid w:val="00E6486B"/>
    <w:rsid w:val="00EC46D1"/>
    <w:rsid w:val="00EE428E"/>
    <w:rsid w:val="00F00C5D"/>
    <w:rsid w:val="00F11A0C"/>
    <w:rsid w:val="00F47B32"/>
    <w:rsid w:val="00F77089"/>
    <w:rsid w:val="00FA2159"/>
    <w:rsid w:val="054F44B5"/>
    <w:rsid w:val="062E0F1B"/>
    <w:rsid w:val="06A83220"/>
    <w:rsid w:val="17E11EA2"/>
    <w:rsid w:val="419450A2"/>
    <w:rsid w:val="43B810F6"/>
    <w:rsid w:val="4BA66F2B"/>
    <w:rsid w:val="56A612C8"/>
    <w:rsid w:val="66F531E4"/>
    <w:rsid w:val="790A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C4ADE"/>
  <w15:docId w15:val="{0C732513-921A-42DE-B260-852575BE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TableParagraph">
    <w:name w:val="Table Paragraph"/>
    <w:basedOn w:val="a"/>
    <w:uiPriority w:val="1"/>
    <w:qFormat/>
    <w:rPr>
      <w:rFonts w:ascii="Calibri" w:hAnsi="Calibri"/>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customStyle="1" w:styleId="11">
    <w:name w:val="修订1"/>
    <w:hidden/>
    <w:uiPriority w:val="99"/>
    <w:semiHidden/>
    <w:qFormat/>
    <w:rPr>
      <w:kern w:val="2"/>
      <w:sz w:val="21"/>
      <w:szCs w:val="24"/>
    </w:rPr>
  </w:style>
  <w:style w:type="character" w:customStyle="1" w:styleId="10">
    <w:name w:val="标题 1 字符"/>
    <w:basedOn w:val="a0"/>
    <w:link w:val="1"/>
    <w:uiPriority w:val="9"/>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mahuan</cp:lastModifiedBy>
  <cp:revision>18</cp:revision>
  <dcterms:created xsi:type="dcterms:W3CDTF">2023-05-23T09:59:00Z</dcterms:created>
  <dcterms:modified xsi:type="dcterms:W3CDTF">2024-07-03T10:22:00Z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7673123CC0304573BD322B154C885CF7_13</vt:lpwstr>
  </property>
</Properties>
</file>