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 xml:space="preserve">600332                                     </w:t>
      </w:r>
      <w:r>
        <w:rPr>
          <w:rFonts w:hint="eastAsia" w:ascii="宋体" w:hAnsi="宋体" w:eastAsia="宋体"/>
          <w:sz w:val="24"/>
          <w:szCs w:val="24"/>
        </w:rPr>
        <w:t>证券简称：白云山</w:t>
      </w:r>
    </w:p>
    <w:p>
      <w:pPr>
        <w:rPr>
          <w:rFonts w:ascii="宋体" w:hAnsi="宋体" w:eastAsia="宋体"/>
          <w:sz w:val="24"/>
          <w:szCs w:val="24"/>
        </w:rPr>
      </w:pPr>
    </w:p>
    <w:p>
      <w:pPr>
        <w:jc w:val="center"/>
        <w:rPr>
          <w:rFonts w:ascii="宋体" w:hAnsi="宋体" w:eastAsia="宋体"/>
          <w:b/>
          <w:sz w:val="28"/>
          <w:szCs w:val="24"/>
        </w:rPr>
      </w:pPr>
      <w:r>
        <w:rPr>
          <w:rFonts w:hint="eastAsia" w:ascii="宋体" w:hAnsi="宋体" w:eastAsia="宋体"/>
          <w:b/>
          <w:sz w:val="28"/>
          <w:szCs w:val="24"/>
        </w:rPr>
        <w:t>广州白云山医药集团股份有限公司</w:t>
      </w:r>
    </w:p>
    <w:p>
      <w:pPr>
        <w:jc w:val="center"/>
        <w:rPr>
          <w:rFonts w:ascii="宋体" w:hAnsi="宋体" w:eastAsia="宋体"/>
          <w:b/>
          <w:sz w:val="28"/>
          <w:szCs w:val="24"/>
        </w:rPr>
      </w:pPr>
      <w:r>
        <w:rPr>
          <w:rFonts w:hint="eastAsia" w:ascii="宋体" w:hAnsi="宋体" w:eastAsia="宋体"/>
          <w:b/>
          <w:sz w:val="28"/>
          <w:szCs w:val="24"/>
        </w:rPr>
        <w:t>投资者关系活动记录表</w:t>
      </w:r>
    </w:p>
    <w:p>
      <w:pPr>
        <w:rPr>
          <w:rFonts w:ascii="宋体" w:hAnsi="宋体" w:eastAsia="宋体"/>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投资者关系活动类别</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52"/>
            </w:r>
            <w:r>
              <w:rPr>
                <w:rFonts w:hint="default" w:ascii="宋体" w:hAnsi="宋体" w:eastAsia="宋体" w:cs="Times New Roman"/>
                <w:sz w:val="24"/>
                <w:szCs w:val="24"/>
              </w:rPr>
              <w:t xml:space="preserve">特定对象调研 </w:t>
            </w:r>
            <w:r>
              <w:rPr>
                <w:rFonts w:hint="default" w:ascii="宋体" w:hAnsi="宋体" w:eastAsia="宋体" w:cs="Times New Roman"/>
                <w:sz w:val="24"/>
                <w:szCs w:val="24"/>
              </w:rPr>
              <w:sym w:font="Wingdings 2" w:char="0052"/>
            </w:r>
            <w:r>
              <w:rPr>
                <w:rFonts w:hint="default" w:ascii="宋体" w:hAnsi="宋体" w:eastAsia="宋体" w:cs="Times New Roman"/>
                <w:sz w:val="24"/>
                <w:szCs w:val="24"/>
              </w:rPr>
              <w:t xml:space="preserve">分析师会议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媒体采访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业绩说明会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□新闻发布会</w:t>
            </w:r>
            <w:r>
              <w:rPr>
                <w:rFonts w:hint="eastAsia" w:ascii="宋体" w:hAnsi="宋体" w:eastAsia="宋体" w:cs="Times New Roman"/>
                <w:sz w:val="24"/>
                <w:szCs w:val="24"/>
                <w:lang w:val="en-US" w:eastAsia="zh-CN"/>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路演活动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eastAsia" w:ascii="宋体" w:hAnsi="宋体" w:eastAsia="宋体" w:cs="Times New Roman"/>
                <w:sz w:val="24"/>
                <w:szCs w:val="24"/>
                <w:lang w:eastAsia="zh-CN"/>
              </w:rPr>
              <w:t>☑</w:t>
            </w:r>
            <w:r>
              <w:rPr>
                <w:rFonts w:hint="default" w:ascii="宋体" w:hAnsi="宋体" w:eastAsia="宋体" w:cs="Times New Roman"/>
                <w:sz w:val="24"/>
                <w:szCs w:val="24"/>
              </w:rPr>
              <w:t>现场参观</w:t>
            </w:r>
            <w:r>
              <w:rPr>
                <w:rFonts w:hint="eastAsia" w:ascii="宋体" w:hAnsi="宋体" w:eastAsia="宋体" w:cs="Times New Roman"/>
                <w:sz w:val="24"/>
                <w:szCs w:val="24"/>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召开方式</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rPr>
            </w:pPr>
            <w:r>
              <w:rPr>
                <w:rFonts w:hint="eastAsia" w:ascii="宋体" w:hAnsi="宋体" w:eastAsia="宋体" w:cs="Times New Roman"/>
                <w:sz w:val="24"/>
                <w:szCs w:val="24"/>
                <w:lang w:val="en-US" w:eastAsia="zh-CN"/>
              </w:rPr>
              <w:t>现场调研、线上会议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时间</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default" w:ascii="宋体" w:hAnsi="宋体" w:eastAsia="宋体" w:cs="Times New Roman"/>
                <w:sz w:val="24"/>
                <w:szCs w:val="24"/>
              </w:rPr>
              <w:t>202</w:t>
            </w:r>
            <w:r>
              <w:rPr>
                <w:rFonts w:hint="eastAsia" w:ascii="宋体" w:hAnsi="宋体" w:eastAsia="宋体" w:cs="Times New Roman"/>
                <w:sz w:val="24"/>
                <w:szCs w:val="24"/>
                <w:lang w:val="en-US" w:eastAsia="zh-CN"/>
              </w:rPr>
              <w:t>4</w:t>
            </w:r>
            <w:r>
              <w:rPr>
                <w:rFonts w:hint="default" w:ascii="宋体" w:hAnsi="宋体" w:eastAsia="宋体" w:cs="Times New Roman"/>
                <w:sz w:val="24"/>
                <w:szCs w:val="24"/>
              </w:rPr>
              <w:t>年</w:t>
            </w:r>
            <w:r>
              <w:rPr>
                <w:rFonts w:hint="eastAsia" w:ascii="宋体" w:hAnsi="宋体" w:eastAsia="宋体" w:cs="Times New Roman"/>
                <w:sz w:val="24"/>
                <w:szCs w:val="24"/>
                <w:lang w:val="en-US" w:eastAsia="zh-CN"/>
              </w:rPr>
              <w:t>6月1日至6月30日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地点</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Hans"/>
              </w:rPr>
            </w:pPr>
            <w:r>
              <w:rPr>
                <w:rFonts w:hint="eastAsia" w:ascii="宋体" w:hAnsi="宋体" w:eastAsia="宋体" w:cs="Times New Roman"/>
                <w:sz w:val="24"/>
                <w:szCs w:val="24"/>
                <w:lang w:val="en-US" w:eastAsia="zh-CN"/>
              </w:rPr>
              <w:t>公司会议室及其他场地会议室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公司参与人员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董事会秘书黄雪贞女士，证券事务代表黄瑞媚女士，董事会秘书室经理李莉女士、郭云倩女士及吴章勋先生，董事会秘书室主管李春瑶女士及杨超文先生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4"/>
                <w:szCs w:val="24"/>
                <w:lang w:eastAsia="zh-Hans"/>
              </w:rPr>
            </w:pPr>
            <w:r>
              <w:rPr>
                <w:rFonts w:hint="eastAsia" w:ascii="宋体" w:hAnsi="宋体" w:eastAsia="宋体" w:cs="Times New Roman"/>
                <w:sz w:val="24"/>
                <w:szCs w:val="24"/>
                <w:lang w:eastAsia="zh-Hans"/>
              </w:rPr>
              <w:t>接待人员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6月3日：北京世邦基金</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6月4日：东方证券、招商基金</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bCs/>
                <w:sz w:val="28"/>
                <w:szCs w:val="28"/>
              </w:rPr>
            </w:pPr>
            <w:r>
              <w:rPr>
                <w:rFonts w:hint="eastAsia" w:ascii="宋体" w:hAnsi="宋体" w:eastAsia="宋体" w:cs="Times New Roman"/>
                <w:sz w:val="24"/>
                <w:szCs w:val="24"/>
                <w:lang w:val="en-US" w:eastAsia="zh-CN"/>
              </w:rPr>
              <w:t>6月5日：国联证券、摩根基金、华安基金、前海开源基金、华宝基金</w:t>
            </w:r>
            <w:r>
              <w:rPr>
                <w:rFonts w:hint="default" w:ascii="Times New Roman" w:hAnsi="Times New Roman" w:eastAsia="宋体" w:cs="Times New Roman"/>
                <w:bCs/>
                <w:sz w:val="28"/>
                <w:szCs w:val="28"/>
              </w:rPr>
              <w:t xml:space="preserve"> </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6月6日：西南证券、易方达基金、华安基金</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6月11日：广发证券、仁桥资本</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6月12日：人保香港资产</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6月13日：交银施罗德基金、国联安基金、恒越基金、诺德基金、兴银理财、浙商资管、国君资管、安联投资</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6月26日：国联基金</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6月27日：长城证券、源峰基金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投资者关系活动主要内容介绍</w:t>
            </w:r>
          </w:p>
        </w:tc>
        <w:tc>
          <w:tcPr>
            <w:tcW w:w="66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Times New Roman"/>
                <w:b w:val="0"/>
                <w:bCs w:val="0"/>
                <w:sz w:val="24"/>
                <w:szCs w:val="24"/>
              </w:rPr>
            </w:pPr>
            <w:r>
              <w:rPr>
                <w:rFonts w:hint="eastAsia" w:ascii="宋体" w:hAnsi="宋体" w:eastAsia="宋体" w:cs="Times New Roman"/>
                <w:b w:val="0"/>
                <w:bCs w:val="0"/>
                <w:sz w:val="24"/>
                <w:szCs w:val="24"/>
              </w:rPr>
              <w:t>主要内容包括：</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公司发展近况如何？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成立于1997年，2013年6月完成换股吸收合并白云山A，并于7月正式更名为“广州白云山医药集团股份有限公司”。目前，公司业务包括大南药、大健康、大商业、大医疗四大业务板块。2023年，公司实现营业收入755.15亿元，同比增长6.68%；利润总额为51.1亿元，同比增长1.33%；归属本公司股东的净利润为40.56亿元，同比增长2.25%；归属于本公司股东的扣除非经常性损益的净利润为36.36亿元，同比上升9.53%。2024年一季度，公司实现营业收入229.46亿元，同比增长6.09%；利润总额为24.52亿元，同比增长4.13%；归属本公司股东的净利润为19.58亿元，同比增长2.59%；归属于本公司股东的扣除非经常性损益的净利润为18.34亿元，同比上升0.33%。</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（二）公司2023年资本性支出增加的原因是什么？2024年有何资本性支出的计划？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答：2023年公司资本性支出增加主要是研发基地建设、生产基地建设等加大投入所致。2024年公司计划将在研发及生产基地建设、生产场地升级改造、物流仓库建设、设备更新等项目进行投入。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（三）除金戈外，公司还有哪些销售收入比较大的药品？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根据2023年产品销售情况，公司旗下销售收入过亿大南药板块产品包括阿咖酚散、阿莫西林系列、注射用头孢呋辛钠、消渴丸、小柴胡颗粒、滋肾育胎丸、华佗再造丸、清开灵系列、安宫牛黄丸、蜜炼川贝枇杷膏等。</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公司拥有众多老字号品牌，未来计划如何进一步激发起发展活力？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一直积极推动旗下老字号焕发新活力，如在国内市场创造性地实施“双品牌”战略，将知名品牌“白云山”与旗下老字号品牌相结合，打造如“白云山陈李济”“白云山敬修堂”等品牌，促进品牌、产品迅速打开全国市场；提出打造“时尚中药”理念，即通过用最先进的科研技术，用当下年轻人易于接受的市场推广模式，打造普罗大众最需要的健康产品；对老字号品牌有资源倾斜，加大市场推广投入，2021年公司参与投资设立老字号基金。</w:t>
            </w:r>
          </w:p>
          <w:p>
            <w:pPr>
              <w:pStyle w:val="2"/>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Calibri" w:hAnsi="Calibri" w:eastAsia="宋体" w:cs="Times New Roman"/>
                <w:b w:val="0"/>
                <w:bCs w:val="0"/>
                <w:kern w:val="0"/>
                <w:sz w:val="24"/>
                <w:szCs w:val="24"/>
                <w:lang w:val="en-US" w:eastAsia="zh-CN" w:bidi="ar"/>
              </w:rPr>
              <w:t>（五）</w:t>
            </w:r>
            <w:r>
              <w:rPr>
                <w:rFonts w:hint="eastAsia" w:ascii="宋体" w:hAnsi="宋体" w:eastAsia="宋体" w:cs="Times New Roman"/>
                <w:b w:val="0"/>
                <w:bCs w:val="0"/>
                <w:kern w:val="2"/>
                <w:sz w:val="24"/>
                <w:szCs w:val="24"/>
                <w:lang w:val="en-US" w:eastAsia="zh-CN" w:bidi="ar-SA"/>
              </w:rPr>
              <w:t>2023年国家对医药行业反腐败力度不断加大，对公司医药相关业务是否有影响？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答：2023年5月，国家卫健委等14部委联合下发了《2023 年纠正医药购销领域和医疗服务中不正之风工作要点》，公布2023年医药购销、医疗纠风重点。从中长期看，行业严格监管有利于优质龙头企业的发展，公司将坚决贯彻落实国家关于医药卫生体制的政策要求，坚持以合规为经营底线，推动公司持续健康发展。</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（六）公司在资源整合方面有何举措？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rPr>
                <w:rFonts w:hint="default"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资源整合一直是公司的重点工作，以达到降低成本、提高效益的目的。目前公司已开展了对科研、品牌、广告、采购、销售等多个方面的资源整合，如建立了集采平台、专门的品牌公司、销售公司等。其中销售公司已整合了四家企业的销售资源，也是作为公司的销售业务整合的试点。后续，公司将结合各下属企业品牌及产品特点，谨慎研究，权衡利弊，根据实际情况逐步推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420" w:leftChars="200" w:right="0" w:rightChars="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（七）金戈市场竞争日趋激烈，预计未来发展态势如何？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答：目前金戈同类产品在市场上竞争比较激烈，但公司认为金戈在质量、品规、品牌等方面在同类药中具有竞争优势，未来仍有增长空间。</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highlight w:val="none"/>
                <w:lang w:val="en-US" w:eastAsia="zh-CN" w:bidi="ar"/>
              </w:rPr>
              <w:t>大健康板块新品发展情况如何？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除王老吉凉茶外，公司近年重点打造大健康产品还有刺柠吉系列和荔小吉系列。刺柠吉自2019年上市至今一直受到市场的关注，目前正在开展全面的铺货工作；荔小吉系列产品为公司2022年推出的新产品系列，目前处于样本市场打造阶段。现阶段，两款产品尚处培育阶段，对公司整体营业收入影响不算重大。未来，公司将按照规划，大力推进刺柠吉、荔小吉系列产品等新产品的开发、销售，努力提高新产品市场认识度，逐步将其培育成为大健康板块重要产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（九）王老吉新品拓展方面有何计划？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王老吉坚持单品多元化和品类多元化战略，近年来陆续推出藤椒青提风味、榴莲风味、高端195纪念款等凉茶单品，以及刺柠吉、荔小吉等新品类。2024年，王老吉围绕年轻人喜爱的产品口味和包装，继续开发打造时尚、新奇、国潮的产品，推出玫瑰风味、小苍兰风味 “香水”系列凉茶新品，</w:t>
            </w:r>
            <w:r>
              <w:rPr>
                <w:rFonts w:hint="eastAsia" w:ascii="Calibri" w:hAnsi="Calibri" w:eastAsia="宋体" w:cs="Times New Roman"/>
                <w:b w:val="0"/>
                <w:bCs w:val="0"/>
                <w:kern w:val="0"/>
                <w:sz w:val="24"/>
                <w:szCs w:val="24"/>
                <w:highlight w:val="none"/>
                <w:lang w:val="en-US" w:eastAsia="zh-CN" w:bidi="ar"/>
              </w:rPr>
              <w:t>同时与肯德基合作于2024年4月29日至5月26日期间推出王老吉风味气泡美式饮品，并于5月底推出了瓶装款王老吉原味凉茶。未来，王老吉将持续以消费者对健康的需求为导向，聚焦植物功能饮料领域，持续丰富产品口味和包装，拓展新品类，不断丰富大健康产品矩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（十）公司对目前凉茶行业发展有何看法？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考虑到国际化发展以及市场的拓展空间等因素，公司认为凉茶行业仍有继续发展的空间。未来，公司一方面将根据消费者需求持续推进凉茶产品的升级，推出更具年轻化、时尚化的产品；另一方面，也将持续强化新品培育，不断推动公司大健康板块饮料品种与产品口味进一步丰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420" w:leftChars="200" w:right="0" w:rightChars="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（十一）广州医药新三板挂牌进展情况如何？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根据业务发展需要，广州医药计划在全国中小企业股份转让系统挂牌，并择机于北交所上市。广州医药于2024年5月11日向全国中小企业股份转让系统有限责任公司递交本次挂牌的申请，并于2024年6月17日获得全国中小企业股份转让系统有限责任公司出具的《受理通知书》。未来广州医药将根据资本市场环境及战略发展需要，力争于北京证券交易所上市，助力提升集团发展质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（十二）公司未来将如何提高大商业板块的毛利率？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大商业板块主要业务在广州医药，近年广州医药一直通过积极调整其业务产品结构，如扩大零售业务占比、加快在医疗器械板块的布局等，并持续提供高效智能的供应链创新服务，依托S2B2C平台和物流中心，提高运营效率和降低运营成本以提升整体毛利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（十三）公司海外业务发展情况如何？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大南药板块方面，随着中医药获得世界越来越多国家的认可，中药国际化进程也在不断推进。公司华佗再造丸于20世纪90年代已进入国际市场，目前海外销售已布局至俄罗斯、越南等全球多个国家和地区。近年，子公司中一药业分别通过了澳大利亚的TGA认证和加拿大海外场地认证，辛夷鼻炎丸、三七化痔丸及复方南板蓝根颗粒分别获得澳大利亚和俄罗斯的产品注册证书，为公司中药业务开拓海外市场起到积极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在大健康板块方面，公司通过积极参加国际展会、加快海外产品本地化改版、持续推进商标注册、发布并推广王老吉国际品牌标识WALOVI等大力推进海外市场布局。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在大商业板块方面，公司下属子公司广州医药已于香港注册设立健民国际有限公司，主营医药大健康产品的线上批发和零售。此外，依托地缘优势，公司积极打造大湾区互联互通医药平台，深化与香港、澳门医药企业的联动，为港澳地区的医药行业、企业提供服务更优、成本更低、效率更高的医药进出口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420" w:leftChars="200" w:right="0" w:rightChars="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（十四）公司分红规划和政策如何？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始终重视对投资者的合理投资回报，于公司章程及未来三年股东回报规划中对分红政策进行了明确规定，若无特殊情况，公司预计现金方式分配的股利总额（包括中期已分配的现金红利）将不低于当年实现的归属母公司的净利润的30%。公司自1997年上市以来，合计分红金额已超90亿元（含税）；过去10年累计分红金额已超80亿元。根据2023年度分红方案，分红比例占当年归属母公司的净利润30.02%，占扣非后的归母净利润的33.49%。未来，公司将根据企业经营的实际情况，继续经营好业绩，争取在合理范围内给投资者更大回报。后续公司将严格按照两地上市规则履行信息披露义务，如有相关事项公司将及时进行披露。</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eastAsia" w:ascii="宋体" w:hAnsi="宋体" w:eastAsia="宋体" w:cs="Times New Roman"/>
                <w:b w:val="0"/>
                <w:bCs w:val="0"/>
                <w:sz w:val="24"/>
                <w:szCs w:val="24"/>
                <w:lang w:val="en-US" w:eastAsia="zh-CN" w:bidi="ar"/>
              </w:rPr>
            </w:pPr>
            <w:r>
              <w:rPr>
                <w:rFonts w:hint="eastAsia" w:ascii="宋体" w:hAnsi="宋体" w:eastAsia="宋体" w:cs="Times New Roman"/>
                <w:b w:val="0"/>
                <w:bCs w:val="0"/>
                <w:sz w:val="24"/>
                <w:szCs w:val="24"/>
                <w:lang w:val="en-US" w:eastAsia="zh-CN" w:bidi="ar"/>
              </w:rPr>
              <w:t>（十五）公司在市值管理方面有哪些措施？</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eastAsia" w:ascii="宋体" w:hAnsi="宋体" w:eastAsia="宋体" w:cs="Times New Roman"/>
                <w:b w:val="0"/>
                <w:bCs w:val="0"/>
                <w:sz w:val="24"/>
                <w:szCs w:val="24"/>
                <w:lang w:val="en-US" w:eastAsia="zh-CN" w:bidi="ar"/>
              </w:rPr>
            </w:pPr>
            <w:r>
              <w:rPr>
                <w:rFonts w:hint="eastAsia" w:ascii="宋体" w:hAnsi="宋体" w:eastAsia="宋体" w:cs="Times New Roman"/>
                <w:b w:val="0"/>
                <w:bCs w:val="0"/>
                <w:sz w:val="24"/>
                <w:szCs w:val="24"/>
                <w:lang w:val="en-US" w:eastAsia="zh-CN" w:bidi="ar"/>
              </w:rPr>
              <w:t>答：公司始终重视市值管理工作。一方面，公司不断做好生产经营管理等各项工作，推动公司持续稳定发展、不断创造价值；另一方面，公司严格按照两地上市规则，做好信息披露工作，不断提高信息披露质量，同时积极通过沟通会、邮件、电话等形式与各类投资者保持良好的交流，持续强化与市场的良性沟通。2023年，公司共参与投资者交流活动超50场，接待投资者近300人次；2024年，公司加大与投资者沟通交流力度，通过年度业绩路演、“一对一”会议等多平台、多渠道、多方式，与投资机构、大股东、潜力投资者等建立紧密联系与沟通，有效拉近了公司与投资者的距离，进一步了解了投资者的诉求，使公司与投资者保持了良好的联系。未来，公司也将继续不断强化投资者关系管理相关工作，继续做好、加强市值管理工作。</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eastAsia" w:ascii="宋体" w:hAnsi="宋体" w:eastAsia="宋体" w:cs="Times New Roman"/>
                <w:b w:val="0"/>
                <w:bCs w:val="0"/>
                <w:sz w:val="24"/>
                <w:szCs w:val="24"/>
                <w:lang w:val="en-US" w:eastAsia="zh-CN" w:bidi="ar"/>
              </w:rPr>
            </w:pPr>
            <w:r>
              <w:rPr>
                <w:rFonts w:hint="eastAsia" w:ascii="宋体" w:hAnsi="宋体" w:eastAsia="宋体" w:cs="Times New Roman"/>
                <w:b w:val="0"/>
                <w:bCs w:val="0"/>
                <w:sz w:val="24"/>
                <w:szCs w:val="24"/>
                <w:lang w:val="en-US" w:eastAsia="zh-CN" w:bidi="ar"/>
              </w:rPr>
              <w:t>（十六）公司有回购计划吗？</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eastAsia" w:ascii="宋体" w:hAnsi="宋体" w:eastAsia="宋体" w:cs="Times New Roman"/>
                <w:b w:val="0"/>
                <w:bCs w:val="0"/>
                <w:sz w:val="24"/>
                <w:szCs w:val="24"/>
                <w:lang w:val="en-US" w:eastAsia="zh-CN" w:bidi="ar"/>
              </w:rPr>
            </w:pPr>
            <w:r>
              <w:rPr>
                <w:rFonts w:hint="eastAsia" w:ascii="宋体" w:hAnsi="宋体" w:eastAsia="宋体" w:cs="Times New Roman"/>
                <w:b w:val="0"/>
                <w:bCs w:val="0"/>
                <w:sz w:val="24"/>
                <w:szCs w:val="24"/>
                <w:lang w:val="en-US" w:eastAsia="zh-CN" w:bidi="ar"/>
              </w:rPr>
              <w:t>答：公司暂无回购计划，后续如有将按照两地上市规则履行披露义务。</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eastAsia" w:ascii="宋体" w:hAnsi="宋体" w:eastAsia="宋体" w:cs="Times New Roman"/>
                <w:b w:val="0"/>
                <w:bCs w:val="0"/>
                <w:sz w:val="24"/>
                <w:szCs w:val="24"/>
                <w:lang w:val="en-US" w:eastAsia="zh-CN" w:bidi="ar"/>
              </w:rPr>
            </w:pPr>
            <w:r>
              <w:rPr>
                <w:rFonts w:hint="eastAsia" w:ascii="宋体" w:hAnsi="宋体" w:eastAsia="宋体" w:cs="Times New Roman"/>
                <w:b w:val="0"/>
                <w:bCs w:val="0"/>
                <w:sz w:val="24"/>
                <w:szCs w:val="24"/>
                <w:lang w:val="en-US" w:eastAsia="zh-CN" w:bidi="ar"/>
              </w:rPr>
              <w:t>（十七）公司国企改革进展情况如何？</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textAlignment w:val="auto"/>
              <w:rPr>
                <w:rFonts w:hint="default" w:ascii="宋体" w:hAnsi="宋体" w:eastAsia="宋体" w:cs="Times New Roman"/>
                <w:b w:val="0"/>
                <w:bCs w:val="0"/>
                <w:sz w:val="24"/>
                <w:szCs w:val="24"/>
                <w:lang w:val="en-US" w:eastAsia="zh-CN" w:bidi="ar"/>
              </w:rPr>
            </w:pPr>
            <w:r>
              <w:rPr>
                <w:rFonts w:hint="eastAsia" w:ascii="宋体" w:hAnsi="宋体" w:eastAsia="宋体" w:cs="Times New Roman"/>
                <w:b w:val="0"/>
                <w:bCs w:val="0"/>
                <w:sz w:val="24"/>
                <w:szCs w:val="24"/>
                <w:lang w:val="en-US" w:eastAsia="zh-CN" w:bidi="ar"/>
              </w:rPr>
              <w:t>答：公</w:t>
            </w:r>
            <w:bookmarkStart w:id="0" w:name="_GoBack"/>
            <w:bookmarkEnd w:id="0"/>
            <w:r>
              <w:rPr>
                <w:rFonts w:hint="eastAsia" w:ascii="宋体" w:hAnsi="宋体" w:eastAsia="宋体" w:cs="Times New Roman"/>
                <w:b w:val="0"/>
                <w:bCs w:val="0"/>
                <w:sz w:val="24"/>
                <w:szCs w:val="24"/>
                <w:lang w:val="en-US" w:eastAsia="zh-CN" w:bidi="ar"/>
              </w:rPr>
              <w:t>司积极探索混改、职业经理人机制等创新性举措，探索适合公司或下属企业发展的改革方案。目前，公司正在积极推进下属子公司实行职业经理人制度。自2021年公司下属首家子公司实施职业经理人以来，公司在总结成功经验和发展模式的基础上，支持更多符合条件的企业进行改革，积极稳妥扩大职业经理人改革试点范围。未来，公司将继续推进落实企业改革、职业经理人改革、经理层任期制与契约化管理等政策，推动公司高质量发展。</w:t>
            </w:r>
          </w:p>
        </w:tc>
      </w:tr>
    </w:tbl>
    <w:p>
      <w:pPr>
        <w:rPr>
          <w:rFonts w:ascii="宋体" w:hAnsi="宋体" w:eastAsia="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553BC"/>
    <w:multiLevelType w:val="singleLevel"/>
    <w:tmpl w:val="837553BC"/>
    <w:lvl w:ilvl="0" w:tentative="0">
      <w:start w:val="1"/>
      <w:numFmt w:val="chineseCounting"/>
      <w:suff w:val="nothing"/>
      <w:lvlText w:val="（%1）"/>
      <w:lvlJc w:val="left"/>
      <w:rPr>
        <w:rFonts w:hint="eastAsia"/>
      </w:rPr>
    </w:lvl>
  </w:abstractNum>
  <w:abstractNum w:abstractNumId="1">
    <w:nsid w:val="958EAA51"/>
    <w:multiLevelType w:val="singleLevel"/>
    <w:tmpl w:val="958EAA51"/>
    <w:lvl w:ilvl="0" w:tentative="0">
      <w:start w:val="8"/>
      <w:numFmt w:val="chineseCounting"/>
      <w:suff w:val="nothing"/>
      <w:lvlText w:val="（%1）"/>
      <w:lvlJc w:val="left"/>
      <w:rPr>
        <w:rFonts w:hint="eastAsia"/>
      </w:rPr>
    </w:lvl>
  </w:abstractNum>
  <w:abstractNum w:abstractNumId="2">
    <w:nsid w:val="0132312A"/>
    <w:multiLevelType w:val="singleLevel"/>
    <w:tmpl w:val="0132312A"/>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mVlNzFjNDI0ZTliMTBjN2NmZDYxODZkZGVmMDcifQ=="/>
  </w:docVars>
  <w:rsids>
    <w:rsidRoot w:val="00172A27"/>
    <w:rsid w:val="00025CB0"/>
    <w:rsid w:val="00026AD9"/>
    <w:rsid w:val="00032329"/>
    <w:rsid w:val="000423CF"/>
    <w:rsid w:val="00044D1C"/>
    <w:rsid w:val="00050DF4"/>
    <w:rsid w:val="0005752C"/>
    <w:rsid w:val="00061C18"/>
    <w:rsid w:val="0008758C"/>
    <w:rsid w:val="000C455F"/>
    <w:rsid w:val="00150AE8"/>
    <w:rsid w:val="001512EA"/>
    <w:rsid w:val="00172A27"/>
    <w:rsid w:val="00181A29"/>
    <w:rsid w:val="00190A5F"/>
    <w:rsid w:val="0019375C"/>
    <w:rsid w:val="001A7C3F"/>
    <w:rsid w:val="001B2FA5"/>
    <w:rsid w:val="001D5B13"/>
    <w:rsid w:val="001D6CF4"/>
    <w:rsid w:val="001E2434"/>
    <w:rsid w:val="001E2B27"/>
    <w:rsid w:val="001E5849"/>
    <w:rsid w:val="001F0D8E"/>
    <w:rsid w:val="002030C7"/>
    <w:rsid w:val="00227682"/>
    <w:rsid w:val="00234F62"/>
    <w:rsid w:val="0023523C"/>
    <w:rsid w:val="00237154"/>
    <w:rsid w:val="0023740A"/>
    <w:rsid w:val="00244BDD"/>
    <w:rsid w:val="002A55F9"/>
    <w:rsid w:val="002D34CA"/>
    <w:rsid w:val="002F071F"/>
    <w:rsid w:val="0031151B"/>
    <w:rsid w:val="00333576"/>
    <w:rsid w:val="00372AEC"/>
    <w:rsid w:val="00372E22"/>
    <w:rsid w:val="003843DA"/>
    <w:rsid w:val="00393833"/>
    <w:rsid w:val="003B20EB"/>
    <w:rsid w:val="003D4A24"/>
    <w:rsid w:val="003E2611"/>
    <w:rsid w:val="00416276"/>
    <w:rsid w:val="00417D16"/>
    <w:rsid w:val="00426DE7"/>
    <w:rsid w:val="00430C9F"/>
    <w:rsid w:val="00440515"/>
    <w:rsid w:val="00444319"/>
    <w:rsid w:val="004508A9"/>
    <w:rsid w:val="00454DB9"/>
    <w:rsid w:val="004575B0"/>
    <w:rsid w:val="004629A5"/>
    <w:rsid w:val="00464276"/>
    <w:rsid w:val="004830A0"/>
    <w:rsid w:val="004A0494"/>
    <w:rsid w:val="004D0DC3"/>
    <w:rsid w:val="004D7C37"/>
    <w:rsid w:val="00535815"/>
    <w:rsid w:val="005666FB"/>
    <w:rsid w:val="0058744F"/>
    <w:rsid w:val="005A0C6A"/>
    <w:rsid w:val="005A6D48"/>
    <w:rsid w:val="005D695F"/>
    <w:rsid w:val="005E6EA6"/>
    <w:rsid w:val="005F2058"/>
    <w:rsid w:val="005F2987"/>
    <w:rsid w:val="005F4FCF"/>
    <w:rsid w:val="00624602"/>
    <w:rsid w:val="00631DD3"/>
    <w:rsid w:val="006366B1"/>
    <w:rsid w:val="00641E4D"/>
    <w:rsid w:val="00643621"/>
    <w:rsid w:val="00653716"/>
    <w:rsid w:val="00672B6C"/>
    <w:rsid w:val="00676F1A"/>
    <w:rsid w:val="0068760B"/>
    <w:rsid w:val="00690627"/>
    <w:rsid w:val="00694DCE"/>
    <w:rsid w:val="006A31C5"/>
    <w:rsid w:val="006B399C"/>
    <w:rsid w:val="006C7988"/>
    <w:rsid w:val="006D3077"/>
    <w:rsid w:val="006E36C1"/>
    <w:rsid w:val="006F0129"/>
    <w:rsid w:val="006F78C2"/>
    <w:rsid w:val="007118FE"/>
    <w:rsid w:val="00711D0F"/>
    <w:rsid w:val="00711D80"/>
    <w:rsid w:val="007137B8"/>
    <w:rsid w:val="00716CD9"/>
    <w:rsid w:val="007616A5"/>
    <w:rsid w:val="007636A3"/>
    <w:rsid w:val="007802B8"/>
    <w:rsid w:val="007A2E2D"/>
    <w:rsid w:val="007C124C"/>
    <w:rsid w:val="007E76DC"/>
    <w:rsid w:val="00806304"/>
    <w:rsid w:val="00816522"/>
    <w:rsid w:val="008534FA"/>
    <w:rsid w:val="00861A58"/>
    <w:rsid w:val="008F5BDD"/>
    <w:rsid w:val="00900532"/>
    <w:rsid w:val="0092138B"/>
    <w:rsid w:val="00941BE8"/>
    <w:rsid w:val="00954ADF"/>
    <w:rsid w:val="00965600"/>
    <w:rsid w:val="00981F53"/>
    <w:rsid w:val="009846E6"/>
    <w:rsid w:val="009917D2"/>
    <w:rsid w:val="009A2F93"/>
    <w:rsid w:val="009B2D59"/>
    <w:rsid w:val="009D1231"/>
    <w:rsid w:val="009E4068"/>
    <w:rsid w:val="00A04B95"/>
    <w:rsid w:val="00A27FC2"/>
    <w:rsid w:val="00A42E7E"/>
    <w:rsid w:val="00A838B1"/>
    <w:rsid w:val="00AB16B9"/>
    <w:rsid w:val="00AB2E37"/>
    <w:rsid w:val="00AB78DB"/>
    <w:rsid w:val="00AD1DDC"/>
    <w:rsid w:val="00AE3836"/>
    <w:rsid w:val="00AF4F8E"/>
    <w:rsid w:val="00B10F38"/>
    <w:rsid w:val="00B2542A"/>
    <w:rsid w:val="00B34BCA"/>
    <w:rsid w:val="00B409FC"/>
    <w:rsid w:val="00B4791A"/>
    <w:rsid w:val="00B47DA0"/>
    <w:rsid w:val="00B85224"/>
    <w:rsid w:val="00B85BF3"/>
    <w:rsid w:val="00B86058"/>
    <w:rsid w:val="00BA4FAB"/>
    <w:rsid w:val="00BE71DD"/>
    <w:rsid w:val="00BF53F3"/>
    <w:rsid w:val="00BF6490"/>
    <w:rsid w:val="00C17FFD"/>
    <w:rsid w:val="00C30AEE"/>
    <w:rsid w:val="00C419EA"/>
    <w:rsid w:val="00C52639"/>
    <w:rsid w:val="00C618C3"/>
    <w:rsid w:val="00C6785D"/>
    <w:rsid w:val="00C67F92"/>
    <w:rsid w:val="00C74C1A"/>
    <w:rsid w:val="00C84386"/>
    <w:rsid w:val="00C90242"/>
    <w:rsid w:val="00CC5714"/>
    <w:rsid w:val="00CE6791"/>
    <w:rsid w:val="00CF047B"/>
    <w:rsid w:val="00CF4DDB"/>
    <w:rsid w:val="00D075FA"/>
    <w:rsid w:val="00D15514"/>
    <w:rsid w:val="00D25777"/>
    <w:rsid w:val="00D32B0B"/>
    <w:rsid w:val="00D4320B"/>
    <w:rsid w:val="00DA63E6"/>
    <w:rsid w:val="00DB1D0E"/>
    <w:rsid w:val="00DC5CB4"/>
    <w:rsid w:val="00DD7901"/>
    <w:rsid w:val="00DE1A21"/>
    <w:rsid w:val="00E00758"/>
    <w:rsid w:val="00E10DEB"/>
    <w:rsid w:val="00E265BD"/>
    <w:rsid w:val="00E4048D"/>
    <w:rsid w:val="00E46AD2"/>
    <w:rsid w:val="00E735D9"/>
    <w:rsid w:val="00E7643E"/>
    <w:rsid w:val="00E863F3"/>
    <w:rsid w:val="00EA7ED8"/>
    <w:rsid w:val="00EC4BF3"/>
    <w:rsid w:val="00EC7D58"/>
    <w:rsid w:val="00F01C36"/>
    <w:rsid w:val="00F06EDA"/>
    <w:rsid w:val="00F22A2A"/>
    <w:rsid w:val="00F269D3"/>
    <w:rsid w:val="00F609E2"/>
    <w:rsid w:val="00FB5649"/>
    <w:rsid w:val="00FC6C8E"/>
    <w:rsid w:val="00FC7316"/>
    <w:rsid w:val="00FE79E5"/>
    <w:rsid w:val="010D427B"/>
    <w:rsid w:val="01201F55"/>
    <w:rsid w:val="03920A67"/>
    <w:rsid w:val="03C9092D"/>
    <w:rsid w:val="04212517"/>
    <w:rsid w:val="04917185"/>
    <w:rsid w:val="07452CE3"/>
    <w:rsid w:val="074B4461"/>
    <w:rsid w:val="07852DBD"/>
    <w:rsid w:val="079E79DA"/>
    <w:rsid w:val="07A836F4"/>
    <w:rsid w:val="07B03875"/>
    <w:rsid w:val="0882554E"/>
    <w:rsid w:val="090C0028"/>
    <w:rsid w:val="091A677A"/>
    <w:rsid w:val="09EB2C7F"/>
    <w:rsid w:val="0A2F6341"/>
    <w:rsid w:val="0A8344B4"/>
    <w:rsid w:val="0AA7304A"/>
    <w:rsid w:val="0ADD5073"/>
    <w:rsid w:val="0AEC3153"/>
    <w:rsid w:val="0B801AF3"/>
    <w:rsid w:val="0BCE214B"/>
    <w:rsid w:val="0C17188A"/>
    <w:rsid w:val="0C9B098C"/>
    <w:rsid w:val="0D9E5A0B"/>
    <w:rsid w:val="0E1600BC"/>
    <w:rsid w:val="0E5928AD"/>
    <w:rsid w:val="0EE20AF5"/>
    <w:rsid w:val="0FBF0E36"/>
    <w:rsid w:val="0FE91A0F"/>
    <w:rsid w:val="11976A68"/>
    <w:rsid w:val="11B36F2A"/>
    <w:rsid w:val="11BD6E3E"/>
    <w:rsid w:val="11E91587"/>
    <w:rsid w:val="12170AB5"/>
    <w:rsid w:val="12353631"/>
    <w:rsid w:val="124C4FD5"/>
    <w:rsid w:val="128D521B"/>
    <w:rsid w:val="12ED7A68"/>
    <w:rsid w:val="130152C1"/>
    <w:rsid w:val="13482EF0"/>
    <w:rsid w:val="1363595C"/>
    <w:rsid w:val="14123C2A"/>
    <w:rsid w:val="142D0E0E"/>
    <w:rsid w:val="148E15C6"/>
    <w:rsid w:val="15507A24"/>
    <w:rsid w:val="16055DDA"/>
    <w:rsid w:val="16806CB1"/>
    <w:rsid w:val="16CA07EC"/>
    <w:rsid w:val="16DC407B"/>
    <w:rsid w:val="179E3A27"/>
    <w:rsid w:val="17C9137B"/>
    <w:rsid w:val="17CA65CA"/>
    <w:rsid w:val="17E54BD3"/>
    <w:rsid w:val="17F0126D"/>
    <w:rsid w:val="18090EA0"/>
    <w:rsid w:val="181E5365"/>
    <w:rsid w:val="18545F68"/>
    <w:rsid w:val="18EE0096"/>
    <w:rsid w:val="19293B87"/>
    <w:rsid w:val="1940793F"/>
    <w:rsid w:val="19A215B9"/>
    <w:rsid w:val="19FC104D"/>
    <w:rsid w:val="1A0E09F0"/>
    <w:rsid w:val="1A8707A2"/>
    <w:rsid w:val="1AB7210B"/>
    <w:rsid w:val="1AC65D6F"/>
    <w:rsid w:val="1B5B5EB7"/>
    <w:rsid w:val="1B8515C8"/>
    <w:rsid w:val="1BAB4AC5"/>
    <w:rsid w:val="1C3861F8"/>
    <w:rsid w:val="1C4A1A87"/>
    <w:rsid w:val="1C4B4A0F"/>
    <w:rsid w:val="1C5B5A42"/>
    <w:rsid w:val="1CA94A00"/>
    <w:rsid w:val="1D494184"/>
    <w:rsid w:val="1D7B7E7D"/>
    <w:rsid w:val="1D8944E9"/>
    <w:rsid w:val="1DD333DB"/>
    <w:rsid w:val="1DDE150B"/>
    <w:rsid w:val="1E3C42D4"/>
    <w:rsid w:val="1ECB4267"/>
    <w:rsid w:val="1F3638AE"/>
    <w:rsid w:val="1F594E5D"/>
    <w:rsid w:val="202D1DEC"/>
    <w:rsid w:val="20681567"/>
    <w:rsid w:val="20B348F3"/>
    <w:rsid w:val="20D075ED"/>
    <w:rsid w:val="210743EB"/>
    <w:rsid w:val="21303941"/>
    <w:rsid w:val="217D46AD"/>
    <w:rsid w:val="218F236A"/>
    <w:rsid w:val="22121D98"/>
    <w:rsid w:val="222F1E4B"/>
    <w:rsid w:val="2265586D"/>
    <w:rsid w:val="23361B69"/>
    <w:rsid w:val="234B1C36"/>
    <w:rsid w:val="23563407"/>
    <w:rsid w:val="23CF4182"/>
    <w:rsid w:val="25C83F87"/>
    <w:rsid w:val="25DB0FD9"/>
    <w:rsid w:val="262275D1"/>
    <w:rsid w:val="266876DA"/>
    <w:rsid w:val="2758774E"/>
    <w:rsid w:val="278E4F1E"/>
    <w:rsid w:val="280D4603"/>
    <w:rsid w:val="287C121A"/>
    <w:rsid w:val="29B535B1"/>
    <w:rsid w:val="2A1A2444"/>
    <w:rsid w:val="2A715156"/>
    <w:rsid w:val="2A790107"/>
    <w:rsid w:val="2A86447F"/>
    <w:rsid w:val="2ADF2513"/>
    <w:rsid w:val="2B075C65"/>
    <w:rsid w:val="2B447689"/>
    <w:rsid w:val="2B591E08"/>
    <w:rsid w:val="2BCF10A6"/>
    <w:rsid w:val="2C1300E8"/>
    <w:rsid w:val="2C8B5ED0"/>
    <w:rsid w:val="2C960884"/>
    <w:rsid w:val="2D4521E4"/>
    <w:rsid w:val="2DD90EBD"/>
    <w:rsid w:val="2DF81343"/>
    <w:rsid w:val="2E6B2BC6"/>
    <w:rsid w:val="2EE47B19"/>
    <w:rsid w:val="2FEA11EA"/>
    <w:rsid w:val="3036293F"/>
    <w:rsid w:val="30896480"/>
    <w:rsid w:val="30963095"/>
    <w:rsid w:val="30A07565"/>
    <w:rsid w:val="31363720"/>
    <w:rsid w:val="314E47F2"/>
    <w:rsid w:val="31B118FD"/>
    <w:rsid w:val="32A7158A"/>
    <w:rsid w:val="32AE46C6"/>
    <w:rsid w:val="335C6172"/>
    <w:rsid w:val="336229E7"/>
    <w:rsid w:val="337F6B6E"/>
    <w:rsid w:val="343230D5"/>
    <w:rsid w:val="346C48F4"/>
    <w:rsid w:val="34F9186F"/>
    <w:rsid w:val="354D54A9"/>
    <w:rsid w:val="359679D1"/>
    <w:rsid w:val="372C6E7F"/>
    <w:rsid w:val="376D1E36"/>
    <w:rsid w:val="37DA313A"/>
    <w:rsid w:val="3824770E"/>
    <w:rsid w:val="38C43E25"/>
    <w:rsid w:val="3A1F4445"/>
    <w:rsid w:val="3A3815D3"/>
    <w:rsid w:val="3A3E6C77"/>
    <w:rsid w:val="3A415891"/>
    <w:rsid w:val="3A591F82"/>
    <w:rsid w:val="3A6D7BE3"/>
    <w:rsid w:val="3ACC7DDF"/>
    <w:rsid w:val="3B225C51"/>
    <w:rsid w:val="3BA23236"/>
    <w:rsid w:val="3C1852A6"/>
    <w:rsid w:val="3C6A7383"/>
    <w:rsid w:val="3C7D054C"/>
    <w:rsid w:val="3D605157"/>
    <w:rsid w:val="3D7A3C99"/>
    <w:rsid w:val="3DC512D0"/>
    <w:rsid w:val="3F4C5993"/>
    <w:rsid w:val="3F8E5FAB"/>
    <w:rsid w:val="3FD10385"/>
    <w:rsid w:val="3FDB51DB"/>
    <w:rsid w:val="41990C37"/>
    <w:rsid w:val="41ED47FB"/>
    <w:rsid w:val="42537038"/>
    <w:rsid w:val="430D7664"/>
    <w:rsid w:val="43190F58"/>
    <w:rsid w:val="4427077C"/>
    <w:rsid w:val="44617BA5"/>
    <w:rsid w:val="450137F0"/>
    <w:rsid w:val="45053792"/>
    <w:rsid w:val="45BE5CA2"/>
    <w:rsid w:val="45FA1CE4"/>
    <w:rsid w:val="460C5E7C"/>
    <w:rsid w:val="46380A1F"/>
    <w:rsid w:val="467CFF17"/>
    <w:rsid w:val="469C0860"/>
    <w:rsid w:val="46A351E1"/>
    <w:rsid w:val="46BA58D8"/>
    <w:rsid w:val="47022DDB"/>
    <w:rsid w:val="47327B17"/>
    <w:rsid w:val="476B2748"/>
    <w:rsid w:val="47B440D5"/>
    <w:rsid w:val="47C841F6"/>
    <w:rsid w:val="47D77BA6"/>
    <w:rsid w:val="47E47B88"/>
    <w:rsid w:val="48166B3E"/>
    <w:rsid w:val="48742673"/>
    <w:rsid w:val="48DA5496"/>
    <w:rsid w:val="491F1A22"/>
    <w:rsid w:val="49C16F7D"/>
    <w:rsid w:val="4A34702F"/>
    <w:rsid w:val="4A714A31"/>
    <w:rsid w:val="4A832E71"/>
    <w:rsid w:val="4AEA31D4"/>
    <w:rsid w:val="4B4810FE"/>
    <w:rsid w:val="4B73153F"/>
    <w:rsid w:val="4B977597"/>
    <w:rsid w:val="4C066EC9"/>
    <w:rsid w:val="4C3752D5"/>
    <w:rsid w:val="4CBF7C75"/>
    <w:rsid w:val="4CD11285"/>
    <w:rsid w:val="4CE70AA9"/>
    <w:rsid w:val="4D0623E1"/>
    <w:rsid w:val="4D233AF8"/>
    <w:rsid w:val="4D3E1798"/>
    <w:rsid w:val="4D480730"/>
    <w:rsid w:val="4D571ED4"/>
    <w:rsid w:val="4DD40C5E"/>
    <w:rsid w:val="4E121B55"/>
    <w:rsid w:val="4E30647F"/>
    <w:rsid w:val="4F6B3C13"/>
    <w:rsid w:val="502D0E36"/>
    <w:rsid w:val="50333DEC"/>
    <w:rsid w:val="50414974"/>
    <w:rsid w:val="508F56DF"/>
    <w:rsid w:val="50FB0FC7"/>
    <w:rsid w:val="51404C2B"/>
    <w:rsid w:val="52985AF9"/>
    <w:rsid w:val="53505AE5"/>
    <w:rsid w:val="53830F02"/>
    <w:rsid w:val="53A316C5"/>
    <w:rsid w:val="53FD9CDC"/>
    <w:rsid w:val="54DC7AC6"/>
    <w:rsid w:val="5560764A"/>
    <w:rsid w:val="55C86F8B"/>
    <w:rsid w:val="55D6790C"/>
    <w:rsid w:val="572C51A7"/>
    <w:rsid w:val="576C677A"/>
    <w:rsid w:val="57CB1AC4"/>
    <w:rsid w:val="58035059"/>
    <w:rsid w:val="587358E6"/>
    <w:rsid w:val="58AC2BA6"/>
    <w:rsid w:val="592D325B"/>
    <w:rsid w:val="59314761"/>
    <w:rsid w:val="593D2E59"/>
    <w:rsid w:val="5A497EFA"/>
    <w:rsid w:val="5A8D3D2B"/>
    <w:rsid w:val="5B697EEF"/>
    <w:rsid w:val="5C1F32A6"/>
    <w:rsid w:val="5D311BE6"/>
    <w:rsid w:val="5E024645"/>
    <w:rsid w:val="5E548B43"/>
    <w:rsid w:val="5E780AE1"/>
    <w:rsid w:val="5EB3CE55"/>
    <w:rsid w:val="5F246A9A"/>
    <w:rsid w:val="5F2D68B1"/>
    <w:rsid w:val="5F8EA272"/>
    <w:rsid w:val="5FAE0644"/>
    <w:rsid w:val="5FF7D567"/>
    <w:rsid w:val="5FFD5AB9"/>
    <w:rsid w:val="60844B35"/>
    <w:rsid w:val="60B92AAF"/>
    <w:rsid w:val="610F1255"/>
    <w:rsid w:val="612A6E3D"/>
    <w:rsid w:val="61572249"/>
    <w:rsid w:val="61930DA7"/>
    <w:rsid w:val="62214605"/>
    <w:rsid w:val="6223212B"/>
    <w:rsid w:val="622C188E"/>
    <w:rsid w:val="62B75CC2"/>
    <w:rsid w:val="63604CB9"/>
    <w:rsid w:val="636D7E27"/>
    <w:rsid w:val="63F447FA"/>
    <w:rsid w:val="653603C7"/>
    <w:rsid w:val="65420882"/>
    <w:rsid w:val="6553506E"/>
    <w:rsid w:val="656C1155"/>
    <w:rsid w:val="65707DCC"/>
    <w:rsid w:val="658B309F"/>
    <w:rsid w:val="664A15ED"/>
    <w:rsid w:val="66727C84"/>
    <w:rsid w:val="66CD2666"/>
    <w:rsid w:val="67A27022"/>
    <w:rsid w:val="67E05496"/>
    <w:rsid w:val="680C559B"/>
    <w:rsid w:val="68686BBC"/>
    <w:rsid w:val="69044022"/>
    <w:rsid w:val="6907627A"/>
    <w:rsid w:val="69165080"/>
    <w:rsid w:val="696B304E"/>
    <w:rsid w:val="697838DF"/>
    <w:rsid w:val="69C40A40"/>
    <w:rsid w:val="6A293639"/>
    <w:rsid w:val="6A5777C2"/>
    <w:rsid w:val="6A6634FD"/>
    <w:rsid w:val="6B7316A4"/>
    <w:rsid w:val="6B8B77E1"/>
    <w:rsid w:val="6B9C4F21"/>
    <w:rsid w:val="6BDA2AFA"/>
    <w:rsid w:val="6BE4317B"/>
    <w:rsid w:val="6C6E055C"/>
    <w:rsid w:val="6C740B5E"/>
    <w:rsid w:val="6CC57182"/>
    <w:rsid w:val="6CC7277A"/>
    <w:rsid w:val="6D1D1356"/>
    <w:rsid w:val="6DE8697B"/>
    <w:rsid w:val="6EBC5114"/>
    <w:rsid w:val="6ED57945"/>
    <w:rsid w:val="6EF2710D"/>
    <w:rsid w:val="6F4E7113"/>
    <w:rsid w:val="6F541B76"/>
    <w:rsid w:val="6F9D2C59"/>
    <w:rsid w:val="6FAE28B9"/>
    <w:rsid w:val="70B12FF8"/>
    <w:rsid w:val="71F37B08"/>
    <w:rsid w:val="72127AC6"/>
    <w:rsid w:val="722F31E7"/>
    <w:rsid w:val="724F6669"/>
    <w:rsid w:val="72A5504C"/>
    <w:rsid w:val="73722F12"/>
    <w:rsid w:val="73972904"/>
    <w:rsid w:val="73B788E7"/>
    <w:rsid w:val="742C183A"/>
    <w:rsid w:val="743E1047"/>
    <w:rsid w:val="74566577"/>
    <w:rsid w:val="748E5089"/>
    <w:rsid w:val="74DB23BF"/>
    <w:rsid w:val="74FC2BFE"/>
    <w:rsid w:val="75E85E43"/>
    <w:rsid w:val="767E3A20"/>
    <w:rsid w:val="76AF7FDA"/>
    <w:rsid w:val="76F3B939"/>
    <w:rsid w:val="76FD4DCB"/>
    <w:rsid w:val="77664B3C"/>
    <w:rsid w:val="77C82386"/>
    <w:rsid w:val="790A14F7"/>
    <w:rsid w:val="790F2AC2"/>
    <w:rsid w:val="7A7237F8"/>
    <w:rsid w:val="7AA65250"/>
    <w:rsid w:val="7AFD1314"/>
    <w:rsid w:val="7B2F0256"/>
    <w:rsid w:val="7B926184"/>
    <w:rsid w:val="7C023D81"/>
    <w:rsid w:val="7C7F7042"/>
    <w:rsid w:val="7D2637C1"/>
    <w:rsid w:val="7E325778"/>
    <w:rsid w:val="7FB6280C"/>
    <w:rsid w:val="7FFF0A28"/>
    <w:rsid w:val="7FFF3A7E"/>
    <w:rsid w:val="8FFF3353"/>
    <w:rsid w:val="9CBF896A"/>
    <w:rsid w:val="A33D4B8B"/>
    <w:rsid w:val="A75F56E0"/>
    <w:rsid w:val="BFFA55A4"/>
    <w:rsid w:val="BFFBAC19"/>
    <w:rsid w:val="CFF5705B"/>
    <w:rsid w:val="DC5ED6EA"/>
    <w:rsid w:val="E67FB003"/>
    <w:rsid w:val="EB7F9EED"/>
    <w:rsid w:val="EC6FF248"/>
    <w:rsid w:val="EEFF9DCC"/>
    <w:rsid w:val="EF3E74E9"/>
    <w:rsid w:val="F6BEE215"/>
    <w:rsid w:val="F97B3386"/>
    <w:rsid w:val="FD7D69D4"/>
    <w:rsid w:val="FF2EA5B3"/>
    <w:rsid w:val="FFBF2C72"/>
    <w:rsid w:val="FFFFCD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autoRedefine/>
    <w:unhideWhenUsed/>
    <w:qFormat/>
    <w:uiPriority w:val="1"/>
  </w:style>
  <w:style w:type="table" w:default="1" w:styleId="7">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2"/>
    <w:autoRedefine/>
    <w:unhideWhenUsed/>
    <w:qFormat/>
    <w:uiPriority w:val="99"/>
    <w:pPr>
      <w:jc w:val="left"/>
    </w:pPr>
  </w:style>
  <w:style w:type="paragraph" w:styleId="3">
    <w:name w:val="Balloon Text"/>
    <w:basedOn w:val="1"/>
    <w:link w:val="13"/>
    <w:autoRedefine/>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unhideWhenUsed/>
    <w:qFormat/>
    <w:uiPriority w:val="99"/>
    <w:rPr>
      <w:b/>
      <w:bCs/>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autoRedefine/>
    <w:qFormat/>
    <w:uiPriority w:val="22"/>
    <w:rPr>
      <w:b/>
    </w:rPr>
  </w:style>
  <w:style w:type="character" w:styleId="11">
    <w:name w:val="annotation reference"/>
    <w:autoRedefine/>
    <w:unhideWhenUsed/>
    <w:qFormat/>
    <w:uiPriority w:val="99"/>
    <w:rPr>
      <w:sz w:val="21"/>
      <w:szCs w:val="21"/>
    </w:rPr>
  </w:style>
  <w:style w:type="character" w:customStyle="1" w:styleId="12">
    <w:name w:val="批注文字 字符"/>
    <w:link w:val="2"/>
    <w:autoRedefine/>
    <w:qFormat/>
    <w:uiPriority w:val="99"/>
    <w:rPr>
      <w:rFonts w:ascii="等线" w:hAnsi="等线" w:eastAsia="等线"/>
      <w:kern w:val="2"/>
      <w:sz w:val="21"/>
      <w:szCs w:val="22"/>
    </w:rPr>
  </w:style>
  <w:style w:type="character" w:customStyle="1" w:styleId="13">
    <w:name w:val="批注框文本 字符"/>
    <w:link w:val="3"/>
    <w:autoRedefine/>
    <w:semiHidden/>
    <w:qFormat/>
    <w:uiPriority w:val="99"/>
    <w:rPr>
      <w:sz w:val="18"/>
      <w:szCs w:val="18"/>
    </w:rPr>
  </w:style>
  <w:style w:type="character" w:customStyle="1" w:styleId="14">
    <w:name w:val="页脚 字符"/>
    <w:link w:val="4"/>
    <w:autoRedefine/>
    <w:qFormat/>
    <w:uiPriority w:val="99"/>
    <w:rPr>
      <w:sz w:val="18"/>
      <w:szCs w:val="18"/>
    </w:rPr>
  </w:style>
  <w:style w:type="character" w:customStyle="1" w:styleId="15">
    <w:name w:val="页眉 字符"/>
    <w:link w:val="5"/>
    <w:autoRedefine/>
    <w:qFormat/>
    <w:uiPriority w:val="99"/>
    <w:rPr>
      <w:sz w:val="18"/>
      <w:szCs w:val="18"/>
    </w:rPr>
  </w:style>
  <w:style w:type="character" w:customStyle="1" w:styleId="16">
    <w:name w:val="批注主题 字符"/>
    <w:link w:val="6"/>
    <w:autoRedefine/>
    <w:semiHidden/>
    <w:qFormat/>
    <w:uiPriority w:val="99"/>
    <w:rPr>
      <w:rFonts w:ascii="等线" w:hAnsi="等线" w:eastAsia="等线"/>
      <w:b/>
      <w:bCs/>
      <w:kern w:val="2"/>
      <w:sz w:val="21"/>
      <w:szCs w:val="22"/>
    </w:rPr>
  </w:style>
  <w:style w:type="paragraph" w:styleId="17">
    <w:name w:val="List Paragraph"/>
    <w:basedOn w:val="1"/>
    <w:autoRedefine/>
    <w:qFormat/>
    <w:uiPriority w:val="34"/>
    <w:pPr>
      <w:ind w:firstLine="420" w:firstLineChars="200"/>
    </w:pPr>
  </w:style>
  <w:style w:type="paragraph" w:customStyle="1" w:styleId="18">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GYBYS</Company>
  <Pages>7</Pages>
  <Words>3892</Words>
  <Characters>4084</Characters>
  <Lines>28</Lines>
  <Paragraphs>7</Paragraphs>
  <TotalTime>219</TotalTime>
  <ScaleCrop>false</ScaleCrop>
  <LinksUpToDate>false</LinksUpToDate>
  <CharactersWithSpaces>4131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2023-09-13T06:13:00Z</dcterms:created>
  <dc:creator>Licy</dc:creator>
  <cp:lastModifiedBy>瑶</cp:lastModifiedBy>
  <cp:lastPrinted>2024-07-08T03:21:25Z</cp:lastPrinted>
  <dcterms:modified xsi:type="dcterms:W3CDTF">2024-07-08T08:44:28Z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2BBADE198886475BB05D76E36FBED02A_13</vt:lpwstr>
  </property>
</Properties>
</file>