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0"/>
        <w:ind w:left="0" w:leftChars="0" w:firstLine="240" w:firstLineChars="100"/>
        <w:jc w:val="left"/>
        <w:rPr>
          <w:rFonts w:hint="default" w:eastAsia="宋体"/>
          <w:lang w:val="en-US" w:eastAsia="zh-CN"/>
        </w:rPr>
      </w:pPr>
      <w:r>
        <w:t>证券代码：</w:t>
      </w:r>
      <w:r>
        <w:rPr>
          <w:rFonts w:hint="eastAsia"/>
          <w:lang w:val="en-US" w:eastAsia="zh-CN"/>
        </w:rPr>
        <w:t>688380</w:t>
      </w:r>
      <w:r>
        <w:t xml:space="preserve"> </w:t>
      </w:r>
      <w:r>
        <w:rPr>
          <w:rFonts w:hint="eastAsia"/>
          <w:lang w:val="en-US" w:eastAsia="zh-CN"/>
        </w:rPr>
        <w:t xml:space="preserve">                                           </w:t>
      </w:r>
      <w:r>
        <w:t>证券简称：</w:t>
      </w:r>
      <w:r>
        <w:rPr>
          <w:rFonts w:hint="eastAsia"/>
          <w:lang w:val="en-US" w:eastAsia="zh-CN"/>
        </w:rPr>
        <w:t>中微半导</w:t>
      </w:r>
    </w:p>
    <w:p>
      <w:pPr>
        <w:pStyle w:val="2"/>
        <w:rPr>
          <w:sz w:val="29"/>
        </w:rPr>
      </w:pPr>
    </w:p>
    <w:p>
      <w:pPr>
        <w:spacing w:before="54"/>
        <w:ind w:left="1943" w:right="1782" w:firstLine="0"/>
        <w:jc w:val="center"/>
        <w:rPr>
          <w:b/>
          <w:sz w:val="32"/>
        </w:rPr>
      </w:pPr>
      <w:r>
        <w:rPr>
          <w:rFonts w:hint="eastAsia"/>
          <w:b/>
          <w:sz w:val="32"/>
          <w:lang w:val="en-US" w:eastAsia="zh-CN"/>
        </w:rPr>
        <w:t>中微半导体（深圳）</w:t>
      </w:r>
      <w:r>
        <w:rPr>
          <w:b/>
          <w:sz w:val="32"/>
        </w:rPr>
        <w:t>股份有限公司</w:t>
      </w:r>
      <w:bookmarkStart w:id="0" w:name="_GoBack"/>
      <w:bookmarkEnd w:id="0"/>
    </w:p>
    <w:p>
      <w:pPr>
        <w:spacing w:before="54"/>
        <w:ind w:left="1943" w:right="1782" w:firstLine="0"/>
        <w:jc w:val="center"/>
        <w:rPr>
          <w:rFonts w:hint="default"/>
          <w:b/>
          <w:sz w:val="32"/>
          <w:lang w:val="en-US"/>
        </w:rPr>
      </w:pPr>
      <w:r>
        <w:rPr>
          <w:b/>
          <w:sz w:val="32"/>
        </w:rPr>
        <w:t>投资者关系活动记录表</w:t>
      </w:r>
      <w:r>
        <w:rPr>
          <w:b/>
          <w:w w:val="98"/>
          <w:sz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2" w:after="21"/>
        <w:ind w:left="0" w:right="0" w:firstLine="0"/>
        <w:jc w:val="center"/>
        <w:textAlignment w:val="auto"/>
        <w:rPr>
          <w:rFonts w:hint="default"/>
          <w:sz w:val="24"/>
          <w:szCs w:val="28"/>
          <w:highlight w:val="yellow"/>
          <w:lang w:val="en-US"/>
        </w:rPr>
      </w:pPr>
      <w:r>
        <w:rPr>
          <w:rFonts w:hint="eastAsia"/>
          <w:sz w:val="24"/>
          <w:szCs w:val="28"/>
          <w:highlight w:val="none"/>
          <w:lang w:val="en-US" w:eastAsia="zh-CN"/>
        </w:rPr>
        <w:t xml:space="preserve">                                                                 </w:t>
      </w:r>
      <w:r>
        <w:rPr>
          <w:sz w:val="24"/>
          <w:szCs w:val="28"/>
          <w:highlight w:val="none"/>
        </w:rPr>
        <w:t>编号</w:t>
      </w:r>
      <w:r>
        <w:rPr>
          <w:rFonts w:hint="eastAsia"/>
          <w:sz w:val="24"/>
          <w:szCs w:val="28"/>
          <w:highlight w:val="none"/>
          <w:lang w:eastAsia="zh-CN"/>
        </w:rPr>
        <w:t>：</w:t>
      </w:r>
      <w:r>
        <w:rPr>
          <w:sz w:val="24"/>
          <w:szCs w:val="28"/>
          <w:highlight w:val="none"/>
        </w:rPr>
        <w:t>202</w:t>
      </w:r>
      <w:r>
        <w:rPr>
          <w:rFonts w:hint="eastAsia"/>
          <w:sz w:val="24"/>
          <w:szCs w:val="28"/>
          <w:highlight w:val="none"/>
          <w:lang w:val="en-US" w:eastAsia="zh-CN"/>
        </w:rPr>
        <w:t>4</w:t>
      </w:r>
      <w:r>
        <w:rPr>
          <w:sz w:val="24"/>
          <w:szCs w:val="28"/>
          <w:highlight w:val="none"/>
        </w:rPr>
        <w:t>-</w:t>
      </w:r>
      <w:r>
        <w:rPr>
          <w:rFonts w:hint="eastAsia"/>
          <w:sz w:val="24"/>
          <w:szCs w:val="28"/>
          <w:highlight w:val="none"/>
          <w:lang w:val="en-US" w:eastAsia="zh-CN"/>
        </w:rPr>
        <w:t>0</w:t>
      </w:r>
      <w:r>
        <w:rPr>
          <w:rFonts w:hint="default"/>
          <w:sz w:val="24"/>
          <w:szCs w:val="28"/>
          <w:highlight w:val="none"/>
          <w:lang w:val="en-US" w:eastAsia="zh-CN"/>
        </w:rPr>
        <w:t>09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4"/>
        <w:gridCol w:w="82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2" w:hRule="atLeast"/>
          <w:jc w:val="center"/>
        </w:trPr>
        <w:tc>
          <w:tcPr>
            <w:tcW w:w="152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8"/>
              <w:spacing w:line="242" w:lineRule="auto"/>
              <w:ind w:left="0" w:leftChars="0" w:right="72" w:firstLine="0" w:firstLineChars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投资者来访类别</w:t>
            </w:r>
          </w:p>
        </w:tc>
        <w:tc>
          <w:tcPr>
            <w:tcW w:w="8220" w:type="dxa"/>
            <w:vAlign w:val="center"/>
          </w:tcPr>
          <w:p>
            <w:pPr>
              <w:pStyle w:val="8"/>
              <w:numPr>
                <w:ilvl w:val="0"/>
                <w:numId w:val="0"/>
              </w:numPr>
              <w:tabs>
                <w:tab w:val="left" w:pos="390"/>
              </w:tabs>
              <w:spacing w:before="132" w:after="0" w:line="240" w:lineRule="auto"/>
              <w:ind w:right="0" w:rightChars="0" w:firstLine="236" w:firstLineChars="10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sym w:font="Wingdings 2" w:char="00A3"/>
            </w:r>
            <w:r>
              <w:rPr>
                <w:spacing w:val="-2"/>
                <w:sz w:val="24"/>
                <w:szCs w:val="24"/>
              </w:rPr>
              <w:t xml:space="preserve"> 特定对象调研 </w:t>
            </w: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spacing w:val="-2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分析师会议</w:t>
            </w:r>
          </w:p>
          <w:p>
            <w:pPr>
              <w:pStyle w:val="8"/>
              <w:spacing w:before="9"/>
              <w:ind w:left="0"/>
              <w:jc w:val="both"/>
              <w:rPr>
                <w:sz w:val="24"/>
                <w:szCs w:val="24"/>
              </w:rPr>
            </w:pPr>
          </w:p>
          <w:p>
            <w:pPr>
              <w:pStyle w:val="8"/>
              <w:ind w:left="0" w:leftChars="0" w:firstLine="240" w:firstLineChars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sz w:val="24"/>
                <w:szCs w:val="24"/>
              </w:rPr>
              <w:t xml:space="preserve"> 媒体采访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spacing w:val="-2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>业绩说明会</w:t>
            </w:r>
          </w:p>
          <w:p>
            <w:pPr>
              <w:pStyle w:val="8"/>
              <w:spacing w:before="9"/>
              <w:ind w:left="0"/>
              <w:jc w:val="both"/>
              <w:rPr>
                <w:sz w:val="24"/>
                <w:szCs w:val="24"/>
              </w:rPr>
            </w:pPr>
          </w:p>
          <w:p>
            <w:pPr>
              <w:pStyle w:val="8"/>
              <w:ind w:left="0" w:leftChars="0" w:firstLine="240" w:firstLineChars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>新闻发布会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>路演活动</w:t>
            </w:r>
          </w:p>
          <w:p>
            <w:pPr>
              <w:pStyle w:val="8"/>
              <w:spacing w:before="9"/>
              <w:ind w:left="0"/>
              <w:jc w:val="both"/>
              <w:rPr>
                <w:sz w:val="24"/>
                <w:szCs w:val="24"/>
              </w:rPr>
            </w:pPr>
          </w:p>
          <w:p>
            <w:pPr>
              <w:pStyle w:val="8"/>
              <w:ind w:left="0" w:leftChars="0" w:firstLine="236" w:firstLineChars="100"/>
              <w:jc w:val="both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spacing w:val="-2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>现场参观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sz w:val="24"/>
                <w:szCs w:val="24"/>
              </w:rPr>
              <w:sym w:font="Wingdings 2" w:char="0052"/>
            </w:r>
            <w:r>
              <w:rPr>
                <w:sz w:val="24"/>
                <w:szCs w:val="24"/>
              </w:rPr>
              <w:t xml:space="preserve"> 其他 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线上调研）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  <w:jc w:val="center"/>
        </w:trPr>
        <w:tc>
          <w:tcPr>
            <w:tcW w:w="152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8"/>
              <w:spacing w:before="156" w:line="242" w:lineRule="auto"/>
              <w:ind w:left="107" w:right="71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参与单位名称</w:t>
            </w:r>
          </w:p>
        </w:tc>
        <w:tc>
          <w:tcPr>
            <w:tcW w:w="8220" w:type="dxa"/>
            <w:vAlign w:val="center"/>
          </w:tcPr>
          <w:p>
            <w:pPr>
              <w:pStyle w:val="8"/>
              <w:spacing w:before="156" w:line="242" w:lineRule="auto"/>
              <w:ind w:right="-29"/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中邮电子、华安基金、东吴基金、汇丰基金、睿远、中邮证券、嘉实、鹏扬基金、中信保诚、申万菱信、泰康资产、银华基金、淡水泉、大家资产、长城基金、盘京、泰信基金、上海同犇投资、天弘、民生加银、国联安、财通资管、银河、平安基金、诺德基金、合从资产、新华基金、国华人寿、宝盈基金、弘康人寿、华夏人寿、金信基金、万家基金、宏利基金、广发基金、中金资管、国寿安保、南方基金、盘京投资、国泰基金、景顺长城、兴全基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2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8"/>
              <w:spacing w:before="170" w:line="289" w:lineRule="exact"/>
              <w:ind w:left="107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时间</w:t>
            </w:r>
          </w:p>
        </w:tc>
        <w:tc>
          <w:tcPr>
            <w:tcW w:w="8220" w:type="dxa"/>
            <w:vAlign w:val="center"/>
          </w:tcPr>
          <w:p>
            <w:pPr>
              <w:pStyle w:val="8"/>
              <w:spacing w:before="170" w:line="289" w:lineRule="exact"/>
              <w:jc w:val="both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2024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7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10日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2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8"/>
              <w:spacing w:before="170" w:line="289" w:lineRule="exact"/>
              <w:ind w:left="107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地点</w:t>
            </w:r>
          </w:p>
        </w:tc>
        <w:tc>
          <w:tcPr>
            <w:tcW w:w="8220" w:type="dxa"/>
            <w:vAlign w:val="center"/>
          </w:tcPr>
          <w:p>
            <w:pPr>
              <w:pStyle w:val="8"/>
              <w:spacing w:before="170" w:line="289" w:lineRule="exact"/>
              <w:jc w:val="both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线上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52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8"/>
              <w:spacing w:before="60" w:line="242" w:lineRule="auto"/>
              <w:ind w:left="107" w:right="7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上市公司接待人员姓名</w:t>
            </w:r>
          </w:p>
        </w:tc>
        <w:tc>
          <w:tcPr>
            <w:tcW w:w="8220" w:type="dxa"/>
            <w:vAlign w:val="center"/>
          </w:tcPr>
          <w:p>
            <w:pPr>
              <w:pStyle w:val="8"/>
              <w:spacing w:before="170"/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董事会秘书、财务总监：吴新元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52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8"/>
              <w:spacing w:before="60" w:line="242" w:lineRule="auto"/>
              <w:ind w:left="107" w:right="7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投资者关系活动主要内容介绍</w:t>
            </w:r>
          </w:p>
        </w:tc>
        <w:tc>
          <w:tcPr>
            <w:tcW w:w="8220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480" w:firstLineChars="200"/>
              <w:jc w:val="both"/>
              <w:textAlignment w:val="auto"/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  <w:t>公司基本情况介绍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480" w:firstLineChars="200"/>
              <w:jc w:val="both"/>
              <w:textAlignment w:val="auto"/>
              <w:rPr>
                <w:rFonts w:hint="default" w:cs="宋体"/>
                <w:b w:val="0"/>
                <w:bCs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  <w:t>公司是一家同学创业公司，具有共同的价值观，股权结构稳定，治理规范；创始团队从芯片应用转型为芯片设计，具有贴近市场的天然基因；20多年的技术积累，具有技术全、产品线广的优势。如今公司是一家以MCU为核心的平台型芯片设计企业，产品包括8位及32位MCU，以及信号链、电源及驱动等模拟产品，广泛应用于消费电子、家用电器、工业控制和汽车电子领域。上市后，公司在硬件环境、人才建设、管理、设计流程、品质控制、IT建设方面大下功夫，无论是公司产品性能、品牌、品质都有大幅提升，产品结构更加丰富，应用领域得到拓展，满足中高端应用领域的产品增多、营收占比增大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480" w:firstLineChars="200"/>
              <w:jc w:val="both"/>
              <w:textAlignment w:val="auto"/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  <w:t>二、一季度及上半年经营情况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480" w:firstLineChars="200"/>
              <w:jc w:val="both"/>
              <w:textAlignment w:val="auto"/>
              <w:rPr>
                <w:rFonts w:hint="default" w:cs="宋体"/>
                <w:b w:val="0"/>
                <w:bCs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  <w:t>上半年公司出货量持续增长，市场占有率继续扩大。公司一季度实现销售收入2亿多元，营业收入同比大幅增长，产品毛利持续回升；二季度整体形势不错，营收同比和环比均是增长态势。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 w:right="0" w:rightChars="0"/>
              <w:jc w:val="both"/>
              <w:textAlignment w:val="auto"/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  <w:t>三、交流问答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 w:right="0" w:rightChars="0"/>
              <w:jc w:val="both"/>
              <w:textAlignment w:val="auto"/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  <w:t>1、请问公司产品目前价格情况及下半年价格态势？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480" w:firstLineChars="200"/>
              <w:jc w:val="both"/>
              <w:textAlignment w:val="auto"/>
              <w:rPr>
                <w:rFonts w:hint="default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  <w:t>答：上半年，公司产品价格基本稳定；但近期有晶圆厂和封装厂方面要涨价的传闻，如果上游加工成本上涨，公司首先会用设计优化吸收部分上游成本的增长，如果技术优化还不能消化上游成本的增长，那么公司可能会将成本增长态势向下游传导，对产品价格进行调整。</w:t>
            </w:r>
          </w:p>
          <w:p>
            <w:pPr>
              <w:pStyle w:val="8"/>
              <w:numPr>
                <w:ilvl w:val="0"/>
                <w:numId w:val="2"/>
              </w:numPr>
              <w:spacing w:before="170" w:line="360" w:lineRule="auto"/>
              <w:ind w:left="108" w:leftChars="0" w:right="0" w:rightChars="0" w:firstLine="480" w:firstLineChars="200"/>
              <w:jc w:val="both"/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  <w:t>请谈谈下半年行业趋势？</w:t>
            </w:r>
          </w:p>
          <w:p>
            <w:pPr>
              <w:pStyle w:val="8"/>
              <w:numPr>
                <w:ilvl w:val="0"/>
                <w:numId w:val="0"/>
              </w:numPr>
              <w:spacing w:before="170" w:line="360" w:lineRule="auto"/>
              <w:ind w:right="0" w:rightChars="0" w:firstLine="480" w:firstLineChars="200"/>
              <w:jc w:val="both"/>
              <w:rPr>
                <w:rFonts w:hint="default" w:cs="宋体"/>
                <w:b w:val="0"/>
                <w:bCs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 w:bidi="zh-CN"/>
              </w:rPr>
              <w:t>答：从上半年看，整个消费电子市场已经呈现出复苏的现象，各大芯片设计公司业绩整体向上向好；下半年，我们相信市场会持续复苏、持续向好，而且三、四季度是行业产品出货的传统旺季，我们期待整个行业有更好的表现。</w:t>
            </w:r>
          </w:p>
          <w:p>
            <w:pPr>
              <w:pStyle w:val="8"/>
              <w:numPr>
                <w:ilvl w:val="0"/>
                <w:numId w:val="0"/>
              </w:numPr>
              <w:spacing w:before="170" w:line="360" w:lineRule="auto"/>
              <w:ind w:right="0" w:rightChars="0" w:firstLine="480" w:firstLineChars="200"/>
              <w:jc w:val="both"/>
              <w:rPr>
                <w:rFonts w:hint="default" w:cs="宋体"/>
                <w:b w:val="0"/>
                <w:bCs w:val="0"/>
                <w:sz w:val="24"/>
                <w:szCs w:val="24"/>
                <w:lang w:val="en-US" w:eastAsia="zh-CN" w:bidi="zh-CN"/>
              </w:rPr>
            </w:pPr>
          </w:p>
        </w:tc>
      </w:tr>
    </w:tbl>
    <w:p>
      <w:pPr>
        <w:spacing w:before="23"/>
        <w:ind w:right="0"/>
        <w:jc w:val="left"/>
        <w:rPr>
          <w:sz w:val="21"/>
        </w:rPr>
      </w:pPr>
    </w:p>
    <w:sectPr>
      <w:pgSz w:w="11910" w:h="16840"/>
      <w:pgMar w:top="1417" w:right="1134" w:bottom="1417" w:left="1134" w:header="720" w:footer="72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15BD73"/>
    <w:multiLevelType w:val="singleLevel"/>
    <w:tmpl w:val="A815BD7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FD48B96"/>
    <w:multiLevelType w:val="singleLevel"/>
    <w:tmpl w:val="4FD48B96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1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lNzNkMjNhNzc3NmJkNTY4N2NhZmM0ZDdiYjJhOTIifQ=="/>
  </w:docVars>
  <w:rsids>
    <w:rsidRoot w:val="00000000"/>
    <w:rsid w:val="00FD233D"/>
    <w:rsid w:val="049B5140"/>
    <w:rsid w:val="062260D2"/>
    <w:rsid w:val="06B7310D"/>
    <w:rsid w:val="0E561013"/>
    <w:rsid w:val="0E842633"/>
    <w:rsid w:val="103109BE"/>
    <w:rsid w:val="10CC52F7"/>
    <w:rsid w:val="140D0007"/>
    <w:rsid w:val="144018FC"/>
    <w:rsid w:val="1BA42A8E"/>
    <w:rsid w:val="1E491273"/>
    <w:rsid w:val="1E6B5B60"/>
    <w:rsid w:val="204505AD"/>
    <w:rsid w:val="20E85DAE"/>
    <w:rsid w:val="24E24D18"/>
    <w:rsid w:val="24EC5A02"/>
    <w:rsid w:val="275135B6"/>
    <w:rsid w:val="296C29CE"/>
    <w:rsid w:val="2CAC35B1"/>
    <w:rsid w:val="2D600F4C"/>
    <w:rsid w:val="2E567099"/>
    <w:rsid w:val="2ED94800"/>
    <w:rsid w:val="302C44F1"/>
    <w:rsid w:val="32954240"/>
    <w:rsid w:val="337066A2"/>
    <w:rsid w:val="33CF2630"/>
    <w:rsid w:val="36CF10AF"/>
    <w:rsid w:val="37B625EF"/>
    <w:rsid w:val="380A05F1"/>
    <w:rsid w:val="39F5707E"/>
    <w:rsid w:val="3A0A3E69"/>
    <w:rsid w:val="3B073DC4"/>
    <w:rsid w:val="3CC11A84"/>
    <w:rsid w:val="402D334F"/>
    <w:rsid w:val="417A669A"/>
    <w:rsid w:val="42417305"/>
    <w:rsid w:val="437368FD"/>
    <w:rsid w:val="44E37ACA"/>
    <w:rsid w:val="46DB063D"/>
    <w:rsid w:val="4F3A3B86"/>
    <w:rsid w:val="51CD61A5"/>
    <w:rsid w:val="58B36C53"/>
    <w:rsid w:val="58B91A1A"/>
    <w:rsid w:val="5DA32E13"/>
    <w:rsid w:val="5E056C86"/>
    <w:rsid w:val="645218B2"/>
    <w:rsid w:val="64E10284"/>
    <w:rsid w:val="65864EAB"/>
    <w:rsid w:val="65AC0BA1"/>
    <w:rsid w:val="684E7F52"/>
    <w:rsid w:val="6860573C"/>
    <w:rsid w:val="69007D35"/>
    <w:rsid w:val="6A8F2D01"/>
    <w:rsid w:val="6AA221E0"/>
    <w:rsid w:val="6AFE35FB"/>
    <w:rsid w:val="6BF33738"/>
    <w:rsid w:val="6C060AF4"/>
    <w:rsid w:val="6E5114E1"/>
    <w:rsid w:val="6F441EB0"/>
    <w:rsid w:val="6F8659FF"/>
    <w:rsid w:val="70852816"/>
    <w:rsid w:val="73187DD2"/>
    <w:rsid w:val="78471C35"/>
    <w:rsid w:val="79213DD0"/>
    <w:rsid w:val="7A117945"/>
    <w:rsid w:val="7BC17493"/>
    <w:rsid w:val="7D2045FF"/>
    <w:rsid w:val="7F0A22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pPr>
      <w:spacing w:before="6"/>
    </w:pPr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autoRedefine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autoRedefine/>
    <w:qFormat/>
    <w:uiPriority w:val="1"/>
    <w:pPr>
      <w:ind w:left="108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1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lang w:val="en-US" w:eastAsia="zh-CN" w:bidi="ar-SA"/>
    </w:rPr>
  </w:style>
  <w:style w:type="paragraph" w:customStyle="1" w:styleId="10">
    <w:name w:val="正文5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982</Words>
  <Characters>1005</Characters>
  <TotalTime>243</TotalTime>
  <ScaleCrop>false</ScaleCrop>
  <LinksUpToDate>false</LinksUpToDate>
  <CharactersWithSpaces>1221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2022-08-11T01:07:00Z</dcterms:created>
  <dc:creator>XIONG</dc:creator>
  <cp:lastModifiedBy>董秘办</cp:lastModifiedBy>
  <cp:lastPrinted>2022-09-29T09:35:00Z</cp:lastPrinted>
  <dcterms:modified xsi:type="dcterms:W3CDTF">2024-07-11T06:39:11Z</dcterms:modified>
  <dc:title>证券代码：300327                      证券简称：中颖电子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2022-08-11T00:00:00Z</vt:filetime>
  </property>
  <property fmtid="{D5CDD505-2E9C-101B-9397-08002B2CF9AE}" pid="5" name="KSOProductBuildVer">
    <vt:lpwstr>2052-12.1.0.16929</vt:lpwstr>
  </property>
  <property fmtid="{D5CDD505-2E9C-101B-9397-08002B2CF9AE}" pid="6" name="ICV">
    <vt:lpwstr>77DEEA0013474F5F87D364685F38BB7F_13</vt:lpwstr>
  </property>
</Properties>
</file>