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5B39" w14:textId="77777777" w:rsidR="00FC0B0D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斯瑞新材</w:t>
      </w:r>
      <w:proofErr w:type="gramEnd"/>
    </w:p>
    <w:p w14:paraId="3F497652" w14:textId="77777777" w:rsidR="00FC0B0D" w:rsidRDefault="00FC0B0D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</w:p>
    <w:p w14:paraId="004CEEC0" w14:textId="77777777" w:rsidR="00FC0B0D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226FEFC1" w14:textId="77777777" w:rsidR="00FC0B0D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3B4D74D7" w14:textId="5BCA5532" w:rsidR="00FC0B0D" w:rsidRDefault="00000000">
      <w:pPr>
        <w:autoSpaceDE/>
        <w:adjustRightInd w:val="0"/>
        <w:snapToGrid w:val="0"/>
        <w:spacing w:line="600" w:lineRule="exact"/>
        <w:jc w:val="right"/>
        <w:rPr>
          <w:rFonts w:ascii="宋体" w:eastAsia="宋体" w:hAnsi="宋体" w:cs="Times New Roman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24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-0</w:t>
      </w:r>
      <w:r w:rsidR="00CC3730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1</w:t>
      </w:r>
      <w:r w:rsidR="00952DCE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5</w:t>
      </w:r>
    </w:p>
    <w:tbl>
      <w:tblPr>
        <w:tblW w:w="8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7399"/>
      </w:tblGrid>
      <w:tr w:rsidR="00FC0B0D" w14:paraId="738E4AC9" w14:textId="77777777">
        <w:trPr>
          <w:trHeight w:val="2569"/>
          <w:jc w:val="center"/>
        </w:trPr>
        <w:tc>
          <w:tcPr>
            <w:tcW w:w="1358" w:type="dxa"/>
            <w:vAlign w:val="center"/>
          </w:tcPr>
          <w:p w14:paraId="25882709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734E5052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399" w:type="dxa"/>
          </w:tcPr>
          <w:p w14:paraId="1E6C41A4" w14:textId="77777777" w:rsidR="00FC0B0D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3A1F0120" w14:textId="77777777" w:rsidR="00FC0B0D" w:rsidRDefault="00FC0B0D">
            <w:pPr>
              <w:pStyle w:val="TableParagraph"/>
              <w:spacing w:before="1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527B0C94" w14:textId="77777777" w:rsidR="00FC0B0D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559E6F71" w14:textId="77777777" w:rsidR="00FC0B0D" w:rsidRDefault="00FC0B0D">
            <w:pPr>
              <w:pStyle w:val="TableParagraph"/>
              <w:spacing w:before="8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A262E8C" w14:textId="77777777" w:rsidR="00FC0B0D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65D48B4C" w14:textId="77777777" w:rsidR="00FC0B0D" w:rsidRDefault="00FC0B0D">
            <w:pPr>
              <w:pStyle w:val="TableParagraph"/>
              <w:spacing w:before="8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25F0C5AB" w14:textId="77777777" w:rsidR="00FC0B0D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20DBE98B" w14:textId="77777777" w:rsidR="00FC0B0D" w:rsidRDefault="00FC0B0D">
            <w:pPr>
              <w:pStyle w:val="TableParagraph"/>
              <w:spacing w:before="1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2F9B4AB8" w14:textId="77777777" w:rsidR="00FC0B0D" w:rsidRDefault="00000000">
            <w:pPr>
              <w:pStyle w:val="TableParagraph"/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FC0B0D" w14:paraId="282FF238" w14:textId="77777777">
        <w:trPr>
          <w:trHeight w:val="90"/>
          <w:jc w:val="center"/>
        </w:trPr>
        <w:tc>
          <w:tcPr>
            <w:tcW w:w="1358" w:type="dxa"/>
            <w:vAlign w:val="center"/>
          </w:tcPr>
          <w:p w14:paraId="34D7E7F9" w14:textId="77777777" w:rsidR="00FC0B0D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399" w:type="dxa"/>
          </w:tcPr>
          <w:p w14:paraId="59EB051C" w14:textId="043CE62F" w:rsidR="00FC0B0D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66C53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66C53"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FC0B0D" w14:paraId="207C7A3B" w14:textId="77777777" w:rsidTr="00296825">
        <w:trPr>
          <w:trHeight w:val="3769"/>
          <w:jc w:val="center"/>
        </w:trPr>
        <w:tc>
          <w:tcPr>
            <w:tcW w:w="1358" w:type="dxa"/>
            <w:vAlign w:val="center"/>
          </w:tcPr>
          <w:p w14:paraId="526C0929" w14:textId="77777777" w:rsidR="00FC0B0D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399" w:type="dxa"/>
            <w:vAlign w:val="center"/>
          </w:tcPr>
          <w:tbl>
            <w:tblPr>
              <w:tblStyle w:val="ae"/>
              <w:tblW w:w="4566" w:type="pct"/>
              <w:tblInd w:w="335" w:type="dxa"/>
              <w:tblLook w:val="04A0" w:firstRow="1" w:lastRow="0" w:firstColumn="1" w:lastColumn="0" w:noHBand="0" w:noVBand="1"/>
            </w:tblPr>
            <w:tblGrid>
              <w:gridCol w:w="1004"/>
              <w:gridCol w:w="2341"/>
              <w:gridCol w:w="3394"/>
            </w:tblGrid>
            <w:tr w:rsidR="00FC0B0D" w14:paraId="3C0FBB75" w14:textId="77777777" w:rsidTr="00E77D23">
              <w:tc>
                <w:tcPr>
                  <w:tcW w:w="745" w:type="pct"/>
                </w:tcPr>
                <w:p w14:paraId="15A85A4A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7" w:type="pct"/>
                </w:tcPr>
                <w:p w14:paraId="769C8E0A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18" w:type="pct"/>
                </w:tcPr>
                <w:p w14:paraId="6F020892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FC0B0D" w14:paraId="59A1109F" w14:textId="77777777" w:rsidTr="00E77D23">
              <w:tc>
                <w:tcPr>
                  <w:tcW w:w="745" w:type="pct"/>
                </w:tcPr>
                <w:p w14:paraId="42973911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7" w:type="pct"/>
                </w:tcPr>
                <w:p w14:paraId="3E75188B" w14:textId="5F37485F" w:rsidR="00FC0B0D" w:rsidRDefault="00952DCE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华创证券</w:t>
                  </w:r>
                </w:p>
              </w:tc>
              <w:tc>
                <w:tcPr>
                  <w:tcW w:w="2518" w:type="pct"/>
                </w:tcPr>
                <w:p w14:paraId="2D3B5E65" w14:textId="1B256B52" w:rsidR="00FC0B0D" w:rsidRDefault="00952DCE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952DCE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马金龙、李梦娇</w:t>
                  </w:r>
                </w:p>
              </w:tc>
            </w:tr>
            <w:tr w:rsidR="00FC0B0D" w14:paraId="469D268A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13078BFD" w14:textId="77777777" w:rsidR="00FC0B0D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37" w:type="pct"/>
                </w:tcPr>
                <w:p w14:paraId="239235CA" w14:textId="59E14C48" w:rsidR="00FC0B0D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景风投资</w:t>
                  </w:r>
                </w:p>
              </w:tc>
              <w:tc>
                <w:tcPr>
                  <w:tcW w:w="2518" w:type="pct"/>
                </w:tcPr>
                <w:p w14:paraId="3B2647CC" w14:textId="4DB6971B" w:rsidR="00FC0B0D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孙斌</w:t>
                  </w:r>
                </w:p>
              </w:tc>
            </w:tr>
            <w:tr w:rsidR="00952DCE" w14:paraId="5AEB7BA4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490D4053" w14:textId="33385DE5" w:rsidR="00952DCE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37" w:type="pct"/>
                </w:tcPr>
                <w:p w14:paraId="1C697C0F" w14:textId="2E3E1977" w:rsidR="00952DCE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民生证券</w:t>
                  </w:r>
                </w:p>
              </w:tc>
              <w:tc>
                <w:tcPr>
                  <w:tcW w:w="2518" w:type="pct"/>
                </w:tcPr>
                <w:p w14:paraId="15C8FF01" w14:textId="60CB621C" w:rsidR="00952DCE" w:rsidRPr="00E50F27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李挺</w:t>
                  </w:r>
                  <w:proofErr w:type="gramEnd"/>
                </w:p>
              </w:tc>
            </w:tr>
            <w:tr w:rsidR="00952DCE" w14:paraId="58395DF7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43AC7567" w14:textId="757FB8F7" w:rsidR="00952DCE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737" w:type="pct"/>
                </w:tcPr>
                <w:p w14:paraId="4A20D5B9" w14:textId="3FE7D20B" w:rsidR="00952DCE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永赢基金</w:t>
                  </w:r>
                  <w:proofErr w:type="gramEnd"/>
                </w:p>
              </w:tc>
              <w:tc>
                <w:tcPr>
                  <w:tcW w:w="2518" w:type="pct"/>
                </w:tcPr>
                <w:p w14:paraId="68B3E3DC" w14:textId="5EB3D505" w:rsidR="00952DCE" w:rsidRPr="00E50F27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郑州杰</w:t>
                  </w:r>
                </w:p>
              </w:tc>
            </w:tr>
            <w:tr w:rsidR="00296825" w14:paraId="433173E5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35F68722" w14:textId="6D08B962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37" w:type="pct"/>
                </w:tcPr>
                <w:p w14:paraId="4DAAFCD1" w14:textId="4CB4CB02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方正自营</w:t>
                  </w:r>
                </w:p>
              </w:tc>
              <w:tc>
                <w:tcPr>
                  <w:tcW w:w="2518" w:type="pct"/>
                </w:tcPr>
                <w:p w14:paraId="33B1B31F" w14:textId="4E623832" w:rsidR="00296825" w:rsidRP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刘斐</w:t>
                  </w:r>
                </w:p>
              </w:tc>
            </w:tr>
            <w:tr w:rsidR="00296825" w14:paraId="1C810F60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5E4AD142" w14:textId="02BCE136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737" w:type="pct"/>
                </w:tcPr>
                <w:p w14:paraId="774AB0CF" w14:textId="16789A2D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国信自营</w:t>
                  </w:r>
                </w:p>
              </w:tc>
              <w:tc>
                <w:tcPr>
                  <w:tcW w:w="2518" w:type="pct"/>
                </w:tcPr>
                <w:p w14:paraId="076DDB41" w14:textId="652D5090" w:rsidR="00296825" w:rsidRP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王聪颖</w:t>
                  </w:r>
                </w:p>
              </w:tc>
            </w:tr>
            <w:tr w:rsidR="00296825" w14:paraId="78D07E7E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4B3A41C0" w14:textId="23188ACB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737" w:type="pct"/>
                </w:tcPr>
                <w:p w14:paraId="14F93F4A" w14:textId="715DDB3D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景元天成</w:t>
                  </w:r>
                </w:p>
              </w:tc>
              <w:tc>
                <w:tcPr>
                  <w:tcW w:w="2518" w:type="pct"/>
                </w:tcPr>
                <w:p w14:paraId="38FDB9DF" w14:textId="2B54EA3C" w:rsidR="00296825" w:rsidRP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邓志峰</w:t>
                  </w:r>
                </w:p>
              </w:tc>
            </w:tr>
            <w:tr w:rsidR="00296825" w14:paraId="275D7B2B" w14:textId="77777777" w:rsidTr="00E77D23">
              <w:trPr>
                <w:trHeight w:val="396"/>
              </w:trPr>
              <w:tc>
                <w:tcPr>
                  <w:tcW w:w="745" w:type="pct"/>
                </w:tcPr>
                <w:p w14:paraId="56C5887F" w14:textId="7F914DBC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737" w:type="pct"/>
                </w:tcPr>
                <w:p w14:paraId="731259C8" w14:textId="1A1AD9AF" w:rsid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中信证券</w:t>
                  </w:r>
                </w:p>
              </w:tc>
              <w:tc>
                <w:tcPr>
                  <w:tcW w:w="2518" w:type="pct"/>
                </w:tcPr>
                <w:p w14:paraId="220B5235" w14:textId="0376391B" w:rsidR="00296825" w:rsidRPr="00296825" w:rsidRDefault="00296825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 w:rsidRPr="00296825"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俞腾、杨博钧、陈昶宇</w:t>
                  </w:r>
                </w:p>
              </w:tc>
            </w:tr>
          </w:tbl>
          <w:p w14:paraId="6FAB7A37" w14:textId="77777777" w:rsidR="00FC0B0D" w:rsidRDefault="00FC0B0D">
            <w:pPr>
              <w:spacing w:line="360" w:lineRule="exact"/>
              <w:ind w:left="96" w:right="96"/>
              <w:jc w:val="both"/>
              <w:rPr>
                <w:rFonts w:asciiTheme="minorEastAsia" w:eastAsiaTheme="minorEastAsia" w:hAnsiTheme="minorEastAsia" w:cs="楷体"/>
                <w:sz w:val="24"/>
                <w:szCs w:val="24"/>
                <w:lang w:val="en-US"/>
              </w:rPr>
            </w:pPr>
          </w:p>
        </w:tc>
      </w:tr>
      <w:tr w:rsidR="00FC0B0D" w14:paraId="6A32CCE3" w14:textId="77777777">
        <w:trPr>
          <w:trHeight w:val="558"/>
          <w:jc w:val="center"/>
        </w:trPr>
        <w:tc>
          <w:tcPr>
            <w:tcW w:w="1358" w:type="dxa"/>
            <w:vAlign w:val="center"/>
          </w:tcPr>
          <w:p w14:paraId="6269F2C9" w14:textId="77777777" w:rsidR="00FC0B0D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399" w:type="dxa"/>
            <w:vAlign w:val="center"/>
          </w:tcPr>
          <w:p w14:paraId="1594028E" w14:textId="3BF943E2" w:rsidR="00FC0B0D" w:rsidRDefault="00296825">
            <w:pPr>
              <w:pStyle w:val="TableParagraph"/>
              <w:spacing w:before="50" w:line="360" w:lineRule="exact"/>
              <w:ind w:left="108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 w:rsidRPr="00296825">
              <w:rPr>
                <w:rFonts w:ascii="宋体" w:eastAsia="宋体" w:hAnsi="宋体"/>
                <w:color w:val="000000"/>
                <w:sz w:val="24"/>
                <w:lang w:val="en-US"/>
              </w:rPr>
              <w:t>2024年7月10日-2024年7月11日</w:t>
            </w:r>
          </w:p>
        </w:tc>
      </w:tr>
      <w:tr w:rsidR="00FC0B0D" w14:paraId="1B9AE565" w14:textId="77777777">
        <w:trPr>
          <w:trHeight w:val="561"/>
          <w:jc w:val="center"/>
        </w:trPr>
        <w:tc>
          <w:tcPr>
            <w:tcW w:w="1358" w:type="dxa"/>
            <w:vAlign w:val="center"/>
          </w:tcPr>
          <w:p w14:paraId="39EB0F5C" w14:textId="77777777" w:rsidR="00FC0B0D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399" w:type="dxa"/>
            <w:vAlign w:val="center"/>
          </w:tcPr>
          <w:p w14:paraId="09B90FAC" w14:textId="28100DA1" w:rsidR="00FC0B0D" w:rsidRDefault="00A92AEA">
            <w:pPr>
              <w:pStyle w:val="TableParagraph"/>
              <w:spacing w:before="50" w:line="360" w:lineRule="exact"/>
              <w:ind w:left="107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公司会议室</w:t>
            </w:r>
          </w:p>
        </w:tc>
      </w:tr>
      <w:tr w:rsidR="00FC0B0D" w14:paraId="26AC7725" w14:textId="77777777">
        <w:trPr>
          <w:trHeight w:val="90"/>
          <w:jc w:val="center"/>
        </w:trPr>
        <w:tc>
          <w:tcPr>
            <w:tcW w:w="1358" w:type="dxa"/>
            <w:vAlign w:val="center"/>
          </w:tcPr>
          <w:p w14:paraId="205F181A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7B2C7110" w14:textId="77777777" w:rsidR="00FC0B0D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399" w:type="dxa"/>
            <w:vAlign w:val="center"/>
          </w:tcPr>
          <w:p w14:paraId="72FA67EC" w14:textId="77777777" w:rsidR="00FC0B0D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董事会秘书：徐润升</w:t>
            </w:r>
          </w:p>
          <w:p w14:paraId="0B71C558" w14:textId="77777777" w:rsidR="00FC0B0D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FC0B0D" w14:paraId="14CC7AED" w14:textId="77777777">
        <w:trPr>
          <w:trHeight w:val="985"/>
          <w:jc w:val="center"/>
        </w:trPr>
        <w:tc>
          <w:tcPr>
            <w:tcW w:w="1358" w:type="dxa"/>
            <w:vAlign w:val="center"/>
          </w:tcPr>
          <w:p w14:paraId="4163866E" w14:textId="77777777" w:rsidR="00FC0B0D" w:rsidRDefault="00000000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容介绍</w:t>
            </w:r>
          </w:p>
        </w:tc>
        <w:tc>
          <w:tcPr>
            <w:tcW w:w="7399" w:type="dxa"/>
          </w:tcPr>
          <w:p w14:paraId="6EFAD069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b/>
                <w:iCs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lastRenderedPageBreak/>
              <w:t>1、最近一次10km级飞行－回收试验，公司有哪些产品应用到该次试验？</w:t>
            </w:r>
          </w:p>
          <w:p w14:paraId="271A35F2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</w:rPr>
              <w:t>答: 2024年6月23日，由</w:t>
            </w:r>
            <w:proofErr w:type="gramStart"/>
            <w:r>
              <w:rPr>
                <w:rFonts w:ascii="宋体" w:eastAsia="宋体" w:hAnsi="宋体" w:cs="宋体" w:hint="eastAsia"/>
                <w:iCs/>
              </w:rPr>
              <w:t>九州云箭公司</w:t>
            </w:r>
            <w:proofErr w:type="gramEnd"/>
            <w:r>
              <w:rPr>
                <w:rFonts w:ascii="宋体" w:eastAsia="宋体" w:hAnsi="宋体" w:cs="宋体" w:hint="eastAsia"/>
                <w:iCs/>
              </w:rPr>
              <w:t>研发的液氧甲烷发动机在酒泉东风发射场成功完成了10km级飞行－回收试验。此次飞行试验所使用的三台“龙云”</w:t>
            </w:r>
            <w:r>
              <w:rPr>
                <w:rFonts w:ascii="宋体" w:eastAsia="宋体" w:hAnsi="宋体" w:cs="宋体" w:hint="eastAsia"/>
                <w:iCs/>
              </w:rPr>
              <w:lastRenderedPageBreak/>
              <w:t>液氧甲烷发动机，是九州</w:t>
            </w:r>
            <w:proofErr w:type="gramStart"/>
            <w:r>
              <w:rPr>
                <w:rFonts w:ascii="宋体" w:eastAsia="宋体" w:hAnsi="宋体" w:cs="宋体" w:hint="eastAsia"/>
                <w:iCs/>
              </w:rPr>
              <w:t>云箭推出</w:t>
            </w:r>
            <w:proofErr w:type="gramEnd"/>
            <w:r>
              <w:rPr>
                <w:rFonts w:ascii="宋体" w:eastAsia="宋体" w:hAnsi="宋体" w:cs="宋体" w:hint="eastAsia"/>
                <w:iCs/>
              </w:rPr>
              <w:t>的首</w:t>
            </w:r>
            <w:proofErr w:type="gramStart"/>
            <w:r>
              <w:rPr>
                <w:rFonts w:ascii="宋体" w:eastAsia="宋体" w:hAnsi="宋体" w:cs="宋体" w:hint="eastAsia"/>
                <w:iCs/>
              </w:rPr>
              <w:t>款多次</w:t>
            </w:r>
            <w:proofErr w:type="gramEnd"/>
            <w:r>
              <w:rPr>
                <w:rFonts w:ascii="宋体" w:eastAsia="宋体" w:hAnsi="宋体" w:cs="宋体" w:hint="eastAsia"/>
                <w:iCs/>
              </w:rPr>
              <w:t>启动、可回收、大推力液体火箭发动机，液体火箭发动机由于其可重复回收的优势，在降低成本方面具有显著潜力。</w:t>
            </w:r>
            <w:r>
              <w:rPr>
                <w:rFonts w:ascii="宋体" w:eastAsia="宋体" w:hAnsi="宋体" w:cs="宋体" w:hint="eastAsia"/>
                <w:iCs/>
                <w:lang w:val="en-US"/>
              </w:rPr>
              <w:t>公司</w:t>
            </w:r>
            <w:r>
              <w:rPr>
                <w:rFonts w:ascii="宋体" w:eastAsia="宋体" w:hAnsi="宋体" w:cs="宋体" w:hint="eastAsia"/>
                <w:iCs/>
              </w:rPr>
              <w:t>为“龙云”发动机的</w:t>
            </w:r>
            <w:proofErr w:type="gramStart"/>
            <w:r>
              <w:rPr>
                <w:rFonts w:ascii="宋体" w:eastAsia="宋体" w:hAnsi="宋体" w:cs="宋体" w:hint="eastAsia"/>
                <w:iCs/>
              </w:rPr>
              <w:t>推力室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内壁</w:t>
            </w:r>
            <w:r>
              <w:rPr>
                <w:rFonts w:ascii="宋体" w:eastAsia="宋体" w:hAnsi="宋体" w:cs="宋体" w:hint="eastAsia"/>
                <w:iCs/>
              </w:rPr>
              <w:t>提供了的解决方案。</w:t>
            </w:r>
          </w:p>
          <w:p w14:paraId="33944AAC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</w:p>
          <w:p w14:paraId="5B018671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b/>
                <w:iCs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2、公司的国际市场布局情况？</w:t>
            </w:r>
          </w:p>
          <w:p w14:paraId="648F94B6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答：2024年全面推进企业国际化，在2023年出口业务2.85亿元人民币左右的基础上，积极推动国际市场业务三年倍增，大力推进泰国子公司建设，加快公司全球化产业布局。</w:t>
            </w:r>
          </w:p>
          <w:p w14:paraId="7348E707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</w:p>
          <w:p w14:paraId="4ED3DA5F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b/>
                <w:iCs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3、公司的海外客户有哪些,直接销售还是贸易商?</w:t>
            </w:r>
          </w:p>
          <w:p w14:paraId="306D5ED5" w14:textId="77777777" w:rsidR="00296825" w:rsidRDefault="00296825" w:rsidP="00296825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答：公司的销售业务均为直销模式，公司主要围绕标杆客户开展销售活动，并通过标杆客户引领、带动、辐射全行业。公司的海外客户主要有GE集团、Wabtec集团、阿尔斯通、施耐德、西门子、ABB、伊顿等。</w:t>
            </w:r>
          </w:p>
          <w:p w14:paraId="6EDBCF91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</w:p>
          <w:p w14:paraId="01B6E4BE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b/>
                <w:iCs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4、GW星座、G60星座以及鸿鹄-3星座的布局，对公司液体火箭发动机的影响？</w:t>
            </w:r>
          </w:p>
          <w:p w14:paraId="6071F243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答：随着卫星互联网行业快速发展，对火箭的发射需求越来越多，公司持续扩大产业化能力，确保公司在这一细分领域的领跑者位置，为加速推进液体火箭发动机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内壁创新研发、产业规划，公司拟投资5.1亿元，启动建设“液体火箭发动机推力室材料、零件、组件产业化项目”，围绕火箭发动机推力室内外壁、喷注器面板开展从材料制备到组件制造的产品开发和产能打造，项目预计实现年产约300吨锻件、400套火箭发动机喷注器面板、1,100套火箭发动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内壁、外壁等零组件，以新材料、新工艺全力服务商业航天和卫星互联行业的快速发展。</w:t>
            </w:r>
          </w:p>
          <w:p w14:paraId="0E67D8C0" w14:textId="77777777" w:rsidR="00296825" w:rsidRDefault="00296825" w:rsidP="00296825">
            <w:pPr>
              <w:spacing w:line="400" w:lineRule="exact"/>
              <w:ind w:left="96" w:right="96"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</w:p>
          <w:p w14:paraId="40F2F127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b/>
                <w:iCs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5、公司近期的专利获取如何？研发的核心竞争力有哪些？</w:t>
            </w:r>
          </w:p>
          <w:p w14:paraId="431A2FDF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答：截至2023年，公司累计已取得的科技成果包括308项国内外专利，其中257 项为发明专利，48项实用新型专利，软件著作权3项。公司将持续加大研发力度，不断突破技术瓶颈，加快产品创新，巩固和提升公司在行业中的领先地位。</w:t>
            </w:r>
          </w:p>
          <w:p w14:paraId="5EAB5B85" w14:textId="77777777" w:rsidR="00296825" w:rsidRDefault="00296825" w:rsidP="00B36DB2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（1）基于市场需求开展研发活动，坚持“需求驱动创新、创新驱动发展，新材料引领未来”的发展使命，全面对接客户，围绕产业链的痛点、难点、堵点，与客户签订联合研发协议，基于客户的创新需求开展研发活动。（2）紧跟市场及科技前沿，通过公司对产业和行业的研究、预判，形成研发立项，开展预研活动。（3）积极与国内外各科研院所对接，根据其学术专业所长，</w:t>
            </w:r>
            <w:r>
              <w:rPr>
                <w:rFonts w:ascii="宋体" w:eastAsia="宋体" w:hAnsi="宋体" w:cs="宋体" w:hint="eastAsia"/>
                <w:iCs/>
                <w:lang w:val="en-US"/>
              </w:rPr>
              <w:lastRenderedPageBreak/>
              <w:t>结合其与公司契合度，签订联合研发协议，推进产学研合作。（4）通过政府科技平台，向全社会发布揭榜挂帅项目，公开征集资源进行技术攻关。（5）积极参与国家重大专项的研究开发工作，助力国家高水平自立自强。（6）运行省级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先进铜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合金创新中心，整合社会科技资源、人才资源，推动技术研究和产业发展。（7）积极推动研发管理的数字化建设工作，启动研发项目管理系统实施，在2023年全公司实现了以西门子Teamcenter平台为基础，建成涵盖研发项目管理、工艺管理、数据管理的数字研发管理平台。</w:t>
            </w:r>
          </w:p>
          <w:p w14:paraId="6EE2F187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</w:p>
          <w:p w14:paraId="1358BDAF" w14:textId="77777777" w:rsidR="00296825" w:rsidRDefault="00296825" w:rsidP="00296825">
            <w:pPr>
              <w:spacing w:line="400" w:lineRule="exact"/>
              <w:ind w:left="96" w:right="96"/>
              <w:rPr>
                <w:rFonts w:ascii="宋体" w:eastAsia="宋体" w:hAnsi="宋体" w:cs="宋体"/>
                <w:b/>
                <w:iCs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6、公司的电力板块产品在电网中起什么作用？应用场景有哪些？公司在这块还有什么技术储备？</w:t>
            </w:r>
          </w:p>
          <w:p w14:paraId="4E719CF1" w14:textId="77777777" w:rsidR="00296825" w:rsidRDefault="00296825" w:rsidP="00296825">
            <w:pPr>
              <w:spacing w:line="400" w:lineRule="exact"/>
              <w:ind w:left="96" w:right="96"/>
              <w:jc w:val="both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答：公司的中高压电接触材料及制品，主要是在中压和高压开关设备中，承担接通、断开电路及负载电流的功能。铜铬触头产品应用的范围为 12KV-126KV，铜钨触头产品的应用范围为126KV以上。</w:t>
            </w:r>
          </w:p>
          <w:p w14:paraId="779EB67E" w14:textId="77777777" w:rsidR="00296825" w:rsidRDefault="00296825" w:rsidP="00B36DB2">
            <w:pPr>
              <w:spacing w:line="400" w:lineRule="exact"/>
              <w:ind w:left="96" w:right="96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公司参与了国家重点研发计划（252千伏大容量真空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开断型全封闭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组合电器关键技术），该计划旨在消除252千伏电压等级真空开断、绝缘、通流之间的矛盾，突破“3个核心性能同步提升”的技术瓶颈。该项目理论研究难度大、工程应用价值高，是全球环保开关电器的技术制高点。</w:t>
            </w:r>
          </w:p>
          <w:p w14:paraId="496DCFDF" w14:textId="3B711B6B" w:rsidR="00805487" w:rsidRPr="006C5D43" w:rsidRDefault="00805487" w:rsidP="00296825">
            <w:pPr>
              <w:spacing w:line="400" w:lineRule="exact"/>
              <w:ind w:left="96" w:right="96"/>
              <w:rPr>
                <w:rFonts w:ascii="宋体" w:eastAsia="宋体" w:hAnsi="宋体" w:cs="楷体"/>
                <w:sz w:val="24"/>
                <w:szCs w:val="24"/>
                <w:lang w:val="en-US"/>
              </w:rPr>
            </w:pPr>
          </w:p>
        </w:tc>
      </w:tr>
      <w:tr w:rsidR="00FC0B0D" w14:paraId="477D5BE1" w14:textId="77777777">
        <w:trPr>
          <w:trHeight w:val="552"/>
          <w:jc w:val="center"/>
        </w:trPr>
        <w:tc>
          <w:tcPr>
            <w:tcW w:w="1358" w:type="dxa"/>
            <w:vAlign w:val="center"/>
          </w:tcPr>
          <w:p w14:paraId="03949292" w14:textId="77777777" w:rsidR="00FC0B0D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75C78E8D" w14:textId="77777777" w:rsidR="00FC0B0D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399" w:type="dxa"/>
            <w:vAlign w:val="center"/>
          </w:tcPr>
          <w:p w14:paraId="03B4BB2D" w14:textId="77777777" w:rsidR="00FC0B0D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FC0B0D" w14:paraId="07814A58" w14:textId="77777777">
        <w:trPr>
          <w:trHeight w:val="558"/>
          <w:jc w:val="center"/>
        </w:trPr>
        <w:tc>
          <w:tcPr>
            <w:tcW w:w="1358" w:type="dxa"/>
            <w:vAlign w:val="center"/>
          </w:tcPr>
          <w:p w14:paraId="2F3A98DC" w14:textId="77777777" w:rsidR="00FC0B0D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399" w:type="dxa"/>
            <w:vAlign w:val="center"/>
          </w:tcPr>
          <w:p w14:paraId="76070CC1" w14:textId="35E10173" w:rsidR="00FC0B0D" w:rsidRDefault="00A92AEA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24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年7月</w:t>
            </w:r>
            <w:r w:rsidR="00296825"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日-</w:t>
            </w:r>
            <w:r w:rsidR="00296825"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</w:t>
            </w:r>
          </w:p>
        </w:tc>
      </w:tr>
      <w:tr w:rsidR="0057347C" w14:paraId="767D0DE6" w14:textId="77777777">
        <w:trPr>
          <w:trHeight w:val="558"/>
          <w:jc w:val="center"/>
        </w:trPr>
        <w:tc>
          <w:tcPr>
            <w:tcW w:w="1358" w:type="dxa"/>
            <w:vAlign w:val="center"/>
          </w:tcPr>
          <w:p w14:paraId="6A0692F9" w14:textId="368B1EED" w:rsidR="0057347C" w:rsidRDefault="0057347C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399" w:type="dxa"/>
            <w:vAlign w:val="center"/>
          </w:tcPr>
          <w:p w14:paraId="19413AE4" w14:textId="75593F0E" w:rsidR="0057347C" w:rsidRDefault="0057347C" w:rsidP="00513201">
            <w:pPr>
              <w:pStyle w:val="TableParagraph"/>
              <w:spacing w:beforeLines="30" w:before="72" w:afterLines="30" w:after="72" w:line="400" w:lineRule="exact"/>
              <w:ind w:left="108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060DB9C2" w14:textId="77777777" w:rsidR="00FC0B0D" w:rsidRDefault="00FC0B0D">
      <w:pPr>
        <w:spacing w:line="20" w:lineRule="exact"/>
        <w:rPr>
          <w:rFonts w:ascii="宋体" w:eastAsia="宋体" w:hAnsi="宋体" w:cs="宋体"/>
          <w:sz w:val="28"/>
          <w:szCs w:val="36"/>
        </w:rPr>
      </w:pPr>
    </w:p>
    <w:sectPr w:rsidR="00FC0B0D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5A617" w14:textId="77777777" w:rsidR="00E21D4C" w:rsidRDefault="00E21D4C" w:rsidP="0057347C">
      <w:r>
        <w:separator/>
      </w:r>
    </w:p>
  </w:endnote>
  <w:endnote w:type="continuationSeparator" w:id="0">
    <w:p w14:paraId="76BF96F9" w14:textId="77777777" w:rsidR="00E21D4C" w:rsidRDefault="00E21D4C" w:rsidP="0057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37A0" w14:textId="77777777" w:rsidR="00E21D4C" w:rsidRDefault="00E21D4C" w:rsidP="0057347C">
      <w:r>
        <w:separator/>
      </w:r>
    </w:p>
  </w:footnote>
  <w:footnote w:type="continuationSeparator" w:id="0">
    <w:p w14:paraId="4C2BBAEC" w14:textId="77777777" w:rsidR="00E21D4C" w:rsidRDefault="00E21D4C" w:rsidP="0057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36CC"/>
    <w:multiLevelType w:val="singleLevel"/>
    <w:tmpl w:val="13ED36CC"/>
    <w:lvl w:ilvl="0">
      <w:start w:val="8"/>
      <w:numFmt w:val="decimal"/>
      <w:suff w:val="nothing"/>
      <w:lvlText w:val="%1、"/>
      <w:lvlJc w:val="left"/>
    </w:lvl>
  </w:abstractNum>
  <w:num w:numId="1" w16cid:durableId="172976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ZjY2M3YjNhOWY1ZGQ1YWNjOGY5ZDQ4ZjlmM2MwODcifQ=="/>
    <w:docVar w:name="KSO_WPS_MARK_KEY" w:val="88f27b7e-cb3e-4312-8117-a55fa9a2a2a0"/>
  </w:docVars>
  <w:rsids>
    <w:rsidRoot w:val="00172A27"/>
    <w:rsid w:val="DFADC93D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201"/>
    <w:rsid w:val="00513D7D"/>
    <w:rsid w:val="00516F5F"/>
    <w:rsid w:val="00517C90"/>
    <w:rsid w:val="0052000C"/>
    <w:rsid w:val="0052564B"/>
    <w:rsid w:val="00534C88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4B072D4"/>
    <w:rsid w:val="05F575D4"/>
    <w:rsid w:val="061600EE"/>
    <w:rsid w:val="063B6430"/>
    <w:rsid w:val="06414674"/>
    <w:rsid w:val="064249C6"/>
    <w:rsid w:val="06EB0BBA"/>
    <w:rsid w:val="08641132"/>
    <w:rsid w:val="09186774"/>
    <w:rsid w:val="0945438F"/>
    <w:rsid w:val="0A71587A"/>
    <w:rsid w:val="0B792C38"/>
    <w:rsid w:val="0C28640C"/>
    <w:rsid w:val="0C650BD6"/>
    <w:rsid w:val="0DE25B7D"/>
    <w:rsid w:val="0E90599A"/>
    <w:rsid w:val="0ED720CD"/>
    <w:rsid w:val="0F096F10"/>
    <w:rsid w:val="0FA964A5"/>
    <w:rsid w:val="100E1475"/>
    <w:rsid w:val="12070CAE"/>
    <w:rsid w:val="12403D1B"/>
    <w:rsid w:val="12582B20"/>
    <w:rsid w:val="127F2161"/>
    <w:rsid w:val="12E017EF"/>
    <w:rsid w:val="145F688C"/>
    <w:rsid w:val="15DD2205"/>
    <w:rsid w:val="168C5DC3"/>
    <w:rsid w:val="17A67110"/>
    <w:rsid w:val="18221B75"/>
    <w:rsid w:val="1864189B"/>
    <w:rsid w:val="18D73A7D"/>
    <w:rsid w:val="19557370"/>
    <w:rsid w:val="1A4E1523"/>
    <w:rsid w:val="1AF22E73"/>
    <w:rsid w:val="1BD06B6A"/>
    <w:rsid w:val="1D8F0333"/>
    <w:rsid w:val="1EBF79AF"/>
    <w:rsid w:val="1F782BDE"/>
    <w:rsid w:val="206C2914"/>
    <w:rsid w:val="21BC3427"/>
    <w:rsid w:val="23317869"/>
    <w:rsid w:val="23D9206E"/>
    <w:rsid w:val="24F04149"/>
    <w:rsid w:val="25137BD7"/>
    <w:rsid w:val="25650CAE"/>
    <w:rsid w:val="26406598"/>
    <w:rsid w:val="265E1D2F"/>
    <w:rsid w:val="27693596"/>
    <w:rsid w:val="28080056"/>
    <w:rsid w:val="28274CC4"/>
    <w:rsid w:val="28381974"/>
    <w:rsid w:val="28734C1A"/>
    <w:rsid w:val="28C72DDD"/>
    <w:rsid w:val="29EE0E64"/>
    <w:rsid w:val="2A7B2EDB"/>
    <w:rsid w:val="2CAF6062"/>
    <w:rsid w:val="2D173798"/>
    <w:rsid w:val="2D356C58"/>
    <w:rsid w:val="2EF90F16"/>
    <w:rsid w:val="2F125C63"/>
    <w:rsid w:val="2FB6213D"/>
    <w:rsid w:val="302C3D0A"/>
    <w:rsid w:val="322E57C9"/>
    <w:rsid w:val="331134C5"/>
    <w:rsid w:val="33DE31BB"/>
    <w:rsid w:val="383657B7"/>
    <w:rsid w:val="389C49C0"/>
    <w:rsid w:val="39BC78F4"/>
    <w:rsid w:val="3A225A50"/>
    <w:rsid w:val="3B111C96"/>
    <w:rsid w:val="3D5F1032"/>
    <w:rsid w:val="3E4A5C08"/>
    <w:rsid w:val="3EF1250A"/>
    <w:rsid w:val="3FB7862D"/>
    <w:rsid w:val="3FFD0985"/>
    <w:rsid w:val="40567DB0"/>
    <w:rsid w:val="40FF5CD2"/>
    <w:rsid w:val="42444AD8"/>
    <w:rsid w:val="42DB40B0"/>
    <w:rsid w:val="43B71B0A"/>
    <w:rsid w:val="43F403A7"/>
    <w:rsid w:val="44FA0589"/>
    <w:rsid w:val="45A663E3"/>
    <w:rsid w:val="469F09AF"/>
    <w:rsid w:val="47AB5C99"/>
    <w:rsid w:val="498B6799"/>
    <w:rsid w:val="4A445BB8"/>
    <w:rsid w:val="4A9D7706"/>
    <w:rsid w:val="4B756271"/>
    <w:rsid w:val="4C8E1CA8"/>
    <w:rsid w:val="4CD74C68"/>
    <w:rsid w:val="4CE865CF"/>
    <w:rsid w:val="4D6D36A4"/>
    <w:rsid w:val="4EC55959"/>
    <w:rsid w:val="50CA5A8F"/>
    <w:rsid w:val="510903EF"/>
    <w:rsid w:val="53327727"/>
    <w:rsid w:val="53F137F4"/>
    <w:rsid w:val="541C5459"/>
    <w:rsid w:val="543A6906"/>
    <w:rsid w:val="56850CBB"/>
    <w:rsid w:val="57623B4D"/>
    <w:rsid w:val="57EC5EE9"/>
    <w:rsid w:val="58381C29"/>
    <w:rsid w:val="59A40218"/>
    <w:rsid w:val="5A666D76"/>
    <w:rsid w:val="5AA90E03"/>
    <w:rsid w:val="5B2253C2"/>
    <w:rsid w:val="5B5163B3"/>
    <w:rsid w:val="5B9E24B5"/>
    <w:rsid w:val="5C89415A"/>
    <w:rsid w:val="5EAD2468"/>
    <w:rsid w:val="5F105C3D"/>
    <w:rsid w:val="5F681F1D"/>
    <w:rsid w:val="603269D2"/>
    <w:rsid w:val="61A52BCA"/>
    <w:rsid w:val="61FFE166"/>
    <w:rsid w:val="62775FD3"/>
    <w:rsid w:val="63587FF4"/>
    <w:rsid w:val="64460353"/>
    <w:rsid w:val="66E70103"/>
    <w:rsid w:val="67095496"/>
    <w:rsid w:val="67ED7463"/>
    <w:rsid w:val="681A546A"/>
    <w:rsid w:val="686F7E78"/>
    <w:rsid w:val="69CB37D4"/>
    <w:rsid w:val="6A0D5B9B"/>
    <w:rsid w:val="6A3B23B1"/>
    <w:rsid w:val="6AEA32DC"/>
    <w:rsid w:val="6CC24AB5"/>
    <w:rsid w:val="6CD472E6"/>
    <w:rsid w:val="6D9271B2"/>
    <w:rsid w:val="6DFD4599"/>
    <w:rsid w:val="6E160D96"/>
    <w:rsid w:val="6E453CB7"/>
    <w:rsid w:val="6EC319C3"/>
    <w:rsid w:val="6F134790"/>
    <w:rsid w:val="6FB371C8"/>
    <w:rsid w:val="70030B0E"/>
    <w:rsid w:val="71347EB1"/>
    <w:rsid w:val="713A4D9B"/>
    <w:rsid w:val="72446028"/>
    <w:rsid w:val="73076EC0"/>
    <w:rsid w:val="730905A8"/>
    <w:rsid w:val="73B14415"/>
    <w:rsid w:val="74210CA6"/>
    <w:rsid w:val="750F58D3"/>
    <w:rsid w:val="753F10F6"/>
    <w:rsid w:val="760B2F52"/>
    <w:rsid w:val="788C25F5"/>
    <w:rsid w:val="79D858ED"/>
    <w:rsid w:val="79F72AA9"/>
    <w:rsid w:val="7B7A4F7D"/>
    <w:rsid w:val="7C923B05"/>
    <w:rsid w:val="7DD37FAE"/>
    <w:rsid w:val="7F3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2DE9D"/>
  <w15:docId w15:val="{7962EAAE-6362-40B9-941E-458AD22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styleId="af1">
    <w:name w:val="Revision"/>
    <w:hidden/>
    <w:uiPriority w:val="99"/>
    <w:unhideWhenUsed/>
    <w:rsid w:val="00491E66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102096\AppData\Roaming\Microsoft\Templates\SSEReport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SSEReport</Template>
  <TotalTime>566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SR-OFFICE019</cp:lastModifiedBy>
  <cp:revision>471</cp:revision>
  <cp:lastPrinted>2024-05-24T08:57:00Z</cp:lastPrinted>
  <dcterms:created xsi:type="dcterms:W3CDTF">2022-06-03T20:33:00Z</dcterms:created>
  <dcterms:modified xsi:type="dcterms:W3CDTF">2024-07-12T08:27:00Z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479BFA2551DC4D4A9595C980A7726C51</vt:lpwstr>
  </property>
</Properties>
</file>