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4D" w:rsidRDefault="00D3704D" w:rsidP="00871A26">
      <w:pPr>
        <w:spacing w:beforeLines="50" w:before="156" w:afterLines="50" w:after="156" w:line="400" w:lineRule="exact"/>
        <w:rPr>
          <w:rFonts w:ascii="TimesNewRoman" w:hAnsi="宋体"/>
          <w:sz w:val="24"/>
        </w:rPr>
      </w:pPr>
      <w:r w:rsidRPr="00943E94">
        <w:rPr>
          <w:rFonts w:ascii="TimesNewRoman" w:hAnsi="宋体" w:hint="eastAsia"/>
          <w:sz w:val="24"/>
        </w:rPr>
        <w:t>证券代码：</w:t>
      </w:r>
      <w:r w:rsidR="009D2D7D">
        <w:rPr>
          <w:rFonts w:ascii="TimesNewRoman" w:hAnsi="TimesNewRoman"/>
          <w:sz w:val="24"/>
        </w:rPr>
        <w:t>688499</w:t>
      </w:r>
      <w:r w:rsidRPr="00943E94">
        <w:rPr>
          <w:rFonts w:ascii="TimesNewRoman" w:hAnsi="TimesNewRoman" w:hint="eastAsia"/>
          <w:sz w:val="24"/>
        </w:rPr>
        <w:t xml:space="preserve">                                </w:t>
      </w:r>
      <w:r w:rsidRPr="00943E94">
        <w:rPr>
          <w:rFonts w:ascii="TimesNewRoman" w:hAnsi="宋体" w:hint="eastAsia"/>
          <w:sz w:val="24"/>
        </w:rPr>
        <w:t>证券简称：</w:t>
      </w:r>
      <w:r w:rsidR="009D2D7D">
        <w:rPr>
          <w:rFonts w:ascii="TimesNewRoman" w:hAnsi="宋体" w:hint="eastAsia"/>
          <w:sz w:val="24"/>
        </w:rPr>
        <w:t>利元亨</w:t>
      </w:r>
    </w:p>
    <w:p w:rsidR="00B55C02" w:rsidRPr="00B55C02" w:rsidRDefault="00B55C02" w:rsidP="00B55C02">
      <w:pPr>
        <w:widowControl/>
        <w:spacing w:before="100" w:beforeAutospacing="1" w:after="100" w:afterAutospacing="1"/>
        <w:jc w:val="left"/>
        <w:rPr>
          <w:rFonts w:ascii="宋体" w:hAnsi="宋体" w:cs="宋体" w:hint="eastAsia"/>
          <w:kern w:val="0"/>
          <w:sz w:val="24"/>
          <w:szCs w:val="24"/>
        </w:rPr>
      </w:pPr>
      <w:r w:rsidRPr="00B55C02">
        <w:rPr>
          <w:rFonts w:ascii="宋体" w:hAnsi="宋体" w:cs="宋体"/>
          <w:kern w:val="0"/>
          <w:sz w:val="24"/>
          <w:szCs w:val="24"/>
        </w:rPr>
        <w:t>转债代码：118026</w:t>
      </w:r>
      <w:r>
        <w:rPr>
          <w:rFonts w:ascii="宋体" w:hAnsi="宋体" w:cs="宋体"/>
          <w:kern w:val="0"/>
          <w:sz w:val="24"/>
          <w:szCs w:val="24"/>
        </w:rPr>
        <w:t xml:space="preserve">                               </w:t>
      </w:r>
      <w:r w:rsidRPr="00B55C02">
        <w:rPr>
          <w:rFonts w:ascii="宋体" w:hAnsi="宋体" w:cs="宋体"/>
          <w:kern w:val="0"/>
          <w:sz w:val="24"/>
          <w:szCs w:val="24"/>
        </w:rPr>
        <w:t xml:space="preserve"> 转债简称：利元转债 </w:t>
      </w:r>
    </w:p>
    <w:p w:rsidR="00C04DF9" w:rsidRDefault="009D2D7D" w:rsidP="00871A26">
      <w:pPr>
        <w:spacing w:beforeLines="100" w:before="312" w:afterLines="100" w:after="312" w:line="400" w:lineRule="exact"/>
        <w:jc w:val="center"/>
        <w:rPr>
          <w:rFonts w:ascii="TimesNewRoman" w:hAnsi="宋体"/>
          <w:b/>
          <w:sz w:val="32"/>
          <w:szCs w:val="32"/>
        </w:rPr>
      </w:pPr>
      <w:r>
        <w:rPr>
          <w:rFonts w:ascii="TimesNewRoman" w:hAnsi="宋体" w:hint="eastAsia"/>
          <w:b/>
          <w:sz w:val="32"/>
          <w:szCs w:val="32"/>
        </w:rPr>
        <w:t>广东利元亨智能装备</w:t>
      </w:r>
      <w:r w:rsidR="00E83A63">
        <w:rPr>
          <w:rFonts w:ascii="TimesNewRoman" w:hAnsi="宋体" w:hint="eastAsia"/>
          <w:b/>
          <w:sz w:val="32"/>
          <w:szCs w:val="32"/>
        </w:rPr>
        <w:t>股份有限公司</w:t>
      </w:r>
    </w:p>
    <w:p w:rsidR="00D3704D" w:rsidRPr="00943E94" w:rsidRDefault="00FC0A2D" w:rsidP="00871A26">
      <w:pPr>
        <w:spacing w:beforeLines="100" w:before="312" w:afterLines="100" w:after="312" w:line="400" w:lineRule="exact"/>
        <w:jc w:val="center"/>
        <w:rPr>
          <w:rFonts w:ascii="TimesNewRoman" w:hAnsi="TimesNewRoman" w:hint="eastAsia"/>
          <w:b/>
          <w:sz w:val="32"/>
          <w:szCs w:val="32"/>
        </w:rPr>
      </w:pPr>
      <w:r>
        <w:rPr>
          <w:rFonts w:ascii="TimesNewRoman" w:hAnsi="宋体" w:hint="eastAsia"/>
          <w:b/>
          <w:sz w:val="32"/>
          <w:szCs w:val="32"/>
        </w:rPr>
        <w:t>接待调研情况</w:t>
      </w:r>
    </w:p>
    <w:p w:rsidR="00D3704D" w:rsidRPr="00943E94" w:rsidRDefault="00D3704D" w:rsidP="00D3704D">
      <w:pPr>
        <w:spacing w:line="400" w:lineRule="exact"/>
        <w:rPr>
          <w:rFonts w:ascii="TimesNewRoman" w:hAnsi="TimesNewRoman" w:hint="eastAsia"/>
          <w:sz w:val="24"/>
        </w:rPr>
      </w:pPr>
      <w:r w:rsidRPr="00943E94">
        <w:rPr>
          <w:rFonts w:ascii="TimesNewRoman" w:hAnsi="TimesNewRoman" w:hint="eastAsia"/>
          <w:sz w:val="24"/>
        </w:rPr>
        <w:t xml:space="preserve">                    </w:t>
      </w:r>
      <w:r w:rsidR="009F518A">
        <w:rPr>
          <w:rFonts w:ascii="TimesNewRoman" w:hAnsi="TimesNewRoman" w:hint="eastAsia"/>
          <w:sz w:val="24"/>
        </w:rPr>
        <w:t xml:space="preserve">                               </w:t>
      </w:r>
      <w:r w:rsidRPr="00943E94">
        <w:rPr>
          <w:rFonts w:ascii="TimesNewRoman" w:hAnsi="TimesNewRoman" w:hint="eastAsia"/>
          <w:sz w:val="24"/>
        </w:rPr>
        <w:t xml:space="preserve"> </w:t>
      </w:r>
      <w:r w:rsidRPr="00943E94">
        <w:rPr>
          <w:rFonts w:ascii="TimesNewRoman" w:hAnsi="宋体" w:hint="eastAsia"/>
          <w:sz w:val="24"/>
        </w:rPr>
        <w:t>编号：</w:t>
      </w:r>
      <w:r w:rsidR="004D2728" w:rsidRPr="004D2728">
        <w:rPr>
          <w:rFonts w:ascii="TimesNewRoman" w:hAnsi="TimesNewRoman"/>
          <w:sz w:val="24"/>
        </w:rPr>
        <w:t>202</w:t>
      </w:r>
      <w:r w:rsidR="004973D8">
        <w:rPr>
          <w:rFonts w:ascii="TimesNewRoman" w:hAnsi="TimesNewRoman"/>
          <w:sz w:val="24"/>
        </w:rPr>
        <w:t>4</w:t>
      </w:r>
      <w:r w:rsidR="009F518A">
        <w:rPr>
          <w:rFonts w:ascii="TimesNewRoman" w:hAnsi="TimesNewRoman" w:hint="eastAsia"/>
          <w:sz w:val="24"/>
        </w:rPr>
        <w:t>-</w:t>
      </w:r>
      <w:r w:rsidR="0055128B">
        <w:rPr>
          <w:rFonts w:ascii="TimesNewRoman" w:hAnsi="TimesNewRoman" w:hint="eastAsia"/>
          <w:sz w:val="24"/>
        </w:rPr>
        <w:t>0</w:t>
      </w:r>
      <w:r w:rsidR="00960BBD">
        <w:rPr>
          <w:rFonts w:ascii="TimesNewRoman" w:hAnsi="TimesNewRoman"/>
          <w:sz w:val="24"/>
        </w:rPr>
        <w:t>7</w:t>
      </w:r>
      <w:r w:rsidR="004D2728" w:rsidRPr="004D2728">
        <w:rPr>
          <w:rFonts w:ascii="TimesNewRoman" w:hAnsi="TimesNewRoman"/>
          <w:sz w:val="24"/>
        </w:rPr>
        <w:t>00</w:t>
      </w:r>
      <w:r w:rsidR="003A0A09">
        <w:rPr>
          <w:rFonts w:ascii="TimesNewRoman" w:hAnsi="TimesNewRoman" w:hint="eastAsia"/>
          <w:sz w:val="24"/>
        </w:rPr>
        <w:t>1</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117"/>
      </w:tblGrid>
      <w:tr w:rsidR="00D3704D" w:rsidRPr="00943E94" w:rsidTr="00FA21B0">
        <w:trPr>
          <w:trHeight w:val="2555"/>
          <w:jc w:val="center"/>
        </w:trPr>
        <w:tc>
          <w:tcPr>
            <w:tcW w:w="1908" w:type="dxa"/>
          </w:tcPr>
          <w:p w:rsidR="00D3704D" w:rsidRPr="00943E94" w:rsidRDefault="00D3704D" w:rsidP="002749ED">
            <w:pPr>
              <w:spacing w:line="480" w:lineRule="atLeast"/>
              <w:rPr>
                <w:rFonts w:ascii="TimesNewRoman" w:hAnsi="TimesNewRoman" w:hint="eastAsia"/>
                <w:b/>
                <w:sz w:val="24"/>
              </w:rPr>
            </w:pPr>
            <w:r w:rsidRPr="00943E94">
              <w:rPr>
                <w:rFonts w:ascii="TimesNewRoman" w:hAnsi="宋体" w:hint="eastAsia"/>
                <w:b/>
                <w:sz w:val="24"/>
              </w:rPr>
              <w:t>投资者关系活动类别</w:t>
            </w:r>
          </w:p>
          <w:p w:rsidR="00D3704D" w:rsidRPr="00943E94" w:rsidRDefault="00D3704D" w:rsidP="002749ED">
            <w:pPr>
              <w:spacing w:line="480" w:lineRule="atLeast"/>
              <w:rPr>
                <w:rFonts w:ascii="TimesNewRoman" w:hAnsi="TimesNewRoman" w:hint="eastAsia"/>
                <w:b/>
                <w:sz w:val="24"/>
              </w:rPr>
            </w:pPr>
          </w:p>
        </w:tc>
        <w:tc>
          <w:tcPr>
            <w:tcW w:w="7117" w:type="dxa"/>
            <w:tcBorders>
              <w:bottom w:val="single" w:sz="4" w:space="0" w:color="auto"/>
            </w:tcBorders>
          </w:tcPr>
          <w:p w:rsidR="00D3704D" w:rsidRPr="00943E94" w:rsidRDefault="009D2D7D" w:rsidP="002749ED">
            <w:pPr>
              <w:spacing w:line="480" w:lineRule="atLeast"/>
              <w:rPr>
                <w:rFonts w:ascii="TimesNewRoman" w:hAnsi="TimesNewRoman" w:hint="eastAsia"/>
                <w:sz w:val="24"/>
              </w:rPr>
            </w:pPr>
            <w:r w:rsidRPr="00943E94">
              <w:rPr>
                <w:rFonts w:ascii="TimesNewRoman" w:hAnsi="TimesNewRoman" w:hint="eastAsia"/>
                <w:sz w:val="24"/>
              </w:rPr>
              <w:t>□</w:t>
            </w:r>
            <w:r w:rsidR="00D3704D" w:rsidRPr="00943E94">
              <w:rPr>
                <w:rFonts w:ascii="TimesNewRoman" w:hAnsi="宋体" w:hint="eastAsia"/>
                <w:sz w:val="24"/>
              </w:rPr>
              <w:t>特定对象调研</w:t>
            </w:r>
            <w:r w:rsidR="00337761">
              <w:rPr>
                <w:rFonts w:ascii="TimesNewRoman" w:hAnsi="TimesNewRoman" w:hint="eastAsia"/>
                <w:sz w:val="24"/>
              </w:rPr>
              <w:t xml:space="preserve">      </w:t>
            </w:r>
            <w:r w:rsidR="006F3FA6">
              <w:rPr>
                <w:rFonts w:ascii="TimesNewRoman" w:hAnsi="TimesNewRoman" w:hint="eastAsia"/>
                <w:sz w:val="24"/>
              </w:rPr>
              <w:t xml:space="preserve">  </w:t>
            </w:r>
            <w:r w:rsidR="00337761" w:rsidRPr="00943E94">
              <w:rPr>
                <w:rFonts w:ascii="TimesNewRoman" w:hAnsi="TimesNewRoman" w:hint="eastAsia"/>
                <w:sz w:val="24"/>
              </w:rPr>
              <w:t>□</w:t>
            </w:r>
            <w:r w:rsidR="00D3704D" w:rsidRPr="00943E94">
              <w:rPr>
                <w:rFonts w:ascii="TimesNewRoman" w:hAnsi="宋体" w:hint="eastAsia"/>
                <w:sz w:val="24"/>
              </w:rPr>
              <w:t>分析师会议</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媒体采访</w:t>
            </w:r>
            <w:r w:rsidRPr="00943E94">
              <w:rPr>
                <w:rFonts w:ascii="TimesNewRoman" w:hAnsi="TimesNewRoman" w:hint="eastAsia"/>
                <w:sz w:val="24"/>
              </w:rPr>
              <w:t xml:space="preserve">            </w:t>
            </w:r>
            <w:r w:rsidRPr="00943E94">
              <w:rPr>
                <w:rFonts w:ascii="TimesNewRoman" w:hAnsi="TimesNewRoman" w:hint="eastAsia"/>
                <w:sz w:val="24"/>
              </w:rPr>
              <w:t>□</w:t>
            </w:r>
            <w:r w:rsidRPr="00943E94">
              <w:rPr>
                <w:rFonts w:ascii="TimesNewRoman" w:hAnsi="宋体" w:hint="eastAsia"/>
                <w:sz w:val="24"/>
              </w:rPr>
              <w:t>利润说明会</w:t>
            </w:r>
          </w:p>
          <w:p w:rsidR="00D3704D" w:rsidRPr="00943E94" w:rsidRDefault="00D3704D" w:rsidP="002749ED">
            <w:pPr>
              <w:spacing w:line="480" w:lineRule="atLeast"/>
              <w:rPr>
                <w:rFonts w:ascii="TimesNewRoman" w:hAnsi="TimesNewRoman" w:hint="eastAsia"/>
                <w:sz w:val="24"/>
              </w:rPr>
            </w:pPr>
            <w:r w:rsidRPr="00943E94">
              <w:rPr>
                <w:rFonts w:ascii="TimesNewRoman" w:hAnsi="TimesNewRoman" w:hint="eastAsia"/>
                <w:sz w:val="24"/>
              </w:rPr>
              <w:t>□</w:t>
            </w:r>
            <w:r w:rsidRPr="00943E94">
              <w:rPr>
                <w:rFonts w:ascii="TimesNewRoman" w:hAnsi="宋体" w:hint="eastAsia"/>
                <w:sz w:val="24"/>
              </w:rPr>
              <w:t>新闻发布会</w:t>
            </w:r>
            <w:r w:rsidRPr="00943E94">
              <w:rPr>
                <w:rFonts w:ascii="TimesNewRoman" w:hAnsi="TimesNewRoman" w:hint="eastAsia"/>
                <w:sz w:val="24"/>
              </w:rPr>
              <w:t xml:space="preserve">          </w:t>
            </w:r>
            <w:r w:rsidRPr="00943E94">
              <w:rPr>
                <w:rFonts w:ascii="TimesNewRoman" w:hAnsi="TimesNewRoman" w:hint="eastAsia"/>
                <w:sz w:val="24"/>
              </w:rPr>
              <w:t>□</w:t>
            </w:r>
            <w:r w:rsidRPr="00943E94">
              <w:rPr>
                <w:rFonts w:ascii="TimesNewRoman" w:hAnsi="宋体" w:hint="eastAsia"/>
                <w:sz w:val="24"/>
              </w:rPr>
              <w:t>路演活动</w:t>
            </w:r>
          </w:p>
          <w:p w:rsidR="00D3704D" w:rsidRPr="00943E94" w:rsidRDefault="0007604F" w:rsidP="002749ED">
            <w:pPr>
              <w:tabs>
                <w:tab w:val="left" w:pos="3045"/>
                <w:tab w:val="center" w:pos="3199"/>
              </w:tabs>
              <w:spacing w:line="480" w:lineRule="atLeast"/>
              <w:rPr>
                <w:rFonts w:ascii="TimesNewRoman" w:hAnsi="TimesNewRoman" w:hint="eastAsia"/>
                <w:sz w:val="24"/>
              </w:rPr>
            </w:pPr>
            <w:r>
              <w:rPr>
                <w:rFonts w:ascii="宋体" w:hAnsi="宋体" w:hint="eastAsia"/>
                <w:sz w:val="24"/>
              </w:rPr>
              <w:t>■</w:t>
            </w:r>
            <w:r w:rsidR="00D3704D" w:rsidRPr="00943E94">
              <w:rPr>
                <w:rFonts w:ascii="TimesNewRoman" w:hAnsi="宋体" w:hint="eastAsia"/>
                <w:sz w:val="24"/>
              </w:rPr>
              <w:t>现场参观</w:t>
            </w:r>
            <w:r w:rsidR="00D3704D" w:rsidRPr="00943E94">
              <w:rPr>
                <w:rFonts w:ascii="TimesNewRoman" w:hAnsi="TimesNewRoman"/>
                <w:sz w:val="24"/>
              </w:rPr>
              <w:tab/>
            </w:r>
          </w:p>
          <w:p w:rsidR="00D3704D" w:rsidRPr="00943E94" w:rsidRDefault="00960BBD" w:rsidP="008C175B">
            <w:pPr>
              <w:tabs>
                <w:tab w:val="left" w:pos="3045"/>
                <w:tab w:val="center" w:pos="3199"/>
              </w:tabs>
              <w:spacing w:line="480" w:lineRule="atLeast"/>
              <w:rPr>
                <w:rFonts w:ascii="TimesNewRoman" w:hAnsi="TimesNewRoman" w:hint="eastAsia"/>
                <w:sz w:val="24"/>
              </w:rPr>
            </w:pPr>
            <w:r w:rsidRPr="00943E94">
              <w:rPr>
                <w:rFonts w:ascii="TimesNewRoman" w:hAnsi="TimesNewRoman" w:hint="eastAsia"/>
                <w:sz w:val="24"/>
              </w:rPr>
              <w:t>□</w:t>
            </w:r>
            <w:r w:rsidR="008C175B" w:rsidRPr="008C175B">
              <w:rPr>
                <w:rFonts w:ascii="TimesNewRoman" w:hAnsi="TimesNewRoman" w:hint="eastAsia"/>
                <w:sz w:val="24"/>
              </w:rPr>
              <w:t>其他（电话会议）</w:t>
            </w:r>
            <w:r w:rsidR="00D3704D" w:rsidRPr="00943E94">
              <w:rPr>
                <w:rFonts w:ascii="TimesNewRoman" w:hAnsi="TimesNewRoman" w:hint="eastAsia"/>
                <w:sz w:val="24"/>
              </w:rPr>
              <w:t xml:space="preserve"> </w:t>
            </w:r>
          </w:p>
        </w:tc>
      </w:tr>
      <w:tr w:rsidR="00134783" w:rsidRPr="004973D8" w:rsidTr="00FA21B0">
        <w:trPr>
          <w:trHeight w:val="1113"/>
          <w:jc w:val="center"/>
        </w:trPr>
        <w:tc>
          <w:tcPr>
            <w:tcW w:w="1908" w:type="dxa"/>
          </w:tcPr>
          <w:p w:rsidR="00134783" w:rsidRPr="00943E94" w:rsidRDefault="00134783" w:rsidP="004401A3">
            <w:pPr>
              <w:spacing w:line="480" w:lineRule="atLeast"/>
              <w:rPr>
                <w:rFonts w:ascii="TimesNewRoman" w:hAnsi="TimesNewRoman" w:hint="eastAsia"/>
                <w:b/>
                <w:sz w:val="24"/>
              </w:rPr>
            </w:pPr>
            <w:r w:rsidRPr="00943E94">
              <w:rPr>
                <w:rFonts w:ascii="TimesNewRoman" w:hAnsi="宋体" w:hint="eastAsia"/>
                <w:b/>
                <w:sz w:val="24"/>
              </w:rPr>
              <w:t>参与单位名称</w:t>
            </w:r>
          </w:p>
        </w:tc>
        <w:tc>
          <w:tcPr>
            <w:tcW w:w="7117" w:type="dxa"/>
          </w:tcPr>
          <w:p w:rsidR="00E772E3" w:rsidRPr="00E772E3" w:rsidRDefault="00543F76" w:rsidP="00141F83">
            <w:pPr>
              <w:spacing w:line="480" w:lineRule="atLeast"/>
              <w:jc w:val="left"/>
              <w:rPr>
                <w:rFonts w:ascii="TimesNewRoman" w:eastAsiaTheme="minorEastAsia" w:hAnsi="TimesNewRoman" w:cs="Arial" w:hint="eastAsia"/>
                <w:color w:val="000000"/>
                <w:kern w:val="0"/>
                <w:sz w:val="24"/>
                <w:szCs w:val="24"/>
              </w:rPr>
            </w:pPr>
            <w:r w:rsidRPr="00543F76">
              <w:rPr>
                <w:rFonts w:ascii="TimesNewRoman" w:eastAsiaTheme="minorEastAsia" w:hAnsi="TimesNewRoman" w:cs="Arial" w:hint="eastAsia"/>
                <w:b/>
                <w:color w:val="000000"/>
                <w:kern w:val="0"/>
                <w:sz w:val="24"/>
                <w:szCs w:val="24"/>
              </w:rPr>
              <w:t>粤开证券、惠州大亚湾创新投资管理有限公司、惠州市私募基金业协会、广东叁和正恒私募、润邦投资、广州昱阳私募、立根租赁、广发银行、浙商银行、华兴银行</w:t>
            </w:r>
            <w:r>
              <w:rPr>
                <w:rFonts w:ascii="TimesNewRoman" w:eastAsiaTheme="minorEastAsia" w:hAnsi="TimesNewRoman" w:cs="Arial" w:hint="eastAsia"/>
                <w:b/>
                <w:color w:val="000000"/>
                <w:kern w:val="0"/>
                <w:sz w:val="24"/>
                <w:szCs w:val="24"/>
              </w:rPr>
              <w:t>及中小投资者代表</w:t>
            </w:r>
            <w:r w:rsidR="00141F83">
              <w:rPr>
                <w:rFonts w:ascii="TimesNewRoman" w:eastAsiaTheme="minorEastAsia" w:hAnsi="TimesNewRoman" w:cs="Arial" w:hint="eastAsia"/>
                <w:b/>
                <w:color w:val="000000"/>
                <w:kern w:val="0"/>
                <w:sz w:val="24"/>
                <w:szCs w:val="24"/>
              </w:rPr>
              <w:t>，合计</w:t>
            </w:r>
            <w:r w:rsidR="00141F83">
              <w:rPr>
                <w:rFonts w:ascii="TimesNewRoman" w:eastAsiaTheme="minorEastAsia" w:hAnsi="TimesNewRoman" w:cs="Arial" w:hint="eastAsia"/>
                <w:b/>
                <w:color w:val="000000"/>
                <w:kern w:val="0"/>
                <w:sz w:val="24"/>
                <w:szCs w:val="24"/>
              </w:rPr>
              <w:t>4</w:t>
            </w:r>
            <w:r w:rsidR="00141F83">
              <w:rPr>
                <w:rFonts w:ascii="TimesNewRoman" w:eastAsiaTheme="minorEastAsia" w:hAnsi="TimesNewRoman" w:cs="Arial"/>
                <w:b/>
                <w:color w:val="000000"/>
                <w:kern w:val="0"/>
                <w:sz w:val="24"/>
                <w:szCs w:val="24"/>
              </w:rPr>
              <w:t>4</w:t>
            </w:r>
            <w:r w:rsidR="00141F83">
              <w:rPr>
                <w:rFonts w:ascii="TimesNewRoman" w:eastAsiaTheme="minorEastAsia" w:hAnsi="TimesNewRoman" w:cs="Arial" w:hint="eastAsia"/>
                <w:b/>
                <w:color w:val="000000"/>
                <w:kern w:val="0"/>
                <w:sz w:val="24"/>
                <w:szCs w:val="24"/>
              </w:rPr>
              <w:t>位投资者</w:t>
            </w:r>
            <w:r w:rsidR="00407621">
              <w:rPr>
                <w:rFonts w:ascii="TimesNewRoman" w:eastAsiaTheme="minorEastAsia" w:hAnsi="TimesNewRoman" w:cs="Arial" w:hint="eastAsia"/>
                <w:b/>
                <w:color w:val="000000"/>
                <w:kern w:val="0"/>
                <w:sz w:val="24"/>
                <w:szCs w:val="24"/>
              </w:rPr>
              <w:t>。</w:t>
            </w:r>
          </w:p>
        </w:tc>
      </w:tr>
      <w:tr w:rsidR="00D3704D" w:rsidRPr="00943E94" w:rsidTr="00FA21B0">
        <w:trPr>
          <w:trHeight w:val="698"/>
          <w:jc w:val="center"/>
        </w:trPr>
        <w:tc>
          <w:tcPr>
            <w:tcW w:w="1908" w:type="dxa"/>
          </w:tcPr>
          <w:p w:rsidR="00D3704D" w:rsidRPr="00943E94" w:rsidRDefault="00D3704D" w:rsidP="002749ED">
            <w:pPr>
              <w:spacing w:line="480" w:lineRule="atLeast"/>
              <w:rPr>
                <w:rFonts w:ascii="TimesNewRoman" w:hAnsi="TimesNewRoman" w:hint="eastAsia"/>
                <w:b/>
                <w:sz w:val="24"/>
              </w:rPr>
            </w:pPr>
            <w:r w:rsidRPr="00943E94">
              <w:rPr>
                <w:rFonts w:ascii="TimesNewRoman" w:hAnsi="宋体" w:hint="eastAsia"/>
                <w:b/>
                <w:sz w:val="24"/>
              </w:rPr>
              <w:t>时间</w:t>
            </w:r>
          </w:p>
        </w:tc>
        <w:tc>
          <w:tcPr>
            <w:tcW w:w="7117" w:type="dxa"/>
          </w:tcPr>
          <w:p w:rsidR="00D3704D" w:rsidRPr="00943E94" w:rsidRDefault="00DF0E3E" w:rsidP="007072C2">
            <w:pPr>
              <w:spacing w:line="480" w:lineRule="atLeast"/>
              <w:rPr>
                <w:rFonts w:ascii="TimesNewRoman" w:hAnsi="TimesNewRoman" w:hint="eastAsia"/>
                <w:sz w:val="24"/>
              </w:rPr>
            </w:pPr>
            <w:r w:rsidRPr="00DF0E3E">
              <w:rPr>
                <w:rFonts w:ascii="TimesNewRoman" w:hAnsi="TimesNewRoman" w:hint="eastAsia"/>
                <w:sz w:val="24"/>
              </w:rPr>
              <w:t>2024</w:t>
            </w:r>
            <w:r w:rsidRPr="00DF0E3E">
              <w:rPr>
                <w:rFonts w:ascii="TimesNewRoman" w:hAnsi="TimesNewRoman" w:hint="eastAsia"/>
                <w:sz w:val="24"/>
              </w:rPr>
              <w:t>年</w:t>
            </w:r>
            <w:r w:rsidR="00960BBD">
              <w:rPr>
                <w:rFonts w:ascii="TimesNewRoman" w:hAnsi="TimesNewRoman"/>
                <w:sz w:val="24"/>
              </w:rPr>
              <w:t>7</w:t>
            </w:r>
            <w:r w:rsidRPr="00DF0E3E">
              <w:rPr>
                <w:rFonts w:ascii="TimesNewRoman" w:hAnsi="TimesNewRoman" w:hint="eastAsia"/>
                <w:sz w:val="24"/>
              </w:rPr>
              <w:t>月</w:t>
            </w:r>
            <w:r w:rsidR="00960BBD">
              <w:rPr>
                <w:rFonts w:ascii="TimesNewRoman" w:hAnsi="TimesNewRoman"/>
                <w:sz w:val="24"/>
              </w:rPr>
              <w:t>11</w:t>
            </w:r>
            <w:r w:rsidR="00960BBD">
              <w:rPr>
                <w:rFonts w:ascii="TimesNewRoman" w:hAnsi="TimesNewRoman" w:hint="eastAsia"/>
                <w:sz w:val="24"/>
              </w:rPr>
              <w:t>日</w:t>
            </w:r>
          </w:p>
        </w:tc>
      </w:tr>
      <w:tr w:rsidR="00D3704D" w:rsidRPr="00943E94" w:rsidTr="00FA21B0">
        <w:trPr>
          <w:trHeight w:val="590"/>
          <w:jc w:val="center"/>
        </w:trPr>
        <w:tc>
          <w:tcPr>
            <w:tcW w:w="1908" w:type="dxa"/>
          </w:tcPr>
          <w:p w:rsidR="00D3704D" w:rsidRPr="00943E94" w:rsidRDefault="00D3704D" w:rsidP="002749ED">
            <w:pPr>
              <w:spacing w:line="480" w:lineRule="atLeast"/>
              <w:rPr>
                <w:rFonts w:ascii="TimesNewRoman" w:hAnsi="TimesNewRoman" w:hint="eastAsia"/>
                <w:b/>
                <w:sz w:val="24"/>
              </w:rPr>
            </w:pPr>
            <w:r w:rsidRPr="00943E94">
              <w:rPr>
                <w:rFonts w:ascii="TimesNewRoman" w:hAnsi="宋体" w:hint="eastAsia"/>
                <w:b/>
                <w:sz w:val="24"/>
              </w:rPr>
              <w:t>地点</w:t>
            </w:r>
          </w:p>
        </w:tc>
        <w:tc>
          <w:tcPr>
            <w:tcW w:w="7117" w:type="dxa"/>
          </w:tcPr>
          <w:p w:rsidR="00D3704D" w:rsidRPr="00943E94" w:rsidRDefault="00CE1111" w:rsidP="002749ED">
            <w:pPr>
              <w:spacing w:line="480" w:lineRule="atLeast"/>
              <w:rPr>
                <w:rFonts w:ascii="TimesNewRoman" w:hAnsi="TimesNewRoman" w:hint="eastAsia"/>
                <w:sz w:val="24"/>
              </w:rPr>
            </w:pPr>
            <w:r>
              <w:rPr>
                <w:rFonts w:ascii="TimesNewRoman" w:hAnsi="TimesNewRoman" w:hint="eastAsia"/>
                <w:sz w:val="24"/>
              </w:rPr>
              <w:t>利元亨办公室</w:t>
            </w:r>
          </w:p>
        </w:tc>
      </w:tr>
      <w:tr w:rsidR="00D3704D" w:rsidRPr="00943E94" w:rsidTr="00FA21B0">
        <w:trPr>
          <w:trHeight w:val="1092"/>
          <w:jc w:val="center"/>
        </w:trPr>
        <w:tc>
          <w:tcPr>
            <w:tcW w:w="1908" w:type="dxa"/>
          </w:tcPr>
          <w:p w:rsidR="00D3704D" w:rsidRPr="00943E94" w:rsidRDefault="00D3704D" w:rsidP="002749ED">
            <w:pPr>
              <w:spacing w:line="480" w:lineRule="atLeast"/>
              <w:rPr>
                <w:rFonts w:ascii="TimesNewRoman" w:hAnsi="TimesNewRoman" w:hint="eastAsia"/>
                <w:b/>
                <w:sz w:val="24"/>
              </w:rPr>
            </w:pPr>
            <w:r w:rsidRPr="00943E94">
              <w:rPr>
                <w:rFonts w:ascii="TimesNewRoman" w:hAnsi="宋体" w:hint="eastAsia"/>
                <w:b/>
                <w:sz w:val="24"/>
              </w:rPr>
              <w:t>上市公司接待人员姓名</w:t>
            </w:r>
          </w:p>
        </w:tc>
        <w:tc>
          <w:tcPr>
            <w:tcW w:w="7117" w:type="dxa"/>
          </w:tcPr>
          <w:p w:rsidR="00B52A9F" w:rsidRDefault="00AE7BA9" w:rsidP="00B52A9F">
            <w:pPr>
              <w:spacing w:line="480" w:lineRule="atLeast"/>
              <w:rPr>
                <w:rFonts w:ascii="TimesNewRoman" w:hAnsi="宋体"/>
                <w:sz w:val="24"/>
              </w:rPr>
            </w:pPr>
            <w:r w:rsidRPr="00AE7BA9">
              <w:rPr>
                <w:rFonts w:ascii="TimesNewRoman" w:hAnsi="宋体" w:hint="eastAsia"/>
                <w:sz w:val="24"/>
              </w:rPr>
              <w:t>广东利元亨智能装备股份有限公司</w:t>
            </w:r>
            <w:r w:rsidR="004973D8">
              <w:rPr>
                <w:rFonts w:ascii="TimesNewRoman" w:hAnsi="宋体" w:hint="eastAsia"/>
                <w:sz w:val="24"/>
              </w:rPr>
              <w:t>董事会秘书</w:t>
            </w:r>
            <w:r w:rsidRPr="00AE7BA9">
              <w:rPr>
                <w:rFonts w:ascii="TimesNewRoman" w:hAnsi="宋体" w:hint="eastAsia"/>
                <w:sz w:val="24"/>
              </w:rPr>
              <w:t xml:space="preserve"> </w:t>
            </w:r>
            <w:r w:rsidRPr="00AE7BA9">
              <w:rPr>
                <w:rFonts w:ascii="TimesNewRoman" w:hAnsi="宋体" w:hint="eastAsia"/>
                <w:sz w:val="24"/>
              </w:rPr>
              <w:t>陈振容</w:t>
            </w:r>
          </w:p>
          <w:p w:rsidR="00DF0E3E" w:rsidRPr="00B52A9F" w:rsidRDefault="00960BBD" w:rsidP="00960BBD">
            <w:pPr>
              <w:spacing w:line="480" w:lineRule="atLeast"/>
              <w:rPr>
                <w:rFonts w:ascii="TimesNewRoman" w:hAnsi="宋体"/>
                <w:sz w:val="24"/>
              </w:rPr>
            </w:pPr>
            <w:r>
              <w:rPr>
                <w:rFonts w:ascii="TimesNewRoman" w:hAnsi="宋体" w:hint="eastAsia"/>
                <w:sz w:val="24"/>
              </w:rPr>
              <w:t>广东利元亨智能装备股份有限公司研究院院长</w:t>
            </w:r>
            <w:r>
              <w:rPr>
                <w:rFonts w:ascii="TimesNewRoman" w:hAnsi="宋体" w:hint="eastAsia"/>
                <w:sz w:val="24"/>
              </w:rPr>
              <w:t xml:space="preserve"> </w:t>
            </w:r>
            <w:r>
              <w:rPr>
                <w:rFonts w:ascii="TimesNewRoman" w:hAnsi="宋体" w:hint="eastAsia"/>
                <w:sz w:val="24"/>
              </w:rPr>
              <w:t>杜义贤</w:t>
            </w:r>
          </w:p>
        </w:tc>
      </w:tr>
      <w:tr w:rsidR="00CE1111" w:rsidRPr="008E6C37" w:rsidTr="00FA21B0">
        <w:trPr>
          <w:trHeight w:val="1813"/>
          <w:jc w:val="center"/>
        </w:trPr>
        <w:tc>
          <w:tcPr>
            <w:tcW w:w="1908" w:type="dxa"/>
          </w:tcPr>
          <w:p w:rsidR="00CE1111" w:rsidRPr="00943E94" w:rsidRDefault="00CE1111" w:rsidP="002749ED">
            <w:pPr>
              <w:spacing w:line="480" w:lineRule="atLeast"/>
              <w:rPr>
                <w:rFonts w:ascii="TimesNewRoman" w:hAnsi="宋体"/>
                <w:b/>
                <w:sz w:val="24"/>
              </w:rPr>
            </w:pPr>
            <w:r>
              <w:rPr>
                <w:rFonts w:ascii="TimesNewRoman" w:hAnsi="宋体" w:hint="eastAsia"/>
                <w:b/>
                <w:sz w:val="24"/>
              </w:rPr>
              <w:t>投资者关系活动主要内容介绍</w:t>
            </w:r>
          </w:p>
        </w:tc>
        <w:tc>
          <w:tcPr>
            <w:tcW w:w="7117" w:type="dxa"/>
          </w:tcPr>
          <w:p w:rsidR="0084293A" w:rsidRDefault="0084293A" w:rsidP="0098523C">
            <w:pPr>
              <w:pStyle w:val="af0"/>
              <w:numPr>
                <w:ilvl w:val="0"/>
                <w:numId w:val="2"/>
              </w:numPr>
              <w:spacing w:line="480" w:lineRule="atLeast"/>
              <w:ind w:firstLineChars="0"/>
              <w:rPr>
                <w:rFonts w:asciiTheme="minorEastAsia" w:hAnsiTheme="minorEastAsia"/>
                <w:b/>
                <w:sz w:val="24"/>
                <w:szCs w:val="24"/>
              </w:rPr>
            </w:pPr>
            <w:r>
              <w:rPr>
                <w:rFonts w:asciiTheme="minorEastAsia" w:hAnsiTheme="minorEastAsia" w:hint="eastAsia"/>
                <w:b/>
                <w:sz w:val="24"/>
                <w:szCs w:val="24"/>
              </w:rPr>
              <w:t>参观环节</w:t>
            </w:r>
          </w:p>
          <w:p w:rsidR="00141F83" w:rsidRPr="0098523C" w:rsidRDefault="0098523C" w:rsidP="0098523C">
            <w:pPr>
              <w:pStyle w:val="af0"/>
              <w:numPr>
                <w:ilvl w:val="0"/>
                <w:numId w:val="2"/>
              </w:numPr>
              <w:spacing w:line="480" w:lineRule="atLeast"/>
              <w:ind w:firstLineChars="0"/>
              <w:rPr>
                <w:rFonts w:asciiTheme="minorEastAsia" w:hAnsiTheme="minorEastAsia"/>
                <w:b/>
                <w:sz w:val="24"/>
                <w:szCs w:val="24"/>
              </w:rPr>
            </w:pPr>
            <w:r w:rsidRPr="0098523C">
              <w:rPr>
                <w:rFonts w:asciiTheme="minorEastAsia" w:hAnsiTheme="minorEastAsia" w:hint="eastAsia"/>
                <w:b/>
                <w:sz w:val="24"/>
                <w:szCs w:val="24"/>
              </w:rPr>
              <w:t>提问环节</w:t>
            </w:r>
          </w:p>
          <w:p w:rsidR="00F20482" w:rsidRPr="0098523C" w:rsidRDefault="00CE1111" w:rsidP="00F20482">
            <w:pPr>
              <w:spacing w:line="480" w:lineRule="atLeast"/>
              <w:ind w:firstLineChars="147" w:firstLine="354"/>
              <w:rPr>
                <w:rFonts w:asciiTheme="minorEastAsia" w:eastAsiaTheme="minorEastAsia" w:hAnsiTheme="minorEastAsia"/>
                <w:b/>
                <w:sz w:val="24"/>
                <w:szCs w:val="24"/>
              </w:rPr>
            </w:pPr>
            <w:r w:rsidRPr="0098523C">
              <w:rPr>
                <w:rFonts w:asciiTheme="minorEastAsia" w:eastAsiaTheme="minorEastAsia" w:hAnsiTheme="minorEastAsia" w:hint="eastAsia"/>
                <w:b/>
                <w:sz w:val="24"/>
                <w:szCs w:val="24"/>
              </w:rPr>
              <w:t>问题一：</w:t>
            </w:r>
            <w:r w:rsidR="00543F76" w:rsidRPr="0098523C">
              <w:rPr>
                <w:rFonts w:asciiTheme="minorEastAsia" w:eastAsiaTheme="minorEastAsia" w:hAnsiTheme="minorEastAsia" w:hint="eastAsia"/>
                <w:b/>
                <w:sz w:val="24"/>
                <w:szCs w:val="24"/>
              </w:rPr>
              <w:t>面对行业周期性放缓、下游内卷，公司将采取哪些措施提高造血能力？</w:t>
            </w:r>
          </w:p>
          <w:p w:rsidR="00F355CA" w:rsidRDefault="00F20482" w:rsidP="00F355CA">
            <w:pPr>
              <w:spacing w:line="480" w:lineRule="atLeast"/>
              <w:ind w:firstLineChars="147" w:firstLine="354"/>
              <w:rPr>
                <w:rFonts w:asciiTheme="minorEastAsia" w:eastAsiaTheme="minorEastAsia" w:hAnsiTheme="minorEastAsia"/>
                <w:sz w:val="24"/>
                <w:szCs w:val="24"/>
              </w:rPr>
            </w:pPr>
            <w:r w:rsidRPr="0098523C">
              <w:rPr>
                <w:rFonts w:asciiTheme="minorEastAsia" w:eastAsiaTheme="minorEastAsia" w:hAnsiTheme="minorEastAsia" w:hint="eastAsia"/>
                <w:b/>
                <w:sz w:val="24"/>
                <w:szCs w:val="24"/>
              </w:rPr>
              <w:t>答：</w:t>
            </w:r>
            <w:r w:rsidR="00E97CB9" w:rsidRPr="00082551">
              <w:rPr>
                <w:rFonts w:asciiTheme="minorEastAsia" w:eastAsiaTheme="minorEastAsia" w:hAnsiTheme="minorEastAsia"/>
                <w:b/>
                <w:sz w:val="24"/>
                <w:szCs w:val="24"/>
              </w:rPr>
              <w:t>1</w:t>
            </w:r>
            <w:r w:rsidR="00E97CB9" w:rsidRPr="00082551">
              <w:rPr>
                <w:rFonts w:asciiTheme="minorEastAsia" w:eastAsiaTheme="minorEastAsia" w:hAnsiTheme="minorEastAsia" w:hint="eastAsia"/>
                <w:b/>
                <w:sz w:val="24"/>
                <w:szCs w:val="24"/>
              </w:rPr>
              <w:t>、内部经营调整：</w:t>
            </w:r>
            <w:r w:rsidR="00F355CA" w:rsidRPr="00F355CA">
              <w:rPr>
                <w:rFonts w:asciiTheme="minorEastAsia" w:eastAsiaTheme="minorEastAsia" w:hAnsiTheme="minorEastAsia" w:hint="eastAsia"/>
                <w:b/>
                <w:sz w:val="24"/>
                <w:szCs w:val="24"/>
              </w:rPr>
              <w:t>在人员</w:t>
            </w:r>
            <w:r w:rsidR="00F355CA">
              <w:rPr>
                <w:rFonts w:asciiTheme="minorEastAsia" w:eastAsiaTheme="minorEastAsia" w:hAnsiTheme="minorEastAsia" w:hint="eastAsia"/>
                <w:b/>
                <w:sz w:val="24"/>
                <w:szCs w:val="24"/>
              </w:rPr>
              <w:t>场地</w:t>
            </w:r>
            <w:r w:rsidR="00F355CA" w:rsidRPr="00F355CA">
              <w:rPr>
                <w:rFonts w:asciiTheme="minorEastAsia" w:eastAsiaTheme="minorEastAsia" w:hAnsiTheme="minorEastAsia" w:hint="eastAsia"/>
                <w:b/>
                <w:sz w:val="24"/>
                <w:szCs w:val="24"/>
              </w:rPr>
              <w:t>管控方面，</w:t>
            </w:r>
            <w:r w:rsidR="00082551">
              <w:rPr>
                <w:rFonts w:asciiTheme="minorEastAsia" w:eastAsiaTheme="minorEastAsia" w:hAnsiTheme="minorEastAsia" w:hint="eastAsia"/>
                <w:sz w:val="24"/>
                <w:szCs w:val="24"/>
              </w:rPr>
              <w:t>公司</w:t>
            </w:r>
            <w:r w:rsidR="00082551" w:rsidRPr="00082551">
              <w:rPr>
                <w:rFonts w:asciiTheme="minorEastAsia" w:eastAsiaTheme="minorEastAsia" w:hAnsiTheme="minorEastAsia" w:hint="eastAsia"/>
                <w:sz w:val="24"/>
                <w:szCs w:val="24"/>
              </w:rPr>
              <w:t>通过开展管理人员及基层员</w:t>
            </w:r>
            <w:r w:rsidR="00082551">
              <w:rPr>
                <w:rFonts w:asciiTheme="minorEastAsia" w:eastAsiaTheme="minorEastAsia" w:hAnsiTheme="minorEastAsia" w:hint="eastAsia"/>
                <w:sz w:val="24"/>
                <w:szCs w:val="24"/>
              </w:rPr>
              <w:t>工培训、</w:t>
            </w:r>
            <w:r w:rsidR="00082551" w:rsidRPr="00082551">
              <w:rPr>
                <w:rFonts w:asciiTheme="minorEastAsia" w:eastAsiaTheme="minorEastAsia" w:hAnsiTheme="minorEastAsia" w:hint="eastAsia"/>
                <w:sz w:val="24"/>
                <w:szCs w:val="24"/>
              </w:rPr>
              <w:t>强化考核和绩效管理</w:t>
            </w:r>
            <w:r w:rsidR="00F355CA">
              <w:rPr>
                <w:rFonts w:asciiTheme="minorEastAsia" w:eastAsiaTheme="minorEastAsia" w:hAnsiTheme="minorEastAsia" w:hint="eastAsia"/>
                <w:sz w:val="24"/>
                <w:szCs w:val="24"/>
              </w:rPr>
              <w:t>、场地集约化管理</w:t>
            </w:r>
            <w:r w:rsidR="00082551" w:rsidRPr="00082551">
              <w:rPr>
                <w:rFonts w:asciiTheme="minorEastAsia" w:eastAsiaTheme="minorEastAsia" w:hAnsiTheme="minorEastAsia" w:hint="eastAsia"/>
                <w:sz w:val="24"/>
                <w:szCs w:val="24"/>
              </w:rPr>
              <w:t>等方式，</w:t>
            </w:r>
            <w:r w:rsidR="00F355CA">
              <w:rPr>
                <w:rFonts w:asciiTheme="minorEastAsia" w:eastAsiaTheme="minorEastAsia" w:hAnsiTheme="minorEastAsia" w:hint="eastAsia"/>
                <w:sz w:val="24"/>
                <w:szCs w:val="24"/>
              </w:rPr>
              <w:t>降低相关费用，</w:t>
            </w:r>
            <w:r w:rsidR="00082551" w:rsidRPr="00082551">
              <w:rPr>
                <w:rFonts w:asciiTheme="minorEastAsia" w:eastAsiaTheme="minorEastAsia" w:hAnsiTheme="minorEastAsia" w:hint="eastAsia"/>
                <w:sz w:val="24"/>
                <w:szCs w:val="24"/>
              </w:rPr>
              <w:t>提高工作效率和</w:t>
            </w:r>
            <w:r w:rsidR="00F355CA">
              <w:rPr>
                <w:rFonts w:asciiTheme="minorEastAsia" w:eastAsiaTheme="minorEastAsia" w:hAnsiTheme="minorEastAsia" w:hint="eastAsia"/>
                <w:sz w:val="24"/>
                <w:szCs w:val="24"/>
              </w:rPr>
              <w:t>产出</w:t>
            </w:r>
            <w:r w:rsidR="00082551" w:rsidRPr="00082551">
              <w:rPr>
                <w:rFonts w:asciiTheme="minorEastAsia" w:eastAsiaTheme="minorEastAsia" w:hAnsiTheme="minorEastAsia" w:hint="eastAsia"/>
                <w:sz w:val="24"/>
                <w:szCs w:val="24"/>
              </w:rPr>
              <w:t>。</w:t>
            </w:r>
            <w:r w:rsidR="00F355CA" w:rsidRPr="00F355CA">
              <w:rPr>
                <w:rFonts w:asciiTheme="minorEastAsia" w:eastAsiaTheme="minorEastAsia" w:hAnsiTheme="minorEastAsia" w:hint="eastAsia"/>
                <w:b/>
                <w:sz w:val="24"/>
                <w:szCs w:val="24"/>
              </w:rPr>
              <w:t>在项目管理方面</w:t>
            </w:r>
            <w:r w:rsidR="00F355CA">
              <w:rPr>
                <w:rFonts w:asciiTheme="minorEastAsia" w:eastAsiaTheme="minorEastAsia" w:hAnsiTheme="minorEastAsia" w:hint="eastAsia"/>
                <w:b/>
                <w:sz w:val="24"/>
                <w:szCs w:val="24"/>
              </w:rPr>
              <w:t>，</w:t>
            </w:r>
            <w:r w:rsidR="00082551" w:rsidRPr="00082551">
              <w:rPr>
                <w:rFonts w:asciiTheme="minorEastAsia" w:eastAsiaTheme="minorEastAsia" w:hAnsiTheme="minorEastAsia" w:hint="eastAsia"/>
                <w:sz w:val="24"/>
                <w:szCs w:val="24"/>
              </w:rPr>
              <w:t>公司对项目分层次实施“五维四联”运行机制，</w:t>
            </w:r>
            <w:r w:rsidR="00F355CA">
              <w:rPr>
                <w:rFonts w:asciiTheme="minorEastAsia" w:eastAsiaTheme="minorEastAsia" w:hAnsiTheme="minorEastAsia" w:hint="eastAsia"/>
                <w:sz w:val="24"/>
                <w:szCs w:val="24"/>
              </w:rPr>
              <w:t>通过</w:t>
            </w:r>
            <w:r w:rsidR="00082551" w:rsidRPr="00082551">
              <w:rPr>
                <w:rFonts w:asciiTheme="minorEastAsia" w:eastAsiaTheme="minorEastAsia" w:hAnsiTheme="minorEastAsia" w:hint="eastAsia"/>
                <w:sz w:val="24"/>
                <w:szCs w:val="24"/>
              </w:rPr>
              <w:t>质量改善手段，项目返工情况有所减少，有效提升公司项目运营效率，减少了项目</w:t>
            </w:r>
            <w:r w:rsidR="00082551" w:rsidRPr="00082551">
              <w:rPr>
                <w:rFonts w:asciiTheme="minorEastAsia" w:eastAsiaTheme="minorEastAsia" w:hAnsiTheme="minorEastAsia" w:hint="eastAsia"/>
                <w:sz w:val="24"/>
                <w:szCs w:val="24"/>
              </w:rPr>
              <w:lastRenderedPageBreak/>
              <w:t>成本支出。</w:t>
            </w:r>
          </w:p>
          <w:p w:rsidR="00082551" w:rsidRDefault="00F355CA" w:rsidP="00F355CA">
            <w:pPr>
              <w:spacing w:line="480" w:lineRule="atLeast"/>
              <w:ind w:firstLineChars="147" w:firstLine="354"/>
              <w:rPr>
                <w:rFonts w:ascii="TimesNewRoman" w:hAnsi="宋体"/>
                <w:sz w:val="24"/>
              </w:rPr>
            </w:pPr>
            <w:r w:rsidRPr="00F355CA">
              <w:rPr>
                <w:rFonts w:asciiTheme="minorEastAsia" w:eastAsiaTheme="minorEastAsia" w:hAnsiTheme="minorEastAsia" w:hint="eastAsia"/>
                <w:b/>
                <w:sz w:val="24"/>
                <w:szCs w:val="24"/>
              </w:rPr>
              <w:t>2</w:t>
            </w:r>
            <w:r>
              <w:rPr>
                <w:rFonts w:asciiTheme="minorEastAsia" w:eastAsiaTheme="minorEastAsia" w:hAnsiTheme="minorEastAsia" w:hint="eastAsia"/>
                <w:b/>
                <w:sz w:val="24"/>
                <w:szCs w:val="24"/>
              </w:rPr>
              <w:t>、新产品研发：</w:t>
            </w:r>
            <w:r w:rsidRPr="00F355CA">
              <w:rPr>
                <w:rFonts w:asciiTheme="minorEastAsia" w:eastAsiaTheme="minorEastAsia" w:hAnsiTheme="minorEastAsia" w:hint="eastAsia"/>
                <w:sz w:val="24"/>
                <w:szCs w:val="24"/>
              </w:rPr>
              <w:t>公司积极与行业一线厂商合作进行新工艺、新技术路线方面的研发。</w:t>
            </w:r>
            <w:r w:rsidRPr="006A4AF2">
              <w:rPr>
                <w:rFonts w:ascii="TimesNewRoman" w:hAnsi="宋体" w:hint="eastAsia"/>
                <w:sz w:val="24"/>
              </w:rPr>
              <w:t>紧跟行业发展新方向，把握下游客户创新研发需求，抓住新技术和新工艺的产业化应用催生的新设备需求。</w:t>
            </w:r>
          </w:p>
          <w:p w:rsidR="00F355CA" w:rsidRDefault="00F355CA" w:rsidP="00F355CA">
            <w:pPr>
              <w:spacing w:line="480" w:lineRule="atLeast"/>
              <w:ind w:firstLineChars="147" w:firstLine="354"/>
              <w:rPr>
                <w:rFonts w:ascii="TimesNewRoman" w:hAnsi="宋体"/>
                <w:b/>
                <w:sz w:val="24"/>
              </w:rPr>
            </w:pPr>
            <w:r w:rsidRPr="006A4AF2">
              <w:rPr>
                <w:rFonts w:ascii="TimesNewRoman" w:hAnsi="宋体" w:hint="eastAsia"/>
                <w:b/>
                <w:sz w:val="24"/>
              </w:rPr>
              <w:t>3</w:t>
            </w:r>
            <w:r w:rsidRPr="006A4AF2">
              <w:rPr>
                <w:rFonts w:ascii="TimesNewRoman" w:hAnsi="宋体" w:hint="eastAsia"/>
                <w:b/>
                <w:sz w:val="24"/>
              </w:rPr>
              <w:t>、应收账款回款</w:t>
            </w:r>
            <w:r>
              <w:rPr>
                <w:rFonts w:ascii="TimesNewRoman" w:hAnsi="宋体" w:hint="eastAsia"/>
                <w:b/>
                <w:sz w:val="24"/>
              </w:rPr>
              <w:t>：</w:t>
            </w:r>
            <w:r w:rsidRPr="006A4AF2">
              <w:rPr>
                <w:rFonts w:ascii="TimesNewRoman" w:hAnsi="宋体" w:hint="eastAsia"/>
                <w:sz w:val="24"/>
              </w:rPr>
              <w:t>公司积极与主要客户进行沟通，并建立公司与客户高层间的常态化沟通机制。</w:t>
            </w:r>
          </w:p>
          <w:p w:rsidR="00F355CA" w:rsidRDefault="00F355CA" w:rsidP="00F355CA">
            <w:pPr>
              <w:spacing w:line="480" w:lineRule="atLeast"/>
              <w:ind w:firstLineChars="147" w:firstLine="354"/>
              <w:rPr>
                <w:rFonts w:ascii="TimesNewRoman" w:hAnsi="宋体"/>
                <w:b/>
                <w:sz w:val="24"/>
              </w:rPr>
            </w:pPr>
            <w:r w:rsidRPr="006A4AF2">
              <w:rPr>
                <w:rFonts w:ascii="TimesNewRoman" w:hAnsi="宋体"/>
                <w:b/>
                <w:sz w:val="24"/>
              </w:rPr>
              <w:t>4</w:t>
            </w:r>
            <w:r w:rsidRPr="006A4AF2">
              <w:rPr>
                <w:rFonts w:ascii="TimesNewRoman" w:hAnsi="宋体" w:hint="eastAsia"/>
                <w:b/>
                <w:sz w:val="24"/>
              </w:rPr>
              <w:t>、</w:t>
            </w:r>
            <w:r w:rsidRPr="006A4AF2">
              <w:rPr>
                <w:rFonts w:ascii="TimesNewRoman" w:hAnsi="宋体"/>
                <w:b/>
                <w:sz w:val="24"/>
              </w:rPr>
              <w:t>现金流管理</w:t>
            </w:r>
            <w:r>
              <w:rPr>
                <w:rFonts w:ascii="TimesNewRoman" w:hAnsi="宋体" w:hint="eastAsia"/>
                <w:b/>
                <w:sz w:val="24"/>
              </w:rPr>
              <w:t>：</w:t>
            </w:r>
            <w:r w:rsidRPr="006A4AF2">
              <w:rPr>
                <w:rFonts w:ascii="TimesNewRoman" w:hAnsi="宋体" w:hint="eastAsia"/>
                <w:sz w:val="24"/>
              </w:rPr>
              <w:t>一方面，公司加强了回款的管理；另一方面，公司积极与银行保持良好沟通，保障有充足的授信额度供公司日常生产经营使用。</w:t>
            </w:r>
          </w:p>
          <w:p w:rsidR="00F355CA" w:rsidRPr="00F355CA" w:rsidRDefault="00F355CA" w:rsidP="00F355CA">
            <w:pPr>
              <w:spacing w:line="480" w:lineRule="atLeast"/>
              <w:rPr>
                <w:rFonts w:asciiTheme="minorEastAsia" w:eastAsiaTheme="minorEastAsia" w:hAnsiTheme="minorEastAsia"/>
                <w:sz w:val="24"/>
                <w:szCs w:val="24"/>
              </w:rPr>
            </w:pPr>
          </w:p>
          <w:p w:rsidR="005C1331" w:rsidRPr="0098523C" w:rsidRDefault="005C1331" w:rsidP="005C1331">
            <w:pPr>
              <w:spacing w:line="480" w:lineRule="atLeast"/>
              <w:ind w:firstLineChars="147" w:firstLine="354"/>
              <w:rPr>
                <w:rFonts w:asciiTheme="minorEastAsia" w:eastAsiaTheme="minorEastAsia" w:hAnsiTheme="minorEastAsia"/>
                <w:b/>
                <w:sz w:val="24"/>
                <w:szCs w:val="24"/>
              </w:rPr>
            </w:pPr>
            <w:r w:rsidRPr="0098523C">
              <w:rPr>
                <w:rFonts w:asciiTheme="minorEastAsia" w:eastAsiaTheme="minorEastAsia" w:hAnsiTheme="minorEastAsia" w:hint="eastAsia"/>
                <w:b/>
                <w:sz w:val="24"/>
                <w:szCs w:val="24"/>
              </w:rPr>
              <w:t>问题二：</w:t>
            </w:r>
            <w:r w:rsidR="00141F83" w:rsidRPr="0098523C">
              <w:rPr>
                <w:rFonts w:asciiTheme="minorEastAsia" w:eastAsiaTheme="minorEastAsia" w:hAnsiTheme="minorEastAsia" w:hint="eastAsia"/>
                <w:b/>
                <w:sz w:val="24"/>
                <w:szCs w:val="24"/>
              </w:rPr>
              <w:t>公司是</w:t>
            </w:r>
            <w:r w:rsidR="00B529A8" w:rsidRPr="0098523C">
              <w:rPr>
                <w:rFonts w:asciiTheme="minorEastAsia" w:eastAsiaTheme="minorEastAsia" w:hAnsiTheme="minorEastAsia" w:hint="eastAsia"/>
                <w:b/>
                <w:sz w:val="24"/>
                <w:szCs w:val="24"/>
              </w:rPr>
              <w:t>以</w:t>
            </w:r>
            <w:r w:rsidR="00141F83" w:rsidRPr="0098523C">
              <w:rPr>
                <w:rFonts w:asciiTheme="minorEastAsia" w:eastAsiaTheme="minorEastAsia" w:hAnsiTheme="minorEastAsia" w:hint="eastAsia"/>
                <w:b/>
                <w:sz w:val="24"/>
                <w:szCs w:val="24"/>
              </w:rPr>
              <w:t>什么契机</w:t>
            </w:r>
            <w:r w:rsidR="00B529A8" w:rsidRPr="0098523C">
              <w:rPr>
                <w:rFonts w:asciiTheme="minorEastAsia" w:eastAsiaTheme="minorEastAsia" w:hAnsiTheme="minorEastAsia" w:hint="eastAsia"/>
                <w:b/>
                <w:sz w:val="24"/>
                <w:szCs w:val="24"/>
              </w:rPr>
              <w:t>介入</w:t>
            </w:r>
            <w:r w:rsidR="00141F83" w:rsidRPr="0098523C">
              <w:rPr>
                <w:rFonts w:asciiTheme="minorEastAsia" w:eastAsiaTheme="minorEastAsia" w:hAnsiTheme="minorEastAsia" w:hint="eastAsia"/>
                <w:b/>
                <w:sz w:val="24"/>
                <w:szCs w:val="24"/>
              </w:rPr>
              <w:t>智能仓储</w:t>
            </w:r>
            <w:r w:rsidR="00B529A8" w:rsidRPr="0098523C">
              <w:rPr>
                <w:rFonts w:asciiTheme="minorEastAsia" w:eastAsiaTheme="minorEastAsia" w:hAnsiTheme="minorEastAsia" w:hint="eastAsia"/>
                <w:b/>
                <w:sz w:val="24"/>
                <w:szCs w:val="24"/>
              </w:rPr>
              <w:t>业务</w:t>
            </w:r>
            <w:r w:rsidR="00141F83" w:rsidRPr="0098523C">
              <w:rPr>
                <w:rFonts w:asciiTheme="minorEastAsia" w:eastAsiaTheme="minorEastAsia" w:hAnsiTheme="minorEastAsia" w:hint="eastAsia"/>
                <w:b/>
                <w:sz w:val="24"/>
                <w:szCs w:val="24"/>
              </w:rPr>
              <w:t>？</w:t>
            </w:r>
            <w:r w:rsidRPr="0098523C">
              <w:rPr>
                <w:rFonts w:asciiTheme="minorEastAsia" w:eastAsiaTheme="minorEastAsia" w:hAnsiTheme="minorEastAsia"/>
                <w:b/>
                <w:sz w:val="24"/>
                <w:szCs w:val="24"/>
              </w:rPr>
              <w:t xml:space="preserve"> </w:t>
            </w:r>
          </w:p>
          <w:p w:rsidR="009C04F4" w:rsidRDefault="00B529A8" w:rsidP="0084293A">
            <w:pPr>
              <w:spacing w:line="480" w:lineRule="atLeast"/>
              <w:ind w:firstLineChars="147" w:firstLine="354"/>
              <w:rPr>
                <w:rFonts w:asciiTheme="minorEastAsia" w:eastAsiaTheme="minorEastAsia" w:hAnsiTheme="minorEastAsia" w:cs="Arial"/>
                <w:b/>
                <w:sz w:val="24"/>
                <w:szCs w:val="24"/>
              </w:rPr>
            </w:pPr>
            <w:r w:rsidRPr="0098523C">
              <w:rPr>
                <w:rFonts w:asciiTheme="minorEastAsia" w:eastAsiaTheme="minorEastAsia" w:hAnsiTheme="minorEastAsia" w:hint="eastAsia"/>
                <w:b/>
                <w:sz w:val="24"/>
                <w:szCs w:val="24"/>
              </w:rPr>
              <w:t>答：</w:t>
            </w:r>
            <w:r w:rsidR="009C04F4" w:rsidRPr="009C04F4">
              <w:rPr>
                <w:rFonts w:asciiTheme="minorEastAsia" w:eastAsiaTheme="minorEastAsia" w:hAnsiTheme="minorEastAsia" w:cs="Arial" w:hint="eastAsia"/>
                <w:sz w:val="24"/>
                <w:szCs w:val="24"/>
              </w:rPr>
              <w:t>公司</w:t>
            </w:r>
            <w:r w:rsidR="00AD6000">
              <w:rPr>
                <w:rFonts w:asciiTheme="minorEastAsia" w:eastAsiaTheme="minorEastAsia" w:hAnsiTheme="minorEastAsia" w:cs="Arial" w:hint="eastAsia"/>
                <w:sz w:val="24"/>
                <w:szCs w:val="24"/>
              </w:rPr>
              <w:t>于</w:t>
            </w:r>
            <w:r w:rsidR="009C04F4">
              <w:rPr>
                <w:rFonts w:asciiTheme="minorEastAsia" w:eastAsiaTheme="minorEastAsia" w:hAnsiTheme="minorEastAsia" w:cs="Arial" w:hint="eastAsia"/>
                <w:sz w:val="24"/>
                <w:szCs w:val="24"/>
              </w:rPr>
              <w:t>2</w:t>
            </w:r>
            <w:r w:rsidR="009C04F4">
              <w:rPr>
                <w:rFonts w:asciiTheme="minorEastAsia" w:eastAsiaTheme="minorEastAsia" w:hAnsiTheme="minorEastAsia" w:cs="Arial"/>
                <w:sz w:val="24"/>
                <w:szCs w:val="24"/>
              </w:rPr>
              <w:t>017</w:t>
            </w:r>
            <w:r w:rsidR="009C04F4">
              <w:rPr>
                <w:rFonts w:asciiTheme="minorEastAsia" w:eastAsiaTheme="minorEastAsia" w:hAnsiTheme="minorEastAsia" w:cs="Arial" w:hint="eastAsia"/>
                <w:sz w:val="24"/>
                <w:szCs w:val="24"/>
              </w:rPr>
              <w:t>年开始</w:t>
            </w:r>
            <w:r w:rsidR="0084293A">
              <w:rPr>
                <w:rFonts w:asciiTheme="minorEastAsia" w:eastAsiaTheme="minorEastAsia" w:hAnsiTheme="minorEastAsia" w:cs="Arial" w:hint="eastAsia"/>
                <w:sz w:val="24"/>
                <w:szCs w:val="24"/>
              </w:rPr>
              <w:t>涉足</w:t>
            </w:r>
            <w:r w:rsidR="009C04F4">
              <w:rPr>
                <w:rFonts w:asciiTheme="minorEastAsia" w:eastAsiaTheme="minorEastAsia" w:hAnsiTheme="minorEastAsia" w:cs="Arial" w:hint="eastAsia"/>
                <w:sz w:val="24"/>
                <w:szCs w:val="24"/>
              </w:rPr>
              <w:t>智能仓储</w:t>
            </w:r>
            <w:r w:rsidR="0084293A">
              <w:rPr>
                <w:rFonts w:asciiTheme="minorEastAsia" w:eastAsiaTheme="minorEastAsia" w:hAnsiTheme="minorEastAsia" w:cs="Arial" w:hint="eastAsia"/>
                <w:sz w:val="24"/>
                <w:szCs w:val="24"/>
              </w:rPr>
              <w:t>领域</w:t>
            </w:r>
            <w:r w:rsidR="009C04F4">
              <w:rPr>
                <w:rFonts w:asciiTheme="minorEastAsia" w:eastAsiaTheme="minorEastAsia" w:hAnsiTheme="minorEastAsia" w:cs="Arial" w:hint="eastAsia"/>
                <w:sz w:val="24"/>
                <w:szCs w:val="24"/>
              </w:rPr>
              <w:t>，</w:t>
            </w:r>
            <w:r w:rsidR="00943C49">
              <w:rPr>
                <w:rFonts w:asciiTheme="minorEastAsia" w:eastAsiaTheme="minorEastAsia" w:hAnsiTheme="minorEastAsia" w:cs="Arial" w:hint="eastAsia"/>
                <w:sz w:val="24"/>
                <w:szCs w:val="24"/>
              </w:rPr>
              <w:t>但</w:t>
            </w:r>
            <w:r w:rsidR="009C04F4">
              <w:rPr>
                <w:rFonts w:asciiTheme="minorEastAsia" w:eastAsiaTheme="minorEastAsia" w:hAnsiTheme="minorEastAsia" w:cs="Arial" w:hint="eastAsia"/>
                <w:sz w:val="24"/>
                <w:szCs w:val="24"/>
              </w:rPr>
              <w:t>最开始是</w:t>
            </w:r>
            <w:r w:rsidR="00943C49">
              <w:rPr>
                <w:rFonts w:asciiTheme="minorEastAsia" w:eastAsiaTheme="minorEastAsia" w:hAnsiTheme="minorEastAsia" w:cs="Arial" w:hint="eastAsia"/>
                <w:sz w:val="24"/>
                <w:szCs w:val="24"/>
              </w:rPr>
              <w:t>基于</w:t>
            </w:r>
            <w:r w:rsidR="009C04F4">
              <w:rPr>
                <w:rFonts w:asciiTheme="minorEastAsia" w:eastAsiaTheme="minorEastAsia" w:hAnsiTheme="minorEastAsia" w:cs="Arial" w:hint="eastAsia"/>
                <w:sz w:val="24"/>
                <w:szCs w:val="24"/>
              </w:rPr>
              <w:t>提高</w:t>
            </w:r>
            <w:r w:rsidR="00943C49">
              <w:rPr>
                <w:rFonts w:asciiTheme="minorEastAsia" w:eastAsiaTheme="minorEastAsia" w:hAnsiTheme="minorEastAsia" w:cs="Arial" w:hint="eastAsia"/>
                <w:sz w:val="24"/>
                <w:szCs w:val="24"/>
              </w:rPr>
              <w:t>自身仓库周转效率</w:t>
            </w:r>
            <w:r w:rsidR="006222E6">
              <w:rPr>
                <w:rFonts w:asciiTheme="minorEastAsia" w:eastAsiaTheme="minorEastAsia" w:hAnsiTheme="minorEastAsia" w:cs="Arial" w:hint="eastAsia"/>
                <w:sz w:val="24"/>
                <w:szCs w:val="24"/>
              </w:rPr>
              <w:t>及</w:t>
            </w:r>
            <w:r w:rsidR="00943C49">
              <w:rPr>
                <w:rFonts w:asciiTheme="minorEastAsia" w:eastAsiaTheme="minorEastAsia" w:hAnsiTheme="minorEastAsia" w:cs="Arial" w:hint="eastAsia"/>
                <w:sz w:val="24"/>
                <w:szCs w:val="24"/>
              </w:rPr>
              <w:t>实现生产环节高效运营考虑开始进行A</w:t>
            </w:r>
            <w:r w:rsidR="00943C49">
              <w:rPr>
                <w:rFonts w:asciiTheme="minorEastAsia" w:eastAsiaTheme="minorEastAsia" w:hAnsiTheme="minorEastAsia" w:cs="Arial"/>
                <w:sz w:val="24"/>
                <w:szCs w:val="24"/>
              </w:rPr>
              <w:t>GV</w:t>
            </w:r>
            <w:r w:rsidR="006222E6">
              <w:rPr>
                <w:rFonts w:asciiTheme="minorEastAsia" w:eastAsiaTheme="minorEastAsia" w:hAnsiTheme="minorEastAsia" w:cs="Arial" w:hint="eastAsia"/>
                <w:sz w:val="24"/>
                <w:szCs w:val="24"/>
              </w:rPr>
              <w:t>研发并</w:t>
            </w:r>
            <w:r w:rsidR="0084293A">
              <w:rPr>
                <w:rFonts w:asciiTheme="minorEastAsia" w:eastAsiaTheme="minorEastAsia" w:hAnsiTheme="minorEastAsia" w:cs="Arial" w:hint="eastAsia"/>
                <w:sz w:val="24"/>
                <w:szCs w:val="24"/>
              </w:rPr>
              <w:t>搭建</w:t>
            </w:r>
            <w:r w:rsidR="006222E6">
              <w:rPr>
                <w:rFonts w:asciiTheme="minorEastAsia" w:eastAsiaTheme="minorEastAsia" w:hAnsiTheme="minorEastAsia" w:cs="Arial" w:hint="eastAsia"/>
                <w:sz w:val="24"/>
                <w:szCs w:val="24"/>
              </w:rPr>
              <w:t>自身的智能仓储产线。</w:t>
            </w:r>
            <w:r w:rsidR="0084293A">
              <w:rPr>
                <w:rFonts w:asciiTheme="minorEastAsia" w:eastAsiaTheme="minorEastAsia" w:hAnsiTheme="minorEastAsia" w:cs="Arial" w:hint="eastAsia"/>
                <w:sz w:val="24"/>
                <w:szCs w:val="24"/>
              </w:rPr>
              <w:t>随着智能</w:t>
            </w:r>
            <w:r w:rsidR="00CF4C2C">
              <w:rPr>
                <w:rFonts w:asciiTheme="minorEastAsia" w:eastAsiaTheme="minorEastAsia" w:hAnsiTheme="minorEastAsia" w:cs="Arial" w:hint="eastAsia"/>
                <w:sz w:val="24"/>
                <w:szCs w:val="24"/>
              </w:rPr>
              <w:t>物流及仓储产线</w:t>
            </w:r>
            <w:r w:rsidR="0084293A">
              <w:rPr>
                <w:rFonts w:asciiTheme="minorEastAsia" w:eastAsiaTheme="minorEastAsia" w:hAnsiTheme="minorEastAsia" w:cs="Arial" w:hint="eastAsia"/>
                <w:sz w:val="24"/>
                <w:szCs w:val="24"/>
              </w:rPr>
              <w:t>的优势显现，并结合</w:t>
            </w:r>
            <w:r w:rsidR="006222E6" w:rsidRPr="006222E6">
              <w:rPr>
                <w:rFonts w:asciiTheme="minorEastAsia" w:eastAsiaTheme="minorEastAsia" w:hAnsiTheme="minorEastAsia" w:cs="Arial"/>
                <w:sz w:val="24"/>
                <w:szCs w:val="24"/>
              </w:rPr>
              <w:t>下游核心客户</w:t>
            </w:r>
            <w:r w:rsidR="00A422F1">
              <w:rPr>
                <w:rFonts w:asciiTheme="minorEastAsia" w:eastAsiaTheme="minorEastAsia" w:hAnsiTheme="minorEastAsia" w:cs="Arial" w:hint="eastAsia"/>
                <w:sz w:val="24"/>
                <w:szCs w:val="24"/>
              </w:rPr>
              <w:t>对</w:t>
            </w:r>
            <w:r w:rsidR="0084293A">
              <w:rPr>
                <w:rFonts w:asciiTheme="minorEastAsia" w:eastAsiaTheme="minorEastAsia" w:hAnsiTheme="minorEastAsia" w:cs="Arial" w:hint="eastAsia"/>
                <w:sz w:val="24"/>
                <w:szCs w:val="24"/>
              </w:rPr>
              <w:t>智能化解决方案和智能仓储等项目需求</w:t>
            </w:r>
            <w:r w:rsidR="006222E6">
              <w:rPr>
                <w:rFonts w:asciiTheme="minorEastAsia" w:eastAsiaTheme="minorEastAsia" w:hAnsiTheme="minorEastAsia" w:cs="Arial" w:hint="eastAsia"/>
                <w:sz w:val="24"/>
                <w:szCs w:val="24"/>
              </w:rPr>
              <w:t>，公司于2</w:t>
            </w:r>
            <w:r w:rsidR="006222E6">
              <w:rPr>
                <w:rFonts w:asciiTheme="minorEastAsia" w:eastAsiaTheme="minorEastAsia" w:hAnsiTheme="minorEastAsia" w:cs="Arial"/>
                <w:sz w:val="24"/>
                <w:szCs w:val="24"/>
              </w:rPr>
              <w:t>022</w:t>
            </w:r>
            <w:r w:rsidR="006222E6">
              <w:rPr>
                <w:rFonts w:asciiTheme="minorEastAsia" w:eastAsiaTheme="minorEastAsia" w:hAnsiTheme="minorEastAsia" w:cs="Arial" w:hint="eastAsia"/>
                <w:sz w:val="24"/>
                <w:szCs w:val="24"/>
              </w:rPr>
              <w:t>年成立广东舜储智能装备有限公司</w:t>
            </w:r>
            <w:r w:rsidR="0084293A">
              <w:rPr>
                <w:rFonts w:asciiTheme="minorEastAsia" w:eastAsiaTheme="minorEastAsia" w:hAnsiTheme="minorEastAsia" w:cs="Arial" w:hint="eastAsia"/>
                <w:sz w:val="24"/>
                <w:szCs w:val="24"/>
              </w:rPr>
              <w:t>，正式切入智能仓储赛道</w:t>
            </w:r>
            <w:r w:rsidR="00CF4C2C">
              <w:rPr>
                <w:rFonts w:asciiTheme="minorEastAsia" w:eastAsiaTheme="minorEastAsia" w:hAnsiTheme="minorEastAsia" w:cs="Arial" w:hint="eastAsia"/>
                <w:sz w:val="24"/>
                <w:szCs w:val="24"/>
              </w:rPr>
              <w:t>，提供智能仓储整体解决方案。</w:t>
            </w:r>
            <w:r w:rsidR="00AD6000">
              <w:rPr>
                <w:rFonts w:asciiTheme="minorEastAsia" w:eastAsiaTheme="minorEastAsia" w:hAnsiTheme="minorEastAsia" w:cs="Arial" w:hint="eastAsia"/>
                <w:b/>
                <w:sz w:val="24"/>
                <w:szCs w:val="24"/>
              </w:rPr>
              <w:t>截至目前，</w:t>
            </w:r>
            <w:r w:rsidR="00AD6000" w:rsidRPr="00AD6000">
              <w:rPr>
                <w:rFonts w:asciiTheme="minorEastAsia" w:eastAsiaTheme="minorEastAsia" w:hAnsiTheme="minorEastAsia" w:cs="Arial" w:hint="eastAsia"/>
                <w:b/>
                <w:sz w:val="24"/>
                <w:szCs w:val="24"/>
              </w:rPr>
              <w:t>公司</w:t>
            </w:r>
            <w:r w:rsidR="00FA21B0" w:rsidRPr="00FA21B0">
              <w:rPr>
                <w:rFonts w:asciiTheme="minorEastAsia" w:eastAsiaTheme="minorEastAsia" w:hAnsiTheme="minorEastAsia" w:cs="Arial" w:hint="eastAsia"/>
                <w:b/>
                <w:sz w:val="24"/>
                <w:szCs w:val="24"/>
              </w:rPr>
              <w:t>智慧物流（自主移动机器人）与智能仓储项目</w:t>
            </w:r>
            <w:r w:rsidR="00AD6000" w:rsidRPr="00AD6000">
              <w:rPr>
                <w:rFonts w:asciiTheme="minorEastAsia" w:eastAsiaTheme="minorEastAsia" w:hAnsiTheme="minorEastAsia" w:cs="Arial" w:hint="eastAsia"/>
                <w:b/>
                <w:sz w:val="24"/>
                <w:szCs w:val="24"/>
              </w:rPr>
              <w:t>已成功应用于新能源（锂电、光伏、氢能）多个领域</w:t>
            </w:r>
            <w:r w:rsidR="00AD6000">
              <w:rPr>
                <w:rFonts w:asciiTheme="minorEastAsia" w:eastAsiaTheme="minorEastAsia" w:hAnsiTheme="minorEastAsia" w:cs="Arial" w:hint="eastAsia"/>
                <w:b/>
                <w:sz w:val="24"/>
                <w:szCs w:val="24"/>
              </w:rPr>
              <w:t>，累计</w:t>
            </w:r>
            <w:r w:rsidR="0084293A" w:rsidRPr="00F355CA">
              <w:rPr>
                <w:rFonts w:asciiTheme="minorEastAsia" w:eastAsiaTheme="minorEastAsia" w:hAnsiTheme="minorEastAsia" w:cs="Arial" w:hint="eastAsia"/>
                <w:b/>
                <w:sz w:val="24"/>
                <w:szCs w:val="24"/>
              </w:rPr>
              <w:t>项目交付已超2</w:t>
            </w:r>
            <w:r w:rsidR="0084293A" w:rsidRPr="00F355CA">
              <w:rPr>
                <w:rFonts w:asciiTheme="minorEastAsia" w:eastAsiaTheme="minorEastAsia" w:hAnsiTheme="minorEastAsia" w:cs="Arial"/>
                <w:b/>
                <w:sz w:val="24"/>
                <w:szCs w:val="24"/>
              </w:rPr>
              <w:t>0</w:t>
            </w:r>
            <w:r w:rsidR="0084293A" w:rsidRPr="00F355CA">
              <w:rPr>
                <w:rFonts w:asciiTheme="minorEastAsia" w:eastAsiaTheme="minorEastAsia" w:hAnsiTheme="minorEastAsia" w:cs="Arial" w:hint="eastAsia"/>
                <w:b/>
                <w:sz w:val="24"/>
                <w:szCs w:val="24"/>
              </w:rPr>
              <w:t>亿！</w:t>
            </w:r>
          </w:p>
          <w:p w:rsidR="005C1331" w:rsidRDefault="005C1331" w:rsidP="0084293A">
            <w:pPr>
              <w:spacing w:line="480" w:lineRule="atLeast"/>
              <w:ind w:firstLineChars="147" w:firstLine="354"/>
              <w:rPr>
                <w:rFonts w:asciiTheme="minorEastAsia" w:eastAsiaTheme="minorEastAsia" w:hAnsiTheme="minorEastAsia" w:cs="Arial"/>
                <w:b/>
                <w:sz w:val="24"/>
                <w:szCs w:val="24"/>
              </w:rPr>
            </w:pPr>
          </w:p>
          <w:p w:rsidR="005C1331" w:rsidRPr="005C1331" w:rsidRDefault="005C1331" w:rsidP="005C1331">
            <w:pPr>
              <w:spacing w:line="480" w:lineRule="atLeast"/>
              <w:ind w:firstLineChars="147" w:firstLine="354"/>
              <w:rPr>
                <w:rFonts w:asciiTheme="minorEastAsia" w:eastAsiaTheme="minorEastAsia" w:hAnsiTheme="minorEastAsia"/>
                <w:b/>
                <w:sz w:val="24"/>
                <w:szCs w:val="24"/>
              </w:rPr>
            </w:pPr>
            <w:r w:rsidRPr="0098523C">
              <w:rPr>
                <w:rFonts w:asciiTheme="minorEastAsia" w:eastAsiaTheme="minorEastAsia" w:hAnsiTheme="minorEastAsia" w:hint="eastAsia"/>
                <w:b/>
                <w:sz w:val="24"/>
                <w:szCs w:val="24"/>
              </w:rPr>
              <w:t>问题</w:t>
            </w:r>
            <w:r>
              <w:rPr>
                <w:rFonts w:asciiTheme="minorEastAsia" w:eastAsiaTheme="minorEastAsia" w:hAnsiTheme="minorEastAsia" w:hint="eastAsia"/>
                <w:b/>
                <w:sz w:val="24"/>
                <w:szCs w:val="24"/>
              </w:rPr>
              <w:t>三</w:t>
            </w:r>
            <w:r w:rsidRPr="0098523C">
              <w:rPr>
                <w:rFonts w:asciiTheme="minorEastAsia" w:eastAsiaTheme="minorEastAsia" w:hAnsiTheme="minorEastAsia" w:hint="eastAsia"/>
                <w:b/>
                <w:sz w:val="24"/>
                <w:szCs w:val="24"/>
              </w:rPr>
              <w:t>：智能仓储行业发展前景如何看待？</w:t>
            </w:r>
            <w:r w:rsidRPr="0098523C">
              <w:rPr>
                <w:rFonts w:asciiTheme="minorEastAsia" w:eastAsiaTheme="minorEastAsia" w:hAnsiTheme="minorEastAsia"/>
                <w:b/>
                <w:sz w:val="24"/>
                <w:szCs w:val="24"/>
              </w:rPr>
              <w:t xml:space="preserve"> </w:t>
            </w:r>
          </w:p>
          <w:p w:rsidR="0098523C" w:rsidRPr="0098523C" w:rsidRDefault="005C1331" w:rsidP="0098523C">
            <w:pPr>
              <w:spacing w:line="480" w:lineRule="atLeast"/>
              <w:ind w:firstLineChars="147" w:firstLine="354"/>
              <w:rPr>
                <w:rFonts w:asciiTheme="minorEastAsia" w:eastAsiaTheme="minorEastAsia" w:hAnsiTheme="minorEastAsia" w:cs="Arial"/>
                <w:sz w:val="24"/>
                <w:szCs w:val="24"/>
              </w:rPr>
            </w:pPr>
            <w:r w:rsidRPr="005C1331">
              <w:rPr>
                <w:rFonts w:asciiTheme="minorEastAsia" w:eastAsiaTheme="minorEastAsia" w:hAnsiTheme="minorEastAsia" w:cs="Arial" w:hint="eastAsia"/>
                <w:b/>
                <w:sz w:val="24"/>
                <w:szCs w:val="24"/>
              </w:rPr>
              <w:t>答：</w:t>
            </w:r>
            <w:r w:rsidR="00B529A8" w:rsidRPr="0098523C">
              <w:rPr>
                <w:rFonts w:asciiTheme="minorEastAsia" w:eastAsiaTheme="minorEastAsia" w:hAnsiTheme="minorEastAsia" w:cs="Arial"/>
                <w:sz w:val="24"/>
                <w:szCs w:val="24"/>
              </w:rPr>
              <w:t>物流仓储行业已有较大的技术成熟度，但仍存在</w:t>
            </w:r>
            <w:r>
              <w:rPr>
                <w:rFonts w:asciiTheme="minorEastAsia" w:eastAsiaTheme="minorEastAsia" w:hAnsiTheme="minorEastAsia" w:cs="Arial" w:hint="eastAsia"/>
                <w:sz w:val="24"/>
                <w:szCs w:val="24"/>
              </w:rPr>
              <w:t>一定</w:t>
            </w:r>
            <w:r w:rsidR="00B529A8" w:rsidRPr="0098523C">
              <w:rPr>
                <w:rFonts w:asciiTheme="minorEastAsia" w:eastAsiaTheme="minorEastAsia" w:hAnsiTheme="minorEastAsia" w:cs="Arial"/>
                <w:sz w:val="24"/>
                <w:szCs w:val="24"/>
              </w:rPr>
              <w:t>提升空间，</w:t>
            </w:r>
            <w:r w:rsidR="00B529A8" w:rsidRPr="0098523C">
              <w:rPr>
                <w:rFonts w:asciiTheme="minorEastAsia" w:eastAsiaTheme="minorEastAsia" w:hAnsiTheme="minorEastAsia" w:cs="Arial" w:hint="eastAsia"/>
                <w:sz w:val="24"/>
                <w:szCs w:val="24"/>
              </w:rPr>
              <w:t>比如结合物联网技术、集成自动化、AI、大数据、人工智能等互联网新技术，实现信息集成</w:t>
            </w:r>
            <w:r w:rsidR="0098523C">
              <w:rPr>
                <w:rFonts w:asciiTheme="minorEastAsia" w:eastAsiaTheme="minorEastAsia" w:hAnsiTheme="minorEastAsia" w:cs="Arial" w:hint="eastAsia"/>
                <w:sz w:val="24"/>
                <w:szCs w:val="24"/>
              </w:rPr>
              <w:t>、优化物流流程，促进企业智慧工厂各环节高效运营、降本增效。</w:t>
            </w:r>
            <w:r w:rsidR="009D36B6">
              <w:rPr>
                <w:rFonts w:asciiTheme="minorEastAsia" w:eastAsiaTheme="minorEastAsia" w:hAnsiTheme="minorEastAsia" w:cs="Arial" w:hint="eastAsia"/>
                <w:sz w:val="24"/>
                <w:szCs w:val="24"/>
              </w:rPr>
              <w:t>同时</w:t>
            </w:r>
            <w:r w:rsidR="0098523C" w:rsidRPr="0098523C">
              <w:rPr>
                <w:rFonts w:asciiTheme="minorEastAsia" w:eastAsiaTheme="minorEastAsia" w:hAnsiTheme="minorEastAsia" w:cs="Arial" w:hint="eastAsia"/>
                <w:sz w:val="24"/>
                <w:szCs w:val="24"/>
              </w:rPr>
              <w:t>智能化设备的加入将为用户企</w:t>
            </w:r>
            <w:r w:rsidR="009D36B6">
              <w:rPr>
                <w:rFonts w:asciiTheme="minorEastAsia" w:eastAsiaTheme="minorEastAsia" w:hAnsiTheme="minorEastAsia" w:cs="Arial" w:hint="eastAsia"/>
                <w:sz w:val="24"/>
                <w:szCs w:val="24"/>
              </w:rPr>
              <w:t>业提供更高效的运输方式，在节省人工成本的同时，提高仓库周转效率</w:t>
            </w:r>
            <w:r>
              <w:rPr>
                <w:rFonts w:asciiTheme="minorEastAsia" w:eastAsiaTheme="minorEastAsia" w:hAnsiTheme="minorEastAsia" w:cs="Arial" w:hint="eastAsia"/>
                <w:sz w:val="24"/>
                <w:szCs w:val="24"/>
              </w:rPr>
              <w:t>。</w:t>
            </w:r>
          </w:p>
          <w:p w:rsidR="00B529A8" w:rsidRDefault="0098523C" w:rsidP="00B529A8">
            <w:pPr>
              <w:spacing w:line="480" w:lineRule="atLeast"/>
              <w:ind w:firstLineChars="147" w:firstLine="353"/>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另外，</w:t>
            </w:r>
            <w:r w:rsidR="00B529A8" w:rsidRPr="0098523C">
              <w:rPr>
                <w:rFonts w:asciiTheme="minorEastAsia" w:eastAsiaTheme="minorEastAsia" w:hAnsiTheme="minorEastAsia" w:cs="Arial"/>
                <w:sz w:val="24"/>
                <w:szCs w:val="24"/>
              </w:rPr>
              <w:t>实现</w:t>
            </w:r>
            <w:r w:rsidR="00AF5ACA">
              <w:rPr>
                <w:rFonts w:asciiTheme="minorEastAsia" w:eastAsiaTheme="minorEastAsia" w:hAnsiTheme="minorEastAsia" w:cs="Arial" w:hint="eastAsia"/>
                <w:sz w:val="24"/>
                <w:szCs w:val="24"/>
              </w:rPr>
              <w:t>生产制造</w:t>
            </w:r>
            <w:r w:rsidR="00B529A8" w:rsidRPr="0098523C">
              <w:rPr>
                <w:rFonts w:asciiTheme="minorEastAsia" w:eastAsiaTheme="minorEastAsia" w:hAnsiTheme="minorEastAsia" w:cs="Arial"/>
                <w:sz w:val="24"/>
                <w:szCs w:val="24"/>
              </w:rPr>
              <w:t>全流程信息化已成全球制造业发展的主流趋势</w:t>
            </w:r>
            <w:r w:rsidR="005C1331">
              <w:rPr>
                <w:rFonts w:asciiTheme="minorEastAsia" w:eastAsiaTheme="minorEastAsia" w:hAnsiTheme="minorEastAsia" w:cs="Arial" w:hint="eastAsia"/>
                <w:sz w:val="24"/>
                <w:szCs w:val="24"/>
              </w:rPr>
              <w:t>，</w:t>
            </w:r>
            <w:r w:rsidR="009D36B6">
              <w:rPr>
                <w:rFonts w:asciiTheme="minorEastAsia" w:eastAsiaTheme="minorEastAsia" w:hAnsiTheme="minorEastAsia" w:cs="Arial" w:hint="eastAsia"/>
                <w:sz w:val="24"/>
                <w:szCs w:val="24"/>
              </w:rPr>
              <w:t>各个领域</w:t>
            </w:r>
            <w:r w:rsidR="00B529A8" w:rsidRPr="0098523C">
              <w:rPr>
                <w:rFonts w:asciiTheme="minorEastAsia" w:eastAsiaTheme="minorEastAsia" w:hAnsiTheme="minorEastAsia" w:cs="Arial" w:hint="eastAsia"/>
                <w:sz w:val="24"/>
                <w:szCs w:val="24"/>
              </w:rPr>
              <w:t>高端客户不仅要求设备供应商提供独立设备，还要求产线自动化水平和配套支持服务能力</w:t>
            </w:r>
            <w:r>
              <w:rPr>
                <w:rFonts w:asciiTheme="minorEastAsia" w:eastAsiaTheme="minorEastAsia" w:hAnsiTheme="minorEastAsia" w:cs="Arial" w:hint="eastAsia"/>
                <w:sz w:val="24"/>
                <w:szCs w:val="24"/>
              </w:rPr>
              <w:t>。因</w:t>
            </w:r>
            <w:r w:rsidR="00A422F1">
              <w:rPr>
                <w:rFonts w:asciiTheme="minorEastAsia" w:eastAsiaTheme="minorEastAsia" w:hAnsiTheme="minorEastAsia" w:cs="Arial" w:hint="eastAsia"/>
                <w:sz w:val="24"/>
                <w:szCs w:val="24"/>
              </w:rPr>
              <w:t>此智能仓储业务</w:t>
            </w:r>
            <w:bookmarkStart w:id="0" w:name="_GoBack"/>
            <w:bookmarkEnd w:id="0"/>
            <w:r w:rsidR="009C04F4" w:rsidRPr="009C04F4">
              <w:rPr>
                <w:rFonts w:asciiTheme="minorEastAsia" w:eastAsiaTheme="minorEastAsia" w:hAnsiTheme="minorEastAsia" w:cs="Arial" w:hint="eastAsia"/>
                <w:sz w:val="24"/>
                <w:szCs w:val="24"/>
              </w:rPr>
              <w:t>不仅可以形成新的盈利增长点，而且有利于深度绑定客户，维护与客户的良好关系</w:t>
            </w:r>
            <w:r w:rsidR="009D36B6">
              <w:rPr>
                <w:rFonts w:asciiTheme="minorEastAsia" w:eastAsiaTheme="minorEastAsia" w:hAnsiTheme="minorEastAsia" w:cs="Arial" w:hint="eastAsia"/>
                <w:sz w:val="24"/>
                <w:szCs w:val="24"/>
              </w:rPr>
              <w:t>，市场前景</w:t>
            </w:r>
            <w:r w:rsidR="00AF5ACA">
              <w:rPr>
                <w:rFonts w:asciiTheme="minorEastAsia" w:eastAsiaTheme="minorEastAsia" w:hAnsiTheme="minorEastAsia" w:cs="Arial" w:hint="eastAsia"/>
                <w:sz w:val="24"/>
                <w:szCs w:val="24"/>
              </w:rPr>
              <w:t>相对</w:t>
            </w:r>
            <w:r w:rsidR="009D36B6">
              <w:rPr>
                <w:rFonts w:asciiTheme="minorEastAsia" w:eastAsiaTheme="minorEastAsia" w:hAnsiTheme="minorEastAsia" w:cs="Arial" w:hint="eastAsia"/>
                <w:sz w:val="24"/>
                <w:szCs w:val="24"/>
              </w:rPr>
              <w:t>广阔</w:t>
            </w:r>
            <w:r w:rsidR="009C04F4" w:rsidRPr="009C04F4">
              <w:rPr>
                <w:rFonts w:asciiTheme="minorEastAsia" w:eastAsiaTheme="minorEastAsia" w:hAnsiTheme="minorEastAsia" w:cs="Arial" w:hint="eastAsia"/>
                <w:sz w:val="24"/>
                <w:szCs w:val="24"/>
              </w:rPr>
              <w:t>。</w:t>
            </w:r>
          </w:p>
          <w:p w:rsidR="00B529A8" w:rsidRPr="0098523C" w:rsidRDefault="00B529A8" w:rsidP="006A4AF2">
            <w:pPr>
              <w:spacing w:line="480" w:lineRule="atLeast"/>
              <w:ind w:firstLineChars="147" w:firstLine="354"/>
              <w:rPr>
                <w:rFonts w:asciiTheme="minorEastAsia" w:eastAsiaTheme="minorEastAsia" w:hAnsiTheme="minorEastAsia"/>
                <w:b/>
                <w:sz w:val="24"/>
                <w:szCs w:val="24"/>
              </w:rPr>
            </w:pPr>
          </w:p>
          <w:p w:rsidR="009D36B6" w:rsidRDefault="00B529A8" w:rsidP="00103433">
            <w:pPr>
              <w:spacing w:line="480" w:lineRule="atLeast"/>
              <w:ind w:firstLineChars="147" w:firstLine="354"/>
              <w:rPr>
                <w:rFonts w:asciiTheme="minorEastAsia" w:eastAsiaTheme="minorEastAsia" w:hAnsiTheme="minorEastAsia"/>
                <w:b/>
                <w:sz w:val="24"/>
                <w:szCs w:val="24"/>
              </w:rPr>
            </w:pPr>
            <w:r w:rsidRPr="0098523C">
              <w:rPr>
                <w:rFonts w:asciiTheme="minorEastAsia" w:eastAsiaTheme="minorEastAsia" w:hAnsiTheme="minorEastAsia" w:hint="eastAsia"/>
                <w:b/>
                <w:sz w:val="24"/>
                <w:szCs w:val="24"/>
              </w:rPr>
              <w:t>问题</w:t>
            </w:r>
            <w:r w:rsidR="009D36B6">
              <w:rPr>
                <w:rFonts w:asciiTheme="minorEastAsia" w:eastAsiaTheme="minorEastAsia" w:hAnsiTheme="minorEastAsia" w:hint="eastAsia"/>
                <w:b/>
                <w:sz w:val="24"/>
                <w:szCs w:val="24"/>
              </w:rPr>
              <w:t>四</w:t>
            </w:r>
            <w:r w:rsidRPr="0098523C">
              <w:rPr>
                <w:rFonts w:asciiTheme="minorEastAsia" w:eastAsiaTheme="minorEastAsia" w:hAnsiTheme="minorEastAsia" w:hint="eastAsia"/>
                <w:b/>
                <w:sz w:val="24"/>
                <w:szCs w:val="24"/>
              </w:rPr>
              <w:t>：</w:t>
            </w:r>
            <w:r w:rsidR="009D36B6" w:rsidRPr="009D36B6">
              <w:rPr>
                <w:rFonts w:asciiTheme="minorEastAsia" w:eastAsiaTheme="minorEastAsia" w:hAnsiTheme="minorEastAsia" w:hint="eastAsia"/>
                <w:b/>
                <w:sz w:val="24"/>
                <w:szCs w:val="24"/>
              </w:rPr>
              <w:t>公司在固态电池领域的技术储备？研发布局规划？</w:t>
            </w:r>
          </w:p>
          <w:p w:rsidR="00F355CA" w:rsidRDefault="00F355CA" w:rsidP="00103433">
            <w:pPr>
              <w:spacing w:line="480" w:lineRule="atLeast"/>
              <w:ind w:firstLineChars="147" w:firstLine="354"/>
              <w:rPr>
                <w:rFonts w:ascii="TimesNewRoman" w:hAnsi="宋体"/>
                <w:b/>
                <w:sz w:val="24"/>
              </w:rPr>
            </w:pPr>
            <w:r w:rsidRPr="00F355CA">
              <w:rPr>
                <w:rFonts w:ascii="TimesNewRoman" w:hAnsi="宋体" w:hint="eastAsia"/>
                <w:b/>
                <w:sz w:val="24"/>
              </w:rPr>
              <w:t>答：</w:t>
            </w:r>
            <w:r w:rsidR="009B7165">
              <w:rPr>
                <w:rFonts w:ascii="TimesNewRoman" w:hAnsi="宋体" w:hint="eastAsia"/>
                <w:sz w:val="24"/>
              </w:rPr>
              <w:t>利元亨</w:t>
            </w:r>
            <w:r w:rsidR="00DA3D9B" w:rsidRPr="00DA3D9B">
              <w:rPr>
                <w:rFonts w:ascii="TimesNewRoman" w:hAnsi="宋体" w:hint="eastAsia"/>
                <w:sz w:val="24"/>
              </w:rPr>
              <w:t>固态电池领域的工艺和装备技术研发工作现已取得了进展性突破。目前在全固态电池设备开发方面，完成干法电极、固态电解质压制转印、锂铜复合设备样机开发，极片绝缘胶框成形设备、高压化成分容设备研发达成阶段性进展。在全固态电池工艺开发方面，完成具有﹣</w:t>
            </w:r>
            <w:r w:rsidR="00DA3D9B" w:rsidRPr="00DA3D9B">
              <w:rPr>
                <w:rFonts w:ascii="TimesNewRoman" w:hAnsi="宋体" w:hint="eastAsia"/>
                <w:sz w:val="24"/>
              </w:rPr>
              <w:t>50</w:t>
            </w:r>
            <w:r w:rsidR="00DA3D9B" w:rsidRPr="00DA3D9B">
              <w:rPr>
                <w:rFonts w:ascii="TimesNewRoman" w:hAnsi="宋体" w:hint="eastAsia"/>
                <w:sz w:val="24"/>
              </w:rPr>
              <w:t>露点干燥环境要求的全固态实验室搭建，并已开展关键工艺验证。</w:t>
            </w:r>
          </w:p>
          <w:p w:rsidR="009D36B6" w:rsidRDefault="009D36B6" w:rsidP="00103433">
            <w:pPr>
              <w:spacing w:line="480" w:lineRule="atLeast"/>
              <w:ind w:firstLineChars="147" w:firstLine="354"/>
              <w:rPr>
                <w:rFonts w:ascii="TimesNewRoman" w:hAnsi="宋体"/>
                <w:b/>
                <w:sz w:val="24"/>
              </w:rPr>
            </w:pPr>
          </w:p>
          <w:p w:rsidR="009D36B6" w:rsidRDefault="009D36B6" w:rsidP="00103433">
            <w:pPr>
              <w:spacing w:line="480" w:lineRule="atLeast"/>
              <w:ind w:firstLineChars="147" w:firstLine="354"/>
              <w:rPr>
                <w:rFonts w:ascii="TimesNewRoman" w:hAnsi="宋体"/>
                <w:b/>
                <w:sz w:val="24"/>
              </w:rPr>
            </w:pPr>
            <w:r>
              <w:rPr>
                <w:rFonts w:ascii="TimesNewRoman" w:hAnsi="宋体" w:hint="eastAsia"/>
                <w:b/>
                <w:sz w:val="24"/>
              </w:rPr>
              <w:t>问题五：</w:t>
            </w:r>
            <w:r w:rsidRPr="009D36B6">
              <w:rPr>
                <w:rFonts w:ascii="TimesNewRoman" w:hAnsi="宋体" w:hint="eastAsia"/>
                <w:b/>
                <w:sz w:val="24"/>
              </w:rPr>
              <w:t>固态电池应用场景？</w:t>
            </w:r>
            <w:r w:rsidR="000235A1">
              <w:rPr>
                <w:rFonts w:ascii="TimesNewRoman" w:hAnsi="宋体" w:hint="eastAsia"/>
                <w:b/>
                <w:sz w:val="24"/>
              </w:rPr>
              <w:t>行业发展情况？</w:t>
            </w:r>
          </w:p>
          <w:p w:rsidR="009D36B6" w:rsidRDefault="009D36B6" w:rsidP="00103433">
            <w:pPr>
              <w:spacing w:line="480" w:lineRule="atLeast"/>
              <w:ind w:firstLineChars="147" w:firstLine="354"/>
              <w:rPr>
                <w:rFonts w:ascii="TimesNewRoman" w:hAnsi="宋体"/>
                <w:b/>
                <w:sz w:val="24"/>
              </w:rPr>
            </w:pPr>
            <w:r>
              <w:rPr>
                <w:rFonts w:ascii="TimesNewRoman" w:hAnsi="宋体" w:hint="eastAsia"/>
                <w:b/>
                <w:sz w:val="24"/>
              </w:rPr>
              <w:t>答</w:t>
            </w:r>
            <w:r w:rsidR="00FE75A7">
              <w:rPr>
                <w:rFonts w:ascii="TimesNewRoman" w:hAnsi="宋体" w:hint="eastAsia"/>
                <w:b/>
                <w:sz w:val="24"/>
              </w:rPr>
              <w:t>：</w:t>
            </w:r>
            <w:r w:rsidR="00FE75A7" w:rsidRPr="00FE75A7">
              <w:rPr>
                <w:rFonts w:ascii="TimesNewRoman" w:hAnsi="宋体" w:hint="eastAsia"/>
                <w:sz w:val="24"/>
              </w:rPr>
              <w:t>固态电池在电动汽车、</w:t>
            </w:r>
            <w:r w:rsidR="00FE75A7" w:rsidRPr="00FE75A7">
              <w:rPr>
                <w:rFonts w:ascii="TimesNewRoman" w:hAnsi="宋体" w:hint="eastAsia"/>
                <w:sz w:val="24"/>
              </w:rPr>
              <w:t>AI</w:t>
            </w:r>
            <w:r w:rsidR="00FE75A7" w:rsidRPr="00FE75A7">
              <w:rPr>
                <w:rFonts w:ascii="TimesNewRoman" w:hAnsi="宋体" w:hint="eastAsia"/>
                <w:sz w:val="24"/>
              </w:rPr>
              <w:t>笔记本</w:t>
            </w:r>
            <w:r w:rsidR="00FE75A7" w:rsidRPr="00FE75A7">
              <w:rPr>
                <w:rFonts w:ascii="TimesNewRoman" w:hAnsi="宋体" w:hint="eastAsia"/>
                <w:sz w:val="24"/>
              </w:rPr>
              <w:t>/</w:t>
            </w:r>
            <w:r w:rsidR="00FE75A7" w:rsidRPr="00FE75A7">
              <w:rPr>
                <w:rFonts w:ascii="TimesNewRoman" w:hAnsi="宋体" w:hint="eastAsia"/>
                <w:sz w:val="24"/>
              </w:rPr>
              <w:t>手机及低空飞行器等领域展现出广泛的应用潜力。在电动汽车领域，其高能量密度、快速充电能力和高安全性成为提升续航和保障行驶安全的核心技术。对于</w:t>
            </w:r>
            <w:r w:rsidR="00FE75A7" w:rsidRPr="00FE75A7">
              <w:rPr>
                <w:rFonts w:ascii="TimesNewRoman" w:hAnsi="宋体" w:hint="eastAsia"/>
                <w:sz w:val="24"/>
              </w:rPr>
              <w:t>AI</w:t>
            </w:r>
            <w:r w:rsidR="00FE75A7" w:rsidRPr="00FE75A7">
              <w:rPr>
                <w:rFonts w:ascii="TimesNewRoman" w:hAnsi="宋体" w:hint="eastAsia"/>
                <w:sz w:val="24"/>
              </w:rPr>
              <w:t>笔记本</w:t>
            </w:r>
            <w:r w:rsidR="00FE75A7" w:rsidRPr="00FE75A7">
              <w:rPr>
                <w:rFonts w:ascii="TimesNewRoman" w:hAnsi="宋体" w:hint="eastAsia"/>
                <w:sz w:val="24"/>
              </w:rPr>
              <w:t>/</w:t>
            </w:r>
            <w:r w:rsidR="00FE75A7" w:rsidRPr="00FE75A7">
              <w:rPr>
                <w:rFonts w:ascii="TimesNewRoman" w:hAnsi="宋体" w:hint="eastAsia"/>
                <w:sz w:val="24"/>
              </w:rPr>
              <w:t>手机，固态电池能显著提升性能，实现更轻薄的设计、更长的电池寿命以及更快的充电速度，极大改善用户体验。在低空飞行器领域，固态电池的高能量密度和高安全性特性能够满足飞行器对高可靠性和高安全性的严格要求。未来几年内，随着技术进步和市场需求的扩大，固态电池有望在电动汽车、</w:t>
            </w:r>
            <w:r w:rsidR="00FE75A7" w:rsidRPr="00FE75A7">
              <w:rPr>
                <w:rFonts w:ascii="TimesNewRoman" w:hAnsi="宋体" w:hint="eastAsia"/>
                <w:sz w:val="24"/>
              </w:rPr>
              <w:t>AI</w:t>
            </w:r>
            <w:r w:rsidR="00FE75A7" w:rsidRPr="00FE75A7">
              <w:rPr>
                <w:rFonts w:ascii="TimesNewRoman" w:hAnsi="宋体" w:hint="eastAsia"/>
                <w:sz w:val="24"/>
              </w:rPr>
              <w:t>笔记本</w:t>
            </w:r>
            <w:r w:rsidR="00FE75A7" w:rsidRPr="00FE75A7">
              <w:rPr>
                <w:rFonts w:ascii="TimesNewRoman" w:hAnsi="宋体" w:hint="eastAsia"/>
                <w:sz w:val="24"/>
              </w:rPr>
              <w:t>/</w:t>
            </w:r>
            <w:r w:rsidR="00FE75A7" w:rsidRPr="00FE75A7">
              <w:rPr>
                <w:rFonts w:ascii="TimesNewRoman" w:hAnsi="宋体" w:hint="eastAsia"/>
                <w:sz w:val="24"/>
              </w:rPr>
              <w:t>手机及低空飞行器等领域实现规模商业化应用，为相关产业的发展注入新的动力。同时，固态电池技术的不断突破和成本的持续降低将进一步推动其在更多领域的应用拓展和市场普及。</w:t>
            </w:r>
          </w:p>
          <w:p w:rsidR="00456D1D" w:rsidRDefault="00456D1D" w:rsidP="00103433">
            <w:pPr>
              <w:spacing w:line="480" w:lineRule="atLeast"/>
              <w:ind w:firstLineChars="147" w:firstLine="354"/>
              <w:rPr>
                <w:rFonts w:ascii="TimesNewRoman" w:hAnsi="宋体"/>
                <w:b/>
                <w:sz w:val="24"/>
              </w:rPr>
            </w:pPr>
          </w:p>
          <w:p w:rsidR="00456D1D" w:rsidRDefault="00456D1D" w:rsidP="00103433">
            <w:pPr>
              <w:spacing w:line="480" w:lineRule="atLeast"/>
              <w:ind w:firstLineChars="147" w:firstLine="354"/>
              <w:rPr>
                <w:rFonts w:ascii="TimesNewRoman" w:hAnsi="宋体"/>
                <w:b/>
                <w:sz w:val="24"/>
              </w:rPr>
            </w:pPr>
            <w:r>
              <w:rPr>
                <w:rFonts w:ascii="TimesNewRoman" w:hAnsi="宋体" w:hint="eastAsia"/>
                <w:b/>
                <w:sz w:val="24"/>
              </w:rPr>
              <w:t>问题六：</w:t>
            </w:r>
            <w:r w:rsidR="005715D1">
              <w:rPr>
                <w:rFonts w:ascii="TimesNewRoman" w:hAnsi="宋体" w:hint="eastAsia"/>
                <w:b/>
                <w:sz w:val="24"/>
              </w:rPr>
              <w:t>公司订单收款方式</w:t>
            </w:r>
            <w:r w:rsidR="008A2B24">
              <w:rPr>
                <w:rFonts w:ascii="TimesNewRoman" w:hAnsi="宋体" w:hint="eastAsia"/>
                <w:b/>
                <w:sz w:val="24"/>
              </w:rPr>
              <w:t>、信用期</w:t>
            </w:r>
            <w:r>
              <w:rPr>
                <w:rFonts w:ascii="TimesNewRoman" w:hAnsi="宋体" w:hint="eastAsia"/>
                <w:b/>
                <w:sz w:val="24"/>
              </w:rPr>
              <w:t>情况如何？</w:t>
            </w:r>
            <w:r w:rsidR="008A2B24">
              <w:rPr>
                <w:rFonts w:ascii="TimesNewRoman" w:hAnsi="宋体" w:hint="eastAsia"/>
                <w:b/>
                <w:sz w:val="24"/>
              </w:rPr>
              <w:t>海外订单会有所不同吗？</w:t>
            </w:r>
          </w:p>
          <w:p w:rsidR="00A2270E" w:rsidRPr="00D95CA3" w:rsidRDefault="00456D1D" w:rsidP="00D95CA3">
            <w:pPr>
              <w:spacing w:line="480" w:lineRule="atLeast"/>
              <w:ind w:firstLineChars="147" w:firstLine="354"/>
              <w:rPr>
                <w:rFonts w:ascii="TimesNewRoman" w:hAnsi="宋体"/>
                <w:b/>
                <w:sz w:val="24"/>
              </w:rPr>
            </w:pPr>
            <w:r>
              <w:rPr>
                <w:rFonts w:ascii="TimesNewRoman" w:hAnsi="宋体" w:hint="eastAsia"/>
                <w:b/>
                <w:sz w:val="24"/>
              </w:rPr>
              <w:t>答：</w:t>
            </w:r>
            <w:r w:rsidR="008A2B24" w:rsidRPr="008A2B24">
              <w:rPr>
                <w:rFonts w:ascii="TimesNewRoman" w:hAnsi="宋体"/>
                <w:sz w:val="24"/>
              </w:rPr>
              <w:t>公司</w:t>
            </w:r>
            <w:r w:rsidR="00D95CA3">
              <w:rPr>
                <w:rFonts w:ascii="TimesNewRoman" w:hAnsi="宋体" w:hint="eastAsia"/>
                <w:sz w:val="24"/>
              </w:rPr>
              <w:t>订单</w:t>
            </w:r>
            <w:r w:rsidR="008A2B24" w:rsidRPr="008A2B24">
              <w:rPr>
                <w:rFonts w:ascii="TimesNewRoman" w:hAnsi="宋体"/>
                <w:sz w:val="24"/>
              </w:rPr>
              <w:t>结算方式主要为“客户下单</w:t>
            </w:r>
            <w:r w:rsidR="008A2B24" w:rsidRPr="008A2B24">
              <w:rPr>
                <w:rFonts w:ascii="TimesNewRoman" w:hAnsi="宋体"/>
                <w:sz w:val="24"/>
              </w:rPr>
              <w:t>-</w:t>
            </w:r>
            <w:r w:rsidR="008A2B24" w:rsidRPr="008A2B24">
              <w:rPr>
                <w:rFonts w:ascii="TimesNewRoman" w:hAnsi="宋体"/>
                <w:sz w:val="24"/>
              </w:rPr>
              <w:t>产品发货</w:t>
            </w:r>
            <w:r w:rsidR="008A2B24" w:rsidRPr="008A2B24">
              <w:rPr>
                <w:rFonts w:ascii="TimesNewRoman" w:hAnsi="宋体"/>
                <w:sz w:val="24"/>
              </w:rPr>
              <w:t>-</w:t>
            </w:r>
            <w:r w:rsidR="008A2B24" w:rsidRPr="008A2B24">
              <w:rPr>
                <w:rFonts w:ascii="TimesNewRoman" w:hAnsi="宋体"/>
                <w:sz w:val="24"/>
              </w:rPr>
              <w:t>客户验收</w:t>
            </w:r>
            <w:r w:rsidR="008A2B24" w:rsidRPr="008A2B24">
              <w:rPr>
                <w:rFonts w:ascii="TimesNewRoman" w:hAnsi="宋体"/>
                <w:sz w:val="24"/>
              </w:rPr>
              <w:t>-</w:t>
            </w:r>
            <w:r w:rsidR="008A2B24" w:rsidRPr="008A2B24">
              <w:rPr>
                <w:rFonts w:ascii="TimesNewRoman" w:hAnsi="宋体"/>
                <w:sz w:val="24"/>
              </w:rPr>
              <w:t>质保期结束”的分步收款方式。公司根据客户的订单规模、合作历史、商业信用和结算需求，以及双方商业谈判的情况，不同客户的付款条件可能会有所不同，一般在签署订单、发货时各收一笔预收款，合计金额占订单金额</w:t>
            </w:r>
            <w:r w:rsidR="008A2B24" w:rsidRPr="008A2B24">
              <w:rPr>
                <w:rFonts w:ascii="TimesNewRoman" w:hAnsi="宋体"/>
                <w:sz w:val="24"/>
              </w:rPr>
              <w:t>40%-60%</w:t>
            </w:r>
            <w:r w:rsidR="008A2B24" w:rsidRPr="008A2B24">
              <w:rPr>
                <w:rFonts w:ascii="TimesNewRoman" w:hAnsi="宋体"/>
                <w:sz w:val="24"/>
              </w:rPr>
              <w:t>，验收后合计收取到订单金额的</w:t>
            </w:r>
            <w:r w:rsidR="008A2B24" w:rsidRPr="008A2B24">
              <w:rPr>
                <w:rFonts w:ascii="TimesNewRoman" w:hAnsi="宋体"/>
                <w:sz w:val="24"/>
              </w:rPr>
              <w:t>80%-100%</w:t>
            </w:r>
            <w:r w:rsidR="008A2B24" w:rsidRPr="008A2B24">
              <w:rPr>
                <w:rFonts w:ascii="TimesNewRoman" w:hAnsi="宋体"/>
                <w:sz w:val="24"/>
              </w:rPr>
              <w:t>，存在质保金条款的订单或合同于质保期结束收齐尾款。</w:t>
            </w:r>
            <w:r w:rsidR="00D95CA3">
              <w:rPr>
                <w:rFonts w:ascii="TimesNewRoman" w:hAnsi="宋体" w:hint="eastAsia"/>
                <w:sz w:val="24"/>
              </w:rPr>
              <w:t>海外订单在发货时收的预收款可能略高于国内，大概合计占订单金额</w:t>
            </w:r>
            <w:r w:rsidR="00D95CA3">
              <w:rPr>
                <w:rFonts w:ascii="TimesNewRoman" w:hAnsi="宋体" w:hint="eastAsia"/>
                <w:sz w:val="24"/>
              </w:rPr>
              <w:t>6</w:t>
            </w:r>
            <w:r w:rsidR="00D95CA3">
              <w:rPr>
                <w:rFonts w:ascii="TimesNewRoman" w:hAnsi="宋体"/>
                <w:sz w:val="24"/>
              </w:rPr>
              <w:t>0%</w:t>
            </w:r>
            <w:r w:rsidR="00D95CA3">
              <w:rPr>
                <w:rFonts w:ascii="TimesNewRoman" w:hAnsi="宋体" w:hint="eastAsia"/>
                <w:sz w:val="24"/>
              </w:rPr>
              <w:t>-</w:t>
            </w:r>
            <w:r w:rsidR="00D95CA3">
              <w:rPr>
                <w:rFonts w:ascii="TimesNewRoman" w:hAnsi="宋体"/>
                <w:sz w:val="24"/>
              </w:rPr>
              <w:t>70%</w:t>
            </w:r>
            <w:r w:rsidR="00D95CA3">
              <w:rPr>
                <w:rFonts w:ascii="TimesNewRoman" w:hAnsi="宋体" w:hint="eastAsia"/>
                <w:sz w:val="24"/>
              </w:rPr>
              <w:t>。</w:t>
            </w:r>
            <w:r w:rsidR="00D95CA3" w:rsidRPr="00D95CA3">
              <w:rPr>
                <w:rFonts w:ascii="TimesNewRoman" w:hAnsi="宋体" w:hint="eastAsia"/>
                <w:sz w:val="24"/>
              </w:rPr>
              <w:t>关于信用期方面，</w:t>
            </w:r>
            <w:r w:rsidR="00D2384F" w:rsidRPr="00D2384F">
              <w:rPr>
                <w:rFonts w:ascii="TimesNewRoman" w:hAnsi="宋体" w:hint="eastAsia"/>
                <w:sz w:val="24"/>
              </w:rPr>
              <w:t>公司过去对于消费类锂电设备主要客户的信用期政策多数为</w:t>
            </w:r>
            <w:r w:rsidR="00D2384F" w:rsidRPr="00D2384F">
              <w:rPr>
                <w:rFonts w:ascii="TimesNewRoman" w:hAnsi="宋体" w:hint="eastAsia"/>
                <w:sz w:val="24"/>
              </w:rPr>
              <w:t>3</w:t>
            </w:r>
            <w:r w:rsidR="00D2384F" w:rsidRPr="00D2384F">
              <w:rPr>
                <w:rFonts w:ascii="TimesNewRoman" w:hAnsi="宋体" w:hint="eastAsia"/>
                <w:sz w:val="24"/>
              </w:rPr>
              <w:t>个月，而由于动力类锂电池设备对应生产产品多为新能源汽车，较消费类锂电池设备产品的销售周期更长，因此公司给予动力类锂电池客户的信用周期一般为</w:t>
            </w:r>
            <w:r w:rsidR="00D2384F" w:rsidRPr="00D2384F">
              <w:rPr>
                <w:rFonts w:ascii="TimesNewRoman" w:hAnsi="宋体" w:hint="eastAsia"/>
                <w:sz w:val="24"/>
              </w:rPr>
              <w:t>6</w:t>
            </w:r>
            <w:r w:rsidR="00D2384F" w:rsidRPr="00D2384F">
              <w:rPr>
                <w:rFonts w:ascii="TimesNewRoman" w:hAnsi="宋体" w:hint="eastAsia"/>
                <w:sz w:val="24"/>
              </w:rPr>
              <w:t>个月左右，较消费类锂电设备客户更长</w:t>
            </w:r>
            <w:r w:rsidR="00D95CA3">
              <w:rPr>
                <w:rFonts w:ascii="TimesNewRoman" w:hAnsi="宋体" w:hint="eastAsia"/>
                <w:sz w:val="24"/>
              </w:rPr>
              <w:t>。</w:t>
            </w:r>
          </w:p>
        </w:tc>
      </w:tr>
      <w:tr w:rsidR="00D3704D" w:rsidRPr="00943E94" w:rsidTr="00FA21B0">
        <w:trPr>
          <w:trHeight w:val="247"/>
          <w:jc w:val="center"/>
        </w:trPr>
        <w:tc>
          <w:tcPr>
            <w:tcW w:w="1908" w:type="dxa"/>
            <w:vAlign w:val="center"/>
          </w:tcPr>
          <w:p w:rsidR="00D3704D" w:rsidRPr="00943E94" w:rsidRDefault="00D3704D" w:rsidP="002749ED">
            <w:pPr>
              <w:spacing w:line="480" w:lineRule="atLeast"/>
              <w:rPr>
                <w:rFonts w:ascii="TimesNewRoman" w:hAnsi="TimesNewRoman" w:hint="eastAsia"/>
                <w:b/>
                <w:sz w:val="24"/>
              </w:rPr>
            </w:pPr>
            <w:r w:rsidRPr="00943E94">
              <w:rPr>
                <w:rFonts w:ascii="TimesNewRoman" w:hAnsi="宋体" w:hint="eastAsia"/>
                <w:b/>
                <w:sz w:val="24"/>
              </w:rPr>
              <w:lastRenderedPageBreak/>
              <w:t>日期</w:t>
            </w:r>
          </w:p>
        </w:tc>
        <w:tc>
          <w:tcPr>
            <w:tcW w:w="7117" w:type="dxa"/>
          </w:tcPr>
          <w:p w:rsidR="00D3704D" w:rsidRPr="00943E94" w:rsidRDefault="007072C2" w:rsidP="00A8080D">
            <w:pPr>
              <w:spacing w:line="480" w:lineRule="atLeast"/>
              <w:rPr>
                <w:rFonts w:ascii="TimesNewRoman" w:hAnsi="TimesNewRoman" w:hint="eastAsia"/>
                <w:sz w:val="24"/>
                <w:szCs w:val="24"/>
              </w:rPr>
            </w:pPr>
            <w:r w:rsidRPr="007072C2">
              <w:rPr>
                <w:rFonts w:ascii="TimesNewRoman" w:hAnsi="TimesNewRoman" w:hint="eastAsia"/>
                <w:sz w:val="24"/>
              </w:rPr>
              <w:t>2024</w:t>
            </w:r>
            <w:r w:rsidRPr="007072C2">
              <w:rPr>
                <w:rFonts w:ascii="TimesNewRoman" w:hAnsi="TimesNewRoman" w:hint="eastAsia"/>
                <w:sz w:val="24"/>
              </w:rPr>
              <w:t>年</w:t>
            </w:r>
            <w:r w:rsidRPr="007072C2">
              <w:rPr>
                <w:rFonts w:ascii="TimesNewRoman" w:hAnsi="TimesNewRoman" w:hint="eastAsia"/>
                <w:sz w:val="24"/>
              </w:rPr>
              <w:t>7</w:t>
            </w:r>
            <w:r w:rsidRPr="007072C2">
              <w:rPr>
                <w:rFonts w:ascii="TimesNewRoman" w:hAnsi="TimesNewRoman" w:hint="eastAsia"/>
                <w:sz w:val="24"/>
              </w:rPr>
              <w:t>月</w:t>
            </w:r>
            <w:r w:rsidRPr="007072C2">
              <w:rPr>
                <w:rFonts w:ascii="TimesNewRoman" w:hAnsi="TimesNewRoman" w:hint="eastAsia"/>
                <w:sz w:val="24"/>
              </w:rPr>
              <w:t>11</w:t>
            </w:r>
            <w:r w:rsidRPr="007072C2">
              <w:rPr>
                <w:rFonts w:ascii="TimesNewRoman" w:hAnsi="TimesNewRoman" w:hint="eastAsia"/>
                <w:sz w:val="24"/>
              </w:rPr>
              <w:t>日</w:t>
            </w:r>
          </w:p>
        </w:tc>
      </w:tr>
    </w:tbl>
    <w:p w:rsidR="00134783" w:rsidRDefault="00134783" w:rsidP="00D3704D">
      <w:pPr>
        <w:rPr>
          <w:rFonts w:ascii="TimesNewRoman" w:hAnsi="TimesNewRoman" w:hint="eastAsia"/>
        </w:rPr>
      </w:pPr>
    </w:p>
    <w:sectPr w:rsidR="00134783" w:rsidSect="002749ED">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05" w:rsidRDefault="00BA3205" w:rsidP="00D3704D">
      <w:r>
        <w:separator/>
      </w:r>
    </w:p>
  </w:endnote>
  <w:endnote w:type="continuationSeparator" w:id="0">
    <w:p w:rsidR="00BA3205" w:rsidRDefault="00BA3205" w:rsidP="00D3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555993"/>
      <w:docPartObj>
        <w:docPartGallery w:val="Page Numbers (Bottom of Page)"/>
        <w:docPartUnique/>
      </w:docPartObj>
    </w:sdtPr>
    <w:sdtEndPr/>
    <w:sdtContent>
      <w:p w:rsidR="00BA3205" w:rsidRDefault="00BA3205">
        <w:pPr>
          <w:pStyle w:val="a5"/>
          <w:jc w:val="center"/>
        </w:pPr>
        <w:r>
          <w:fldChar w:fldCharType="begin"/>
        </w:r>
        <w:r>
          <w:instrText>PAGE   \* MERGEFORMAT</w:instrText>
        </w:r>
        <w:r>
          <w:fldChar w:fldCharType="separate"/>
        </w:r>
        <w:r w:rsidR="00852F8B" w:rsidRPr="00852F8B">
          <w:rPr>
            <w:noProof/>
            <w:lang w:val="zh-CN"/>
          </w:rPr>
          <w:t>4</w:t>
        </w:r>
        <w:r>
          <w:fldChar w:fldCharType="end"/>
        </w:r>
      </w:p>
    </w:sdtContent>
  </w:sdt>
  <w:p w:rsidR="00BA3205" w:rsidRDefault="00BA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05" w:rsidRDefault="00BA3205" w:rsidP="00D3704D">
      <w:r>
        <w:separator/>
      </w:r>
    </w:p>
  </w:footnote>
  <w:footnote w:type="continuationSeparator" w:id="0">
    <w:p w:rsidR="00BA3205" w:rsidRDefault="00BA3205" w:rsidP="00D3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9FB"/>
    <w:multiLevelType w:val="hybridMultilevel"/>
    <w:tmpl w:val="7E062644"/>
    <w:lvl w:ilvl="0" w:tplc="A502BDB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8F13ED6"/>
    <w:multiLevelType w:val="hybridMultilevel"/>
    <w:tmpl w:val="D6B6AE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4D"/>
    <w:rsid w:val="00007235"/>
    <w:rsid w:val="00007434"/>
    <w:rsid w:val="00007A64"/>
    <w:rsid w:val="0001134B"/>
    <w:rsid w:val="0001191E"/>
    <w:rsid w:val="00016D7C"/>
    <w:rsid w:val="00022326"/>
    <w:rsid w:val="000235A1"/>
    <w:rsid w:val="00032D68"/>
    <w:rsid w:val="000335F6"/>
    <w:rsid w:val="00036D0D"/>
    <w:rsid w:val="00037659"/>
    <w:rsid w:val="00041BD6"/>
    <w:rsid w:val="0004414C"/>
    <w:rsid w:val="00045A41"/>
    <w:rsid w:val="00051230"/>
    <w:rsid w:val="000649C3"/>
    <w:rsid w:val="0007293B"/>
    <w:rsid w:val="0007604F"/>
    <w:rsid w:val="00081817"/>
    <w:rsid w:val="00082349"/>
    <w:rsid w:val="00082551"/>
    <w:rsid w:val="000846EC"/>
    <w:rsid w:val="0009127C"/>
    <w:rsid w:val="00094F01"/>
    <w:rsid w:val="000963FF"/>
    <w:rsid w:val="000A17B7"/>
    <w:rsid w:val="000A6856"/>
    <w:rsid w:val="000A74FD"/>
    <w:rsid w:val="000B0A61"/>
    <w:rsid w:val="000B609D"/>
    <w:rsid w:val="000B773C"/>
    <w:rsid w:val="000C4258"/>
    <w:rsid w:val="000D0E7C"/>
    <w:rsid w:val="000D29EC"/>
    <w:rsid w:val="00100FB7"/>
    <w:rsid w:val="00103433"/>
    <w:rsid w:val="00105146"/>
    <w:rsid w:val="001123B3"/>
    <w:rsid w:val="00113756"/>
    <w:rsid w:val="00120DE0"/>
    <w:rsid w:val="001254C0"/>
    <w:rsid w:val="00126989"/>
    <w:rsid w:val="00132274"/>
    <w:rsid w:val="00134783"/>
    <w:rsid w:val="00136249"/>
    <w:rsid w:val="00136A3B"/>
    <w:rsid w:val="00140353"/>
    <w:rsid w:val="00141F83"/>
    <w:rsid w:val="0014748C"/>
    <w:rsid w:val="00163F1B"/>
    <w:rsid w:val="00164FB8"/>
    <w:rsid w:val="001662AD"/>
    <w:rsid w:val="00174E5B"/>
    <w:rsid w:val="001752A3"/>
    <w:rsid w:val="0018028C"/>
    <w:rsid w:val="001828EB"/>
    <w:rsid w:val="001A5A36"/>
    <w:rsid w:val="001C2898"/>
    <w:rsid w:val="001C6DC4"/>
    <w:rsid w:val="001F4725"/>
    <w:rsid w:val="00206444"/>
    <w:rsid w:val="002137E2"/>
    <w:rsid w:val="002264AA"/>
    <w:rsid w:val="00241ED6"/>
    <w:rsid w:val="00244464"/>
    <w:rsid w:val="00246516"/>
    <w:rsid w:val="00256CBC"/>
    <w:rsid w:val="002629C2"/>
    <w:rsid w:val="002633B7"/>
    <w:rsid w:val="002713D9"/>
    <w:rsid w:val="002749ED"/>
    <w:rsid w:val="00281C82"/>
    <w:rsid w:val="002910E9"/>
    <w:rsid w:val="002932A1"/>
    <w:rsid w:val="002941F4"/>
    <w:rsid w:val="002A5EDA"/>
    <w:rsid w:val="002B0986"/>
    <w:rsid w:val="002B0EC6"/>
    <w:rsid w:val="002B2BC2"/>
    <w:rsid w:val="002C249C"/>
    <w:rsid w:val="002C2A88"/>
    <w:rsid w:val="002C654B"/>
    <w:rsid w:val="002D602B"/>
    <w:rsid w:val="002D60DE"/>
    <w:rsid w:val="002D7AAC"/>
    <w:rsid w:val="002E2D6C"/>
    <w:rsid w:val="003017A7"/>
    <w:rsid w:val="00312019"/>
    <w:rsid w:val="00316A4E"/>
    <w:rsid w:val="003219A5"/>
    <w:rsid w:val="00322B99"/>
    <w:rsid w:val="0032749B"/>
    <w:rsid w:val="00335037"/>
    <w:rsid w:val="00337232"/>
    <w:rsid w:val="00337761"/>
    <w:rsid w:val="0034225E"/>
    <w:rsid w:val="00350008"/>
    <w:rsid w:val="00354F44"/>
    <w:rsid w:val="00364CA4"/>
    <w:rsid w:val="00366D14"/>
    <w:rsid w:val="00370EE6"/>
    <w:rsid w:val="003711B6"/>
    <w:rsid w:val="003A0A09"/>
    <w:rsid w:val="003A4BC5"/>
    <w:rsid w:val="003A6AD9"/>
    <w:rsid w:val="003B678A"/>
    <w:rsid w:val="003C23EA"/>
    <w:rsid w:val="003D0B0D"/>
    <w:rsid w:val="003E6CF9"/>
    <w:rsid w:val="003F018A"/>
    <w:rsid w:val="003F1AE1"/>
    <w:rsid w:val="00402CC2"/>
    <w:rsid w:val="00407621"/>
    <w:rsid w:val="004104ED"/>
    <w:rsid w:val="00413163"/>
    <w:rsid w:val="00415E89"/>
    <w:rsid w:val="00416724"/>
    <w:rsid w:val="00421CAC"/>
    <w:rsid w:val="00422D27"/>
    <w:rsid w:val="004401A3"/>
    <w:rsid w:val="004422C1"/>
    <w:rsid w:val="0044659F"/>
    <w:rsid w:val="0044774A"/>
    <w:rsid w:val="004511AD"/>
    <w:rsid w:val="004549D0"/>
    <w:rsid w:val="00456D1D"/>
    <w:rsid w:val="00462A84"/>
    <w:rsid w:val="0046364D"/>
    <w:rsid w:val="00474CEB"/>
    <w:rsid w:val="004973D8"/>
    <w:rsid w:val="004A0EBC"/>
    <w:rsid w:val="004C4573"/>
    <w:rsid w:val="004C57EA"/>
    <w:rsid w:val="004D0004"/>
    <w:rsid w:val="004D2728"/>
    <w:rsid w:val="004D7CC8"/>
    <w:rsid w:val="004F3751"/>
    <w:rsid w:val="004F605B"/>
    <w:rsid w:val="00502D46"/>
    <w:rsid w:val="00506085"/>
    <w:rsid w:val="00507B3C"/>
    <w:rsid w:val="00511DA7"/>
    <w:rsid w:val="00526844"/>
    <w:rsid w:val="0053174A"/>
    <w:rsid w:val="00532440"/>
    <w:rsid w:val="0053397E"/>
    <w:rsid w:val="005341CB"/>
    <w:rsid w:val="00543F76"/>
    <w:rsid w:val="00550615"/>
    <w:rsid w:val="0055128B"/>
    <w:rsid w:val="00551555"/>
    <w:rsid w:val="005715D1"/>
    <w:rsid w:val="00573AD1"/>
    <w:rsid w:val="005A4790"/>
    <w:rsid w:val="005B5582"/>
    <w:rsid w:val="005B6EB0"/>
    <w:rsid w:val="005C1331"/>
    <w:rsid w:val="005C1B38"/>
    <w:rsid w:val="005C7F55"/>
    <w:rsid w:val="005E11B8"/>
    <w:rsid w:val="005F06D4"/>
    <w:rsid w:val="00601EB3"/>
    <w:rsid w:val="00606691"/>
    <w:rsid w:val="006222E6"/>
    <w:rsid w:val="00633E3A"/>
    <w:rsid w:val="00663B2C"/>
    <w:rsid w:val="00664FB0"/>
    <w:rsid w:val="00674522"/>
    <w:rsid w:val="00691AD0"/>
    <w:rsid w:val="006946AA"/>
    <w:rsid w:val="006A4AF2"/>
    <w:rsid w:val="006A52E0"/>
    <w:rsid w:val="006A6F3C"/>
    <w:rsid w:val="006B12B3"/>
    <w:rsid w:val="006C21D6"/>
    <w:rsid w:val="006D42A9"/>
    <w:rsid w:val="006D59F1"/>
    <w:rsid w:val="006E18AA"/>
    <w:rsid w:val="006F05CE"/>
    <w:rsid w:val="006F3FA6"/>
    <w:rsid w:val="0070033E"/>
    <w:rsid w:val="00704870"/>
    <w:rsid w:val="00705E75"/>
    <w:rsid w:val="007072C2"/>
    <w:rsid w:val="0070751F"/>
    <w:rsid w:val="00717633"/>
    <w:rsid w:val="00722173"/>
    <w:rsid w:val="00727BEB"/>
    <w:rsid w:val="00727C04"/>
    <w:rsid w:val="0073572A"/>
    <w:rsid w:val="00741124"/>
    <w:rsid w:val="007455B6"/>
    <w:rsid w:val="00746AA1"/>
    <w:rsid w:val="0076447D"/>
    <w:rsid w:val="0078004C"/>
    <w:rsid w:val="007821B2"/>
    <w:rsid w:val="00792DD2"/>
    <w:rsid w:val="007933A1"/>
    <w:rsid w:val="007B76EC"/>
    <w:rsid w:val="007C56EE"/>
    <w:rsid w:val="007D4640"/>
    <w:rsid w:val="007D4C43"/>
    <w:rsid w:val="007E0E61"/>
    <w:rsid w:val="007E49F6"/>
    <w:rsid w:val="007E7623"/>
    <w:rsid w:val="007F6CCE"/>
    <w:rsid w:val="008034E4"/>
    <w:rsid w:val="00812B86"/>
    <w:rsid w:val="00816D5A"/>
    <w:rsid w:val="00820892"/>
    <w:rsid w:val="00822259"/>
    <w:rsid w:val="00825D5E"/>
    <w:rsid w:val="00826D25"/>
    <w:rsid w:val="00835A7C"/>
    <w:rsid w:val="0084293A"/>
    <w:rsid w:val="00844EF8"/>
    <w:rsid w:val="00847AFF"/>
    <w:rsid w:val="00847C3F"/>
    <w:rsid w:val="00852F8B"/>
    <w:rsid w:val="00871A26"/>
    <w:rsid w:val="00883D42"/>
    <w:rsid w:val="008A13EF"/>
    <w:rsid w:val="008A2B24"/>
    <w:rsid w:val="008B460B"/>
    <w:rsid w:val="008C175B"/>
    <w:rsid w:val="008C2CC0"/>
    <w:rsid w:val="008C6760"/>
    <w:rsid w:val="008E1538"/>
    <w:rsid w:val="008E246B"/>
    <w:rsid w:val="008E2BFB"/>
    <w:rsid w:val="008E6C37"/>
    <w:rsid w:val="008E76FF"/>
    <w:rsid w:val="008F70F5"/>
    <w:rsid w:val="008F7B85"/>
    <w:rsid w:val="00900C17"/>
    <w:rsid w:val="009027BF"/>
    <w:rsid w:val="00907CB2"/>
    <w:rsid w:val="009204B8"/>
    <w:rsid w:val="00924D44"/>
    <w:rsid w:val="00932A6C"/>
    <w:rsid w:val="00941380"/>
    <w:rsid w:val="00943C49"/>
    <w:rsid w:val="00943D37"/>
    <w:rsid w:val="00943E94"/>
    <w:rsid w:val="0095733F"/>
    <w:rsid w:val="00960BBD"/>
    <w:rsid w:val="0096570B"/>
    <w:rsid w:val="00971A60"/>
    <w:rsid w:val="0098523C"/>
    <w:rsid w:val="00986394"/>
    <w:rsid w:val="00990D6F"/>
    <w:rsid w:val="00997C6B"/>
    <w:rsid w:val="009A2BDB"/>
    <w:rsid w:val="009A6271"/>
    <w:rsid w:val="009A64A5"/>
    <w:rsid w:val="009B1061"/>
    <w:rsid w:val="009B5973"/>
    <w:rsid w:val="009B7165"/>
    <w:rsid w:val="009C04F4"/>
    <w:rsid w:val="009C0B5A"/>
    <w:rsid w:val="009C1A3F"/>
    <w:rsid w:val="009C50BB"/>
    <w:rsid w:val="009C5485"/>
    <w:rsid w:val="009D0B5E"/>
    <w:rsid w:val="009D11B8"/>
    <w:rsid w:val="009D2D7D"/>
    <w:rsid w:val="009D36B6"/>
    <w:rsid w:val="009D5F85"/>
    <w:rsid w:val="009E0AD4"/>
    <w:rsid w:val="009E1DF1"/>
    <w:rsid w:val="009E2DA5"/>
    <w:rsid w:val="009E68F0"/>
    <w:rsid w:val="009F518A"/>
    <w:rsid w:val="009F68B1"/>
    <w:rsid w:val="00A02A37"/>
    <w:rsid w:val="00A0744B"/>
    <w:rsid w:val="00A113FC"/>
    <w:rsid w:val="00A11C23"/>
    <w:rsid w:val="00A2270E"/>
    <w:rsid w:val="00A30CC8"/>
    <w:rsid w:val="00A34FDF"/>
    <w:rsid w:val="00A422F1"/>
    <w:rsid w:val="00A57249"/>
    <w:rsid w:val="00A60105"/>
    <w:rsid w:val="00A64ABE"/>
    <w:rsid w:val="00A7584E"/>
    <w:rsid w:val="00A8080D"/>
    <w:rsid w:val="00A85814"/>
    <w:rsid w:val="00A92AD4"/>
    <w:rsid w:val="00A931C5"/>
    <w:rsid w:val="00AA0E54"/>
    <w:rsid w:val="00AA1E47"/>
    <w:rsid w:val="00AA7CF7"/>
    <w:rsid w:val="00AB6086"/>
    <w:rsid w:val="00AC09A1"/>
    <w:rsid w:val="00AD4C75"/>
    <w:rsid w:val="00AD6000"/>
    <w:rsid w:val="00AE43FA"/>
    <w:rsid w:val="00AE7BA9"/>
    <w:rsid w:val="00AE7FF6"/>
    <w:rsid w:val="00AF5ACA"/>
    <w:rsid w:val="00AF6F58"/>
    <w:rsid w:val="00B00CDE"/>
    <w:rsid w:val="00B11A28"/>
    <w:rsid w:val="00B1421C"/>
    <w:rsid w:val="00B15BDE"/>
    <w:rsid w:val="00B22933"/>
    <w:rsid w:val="00B246C1"/>
    <w:rsid w:val="00B32754"/>
    <w:rsid w:val="00B37BD0"/>
    <w:rsid w:val="00B37DDB"/>
    <w:rsid w:val="00B40F71"/>
    <w:rsid w:val="00B45FBA"/>
    <w:rsid w:val="00B529A8"/>
    <w:rsid w:val="00B52A9F"/>
    <w:rsid w:val="00B555E5"/>
    <w:rsid w:val="00B559A3"/>
    <w:rsid w:val="00B55C02"/>
    <w:rsid w:val="00B7797E"/>
    <w:rsid w:val="00B85DA8"/>
    <w:rsid w:val="00B87599"/>
    <w:rsid w:val="00B9062B"/>
    <w:rsid w:val="00B90BC3"/>
    <w:rsid w:val="00BA3205"/>
    <w:rsid w:val="00BA73F6"/>
    <w:rsid w:val="00BB211E"/>
    <w:rsid w:val="00BB2769"/>
    <w:rsid w:val="00BB2DB5"/>
    <w:rsid w:val="00BB3B5B"/>
    <w:rsid w:val="00BB47EF"/>
    <w:rsid w:val="00BB7D88"/>
    <w:rsid w:val="00BC7406"/>
    <w:rsid w:val="00BE4D98"/>
    <w:rsid w:val="00BF1090"/>
    <w:rsid w:val="00C04DF9"/>
    <w:rsid w:val="00C11C7A"/>
    <w:rsid w:val="00C21412"/>
    <w:rsid w:val="00C225EA"/>
    <w:rsid w:val="00C25D36"/>
    <w:rsid w:val="00C30B8F"/>
    <w:rsid w:val="00C320A4"/>
    <w:rsid w:val="00C35433"/>
    <w:rsid w:val="00C36D80"/>
    <w:rsid w:val="00C45E19"/>
    <w:rsid w:val="00C64189"/>
    <w:rsid w:val="00C840C7"/>
    <w:rsid w:val="00C842DA"/>
    <w:rsid w:val="00CA6204"/>
    <w:rsid w:val="00CA774D"/>
    <w:rsid w:val="00CD03F9"/>
    <w:rsid w:val="00CE1111"/>
    <w:rsid w:val="00CE3A25"/>
    <w:rsid w:val="00CE3BE3"/>
    <w:rsid w:val="00CF4C2C"/>
    <w:rsid w:val="00D004CF"/>
    <w:rsid w:val="00D20834"/>
    <w:rsid w:val="00D21270"/>
    <w:rsid w:val="00D21866"/>
    <w:rsid w:val="00D2384F"/>
    <w:rsid w:val="00D305D4"/>
    <w:rsid w:val="00D310AF"/>
    <w:rsid w:val="00D3704D"/>
    <w:rsid w:val="00D51919"/>
    <w:rsid w:val="00D5243A"/>
    <w:rsid w:val="00D57055"/>
    <w:rsid w:val="00D654EC"/>
    <w:rsid w:val="00D66C56"/>
    <w:rsid w:val="00D74783"/>
    <w:rsid w:val="00D75691"/>
    <w:rsid w:val="00D7611B"/>
    <w:rsid w:val="00D84CE9"/>
    <w:rsid w:val="00D9280E"/>
    <w:rsid w:val="00D934AE"/>
    <w:rsid w:val="00D95CA3"/>
    <w:rsid w:val="00DA1279"/>
    <w:rsid w:val="00DA2DE9"/>
    <w:rsid w:val="00DA3D9B"/>
    <w:rsid w:val="00DA48B4"/>
    <w:rsid w:val="00DA6B6B"/>
    <w:rsid w:val="00DB0B87"/>
    <w:rsid w:val="00DC3E35"/>
    <w:rsid w:val="00DC6488"/>
    <w:rsid w:val="00DD5274"/>
    <w:rsid w:val="00DD553E"/>
    <w:rsid w:val="00DE1483"/>
    <w:rsid w:val="00DE56A1"/>
    <w:rsid w:val="00DF0E3E"/>
    <w:rsid w:val="00E05343"/>
    <w:rsid w:val="00E23AE5"/>
    <w:rsid w:val="00E272B5"/>
    <w:rsid w:val="00E3771B"/>
    <w:rsid w:val="00E41DBA"/>
    <w:rsid w:val="00E425C7"/>
    <w:rsid w:val="00E542BE"/>
    <w:rsid w:val="00E573F5"/>
    <w:rsid w:val="00E62CC4"/>
    <w:rsid w:val="00E67912"/>
    <w:rsid w:val="00E73989"/>
    <w:rsid w:val="00E772E3"/>
    <w:rsid w:val="00E80235"/>
    <w:rsid w:val="00E83A63"/>
    <w:rsid w:val="00E97CB9"/>
    <w:rsid w:val="00EA759E"/>
    <w:rsid w:val="00EA7DC4"/>
    <w:rsid w:val="00EB7D20"/>
    <w:rsid w:val="00EC1D56"/>
    <w:rsid w:val="00EC4BAE"/>
    <w:rsid w:val="00EE62D5"/>
    <w:rsid w:val="00EF3B7D"/>
    <w:rsid w:val="00F019FE"/>
    <w:rsid w:val="00F01A7F"/>
    <w:rsid w:val="00F02620"/>
    <w:rsid w:val="00F06CF7"/>
    <w:rsid w:val="00F10609"/>
    <w:rsid w:val="00F20482"/>
    <w:rsid w:val="00F22C6B"/>
    <w:rsid w:val="00F22E84"/>
    <w:rsid w:val="00F313A6"/>
    <w:rsid w:val="00F317EE"/>
    <w:rsid w:val="00F32670"/>
    <w:rsid w:val="00F355CA"/>
    <w:rsid w:val="00F37F6E"/>
    <w:rsid w:val="00F439F1"/>
    <w:rsid w:val="00F575CB"/>
    <w:rsid w:val="00F6410B"/>
    <w:rsid w:val="00F668D8"/>
    <w:rsid w:val="00F67693"/>
    <w:rsid w:val="00F8703D"/>
    <w:rsid w:val="00F91AFD"/>
    <w:rsid w:val="00F95DD9"/>
    <w:rsid w:val="00F97B2F"/>
    <w:rsid w:val="00FA21B0"/>
    <w:rsid w:val="00FA5F54"/>
    <w:rsid w:val="00FB20BD"/>
    <w:rsid w:val="00FB2E26"/>
    <w:rsid w:val="00FB739E"/>
    <w:rsid w:val="00FC0A2D"/>
    <w:rsid w:val="00FD064F"/>
    <w:rsid w:val="00FD7484"/>
    <w:rsid w:val="00FE5F79"/>
    <w:rsid w:val="00FE669E"/>
    <w:rsid w:val="00FE75A7"/>
    <w:rsid w:val="00FF11B5"/>
    <w:rsid w:val="00FF3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885A9D"/>
  <w15:docId w15:val="{B072319A-D240-4674-A8B9-94414C5E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04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704D"/>
    <w:rPr>
      <w:sz w:val="18"/>
      <w:szCs w:val="18"/>
    </w:rPr>
  </w:style>
  <w:style w:type="paragraph" w:styleId="a5">
    <w:name w:val="footer"/>
    <w:basedOn w:val="a"/>
    <w:link w:val="a6"/>
    <w:uiPriority w:val="99"/>
    <w:unhideWhenUsed/>
    <w:rsid w:val="00D370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704D"/>
    <w:rPr>
      <w:sz w:val="18"/>
      <w:szCs w:val="18"/>
    </w:rPr>
  </w:style>
  <w:style w:type="paragraph" w:customStyle="1" w:styleId="Default">
    <w:name w:val="Default"/>
    <w:rsid w:val="00B246C1"/>
    <w:pPr>
      <w:widowControl w:val="0"/>
      <w:autoSpaceDE w:val="0"/>
      <w:autoSpaceDN w:val="0"/>
      <w:adjustRightInd w:val="0"/>
    </w:pPr>
    <w:rPr>
      <w:rFonts w:ascii="宋体" w:eastAsia="宋体" w:cs="宋体"/>
      <w:color w:val="000000"/>
      <w:kern w:val="0"/>
      <w:sz w:val="24"/>
      <w:szCs w:val="24"/>
    </w:rPr>
  </w:style>
  <w:style w:type="character" w:styleId="a7">
    <w:name w:val="annotation reference"/>
    <w:basedOn w:val="a0"/>
    <w:uiPriority w:val="99"/>
    <w:semiHidden/>
    <w:unhideWhenUsed/>
    <w:rsid w:val="00941380"/>
    <w:rPr>
      <w:sz w:val="21"/>
      <w:szCs w:val="21"/>
    </w:rPr>
  </w:style>
  <w:style w:type="paragraph" w:styleId="a8">
    <w:name w:val="annotation text"/>
    <w:basedOn w:val="a"/>
    <w:link w:val="a9"/>
    <w:uiPriority w:val="99"/>
    <w:semiHidden/>
    <w:unhideWhenUsed/>
    <w:rsid w:val="00941380"/>
    <w:pPr>
      <w:jc w:val="left"/>
    </w:pPr>
  </w:style>
  <w:style w:type="character" w:customStyle="1" w:styleId="a9">
    <w:name w:val="批注文字 字符"/>
    <w:basedOn w:val="a0"/>
    <w:link w:val="a8"/>
    <w:uiPriority w:val="99"/>
    <w:semiHidden/>
    <w:rsid w:val="00941380"/>
    <w:rPr>
      <w:rFonts w:ascii="Times New Roman" w:eastAsia="宋体" w:hAnsi="Times New Roman" w:cs="Times New Roman"/>
      <w:szCs w:val="20"/>
    </w:rPr>
  </w:style>
  <w:style w:type="paragraph" w:styleId="aa">
    <w:name w:val="annotation subject"/>
    <w:basedOn w:val="a8"/>
    <w:next w:val="a8"/>
    <w:link w:val="ab"/>
    <w:uiPriority w:val="99"/>
    <w:semiHidden/>
    <w:unhideWhenUsed/>
    <w:rsid w:val="00941380"/>
    <w:rPr>
      <w:b/>
      <w:bCs/>
    </w:rPr>
  </w:style>
  <w:style w:type="character" w:customStyle="1" w:styleId="ab">
    <w:name w:val="批注主题 字符"/>
    <w:basedOn w:val="a9"/>
    <w:link w:val="aa"/>
    <w:uiPriority w:val="99"/>
    <w:semiHidden/>
    <w:rsid w:val="00941380"/>
    <w:rPr>
      <w:rFonts w:ascii="Times New Roman" w:eastAsia="宋体" w:hAnsi="Times New Roman" w:cs="Times New Roman"/>
      <w:b/>
      <w:bCs/>
      <w:szCs w:val="20"/>
    </w:rPr>
  </w:style>
  <w:style w:type="paragraph" w:styleId="ac">
    <w:name w:val="Balloon Text"/>
    <w:basedOn w:val="a"/>
    <w:link w:val="ad"/>
    <w:uiPriority w:val="99"/>
    <w:semiHidden/>
    <w:unhideWhenUsed/>
    <w:rsid w:val="00941380"/>
    <w:rPr>
      <w:sz w:val="18"/>
      <w:szCs w:val="18"/>
    </w:rPr>
  </w:style>
  <w:style w:type="character" w:customStyle="1" w:styleId="ad">
    <w:name w:val="批注框文本 字符"/>
    <w:basedOn w:val="a0"/>
    <w:link w:val="ac"/>
    <w:uiPriority w:val="99"/>
    <w:semiHidden/>
    <w:rsid w:val="00941380"/>
    <w:rPr>
      <w:rFonts w:ascii="Times New Roman" w:eastAsia="宋体" w:hAnsi="Times New Roman" w:cs="Times New Roman"/>
      <w:sz w:val="18"/>
      <w:szCs w:val="18"/>
    </w:rPr>
  </w:style>
  <w:style w:type="character" w:customStyle="1" w:styleId="hrefstyle">
    <w:name w:val="hrefstyle"/>
    <w:basedOn w:val="a0"/>
    <w:rsid w:val="00A30CC8"/>
  </w:style>
  <w:style w:type="character" w:styleId="ae">
    <w:name w:val="Emphasis"/>
    <w:basedOn w:val="a0"/>
    <w:uiPriority w:val="20"/>
    <w:qFormat/>
    <w:rsid w:val="000A6856"/>
    <w:rPr>
      <w:i/>
      <w:iCs/>
    </w:rPr>
  </w:style>
  <w:style w:type="paragraph" w:styleId="af">
    <w:name w:val="Normal (Web)"/>
    <w:basedOn w:val="a"/>
    <w:uiPriority w:val="99"/>
    <w:unhideWhenUsed/>
    <w:rsid w:val="007933A1"/>
    <w:pPr>
      <w:widowControl/>
      <w:spacing w:before="100" w:beforeAutospacing="1" w:after="100" w:afterAutospacing="1"/>
      <w:jc w:val="left"/>
    </w:pPr>
    <w:rPr>
      <w:rFonts w:ascii="宋体" w:hAnsi="宋体" w:cs="宋体"/>
      <w:kern w:val="0"/>
      <w:sz w:val="24"/>
      <w:szCs w:val="24"/>
    </w:rPr>
  </w:style>
  <w:style w:type="paragraph" w:styleId="af0">
    <w:name w:val="List Paragraph"/>
    <w:basedOn w:val="a"/>
    <w:uiPriority w:val="34"/>
    <w:qFormat/>
    <w:rsid w:val="00134783"/>
    <w:pPr>
      <w:ind w:firstLineChars="200" w:firstLine="420"/>
    </w:pPr>
    <w:rPr>
      <w:rFonts w:asciiTheme="minorHAnsi" w:eastAsiaTheme="minorEastAsia" w:hAnsiTheme="minorHAnsi" w:cstheme="minorBidi"/>
      <w:szCs w:val="22"/>
    </w:rPr>
  </w:style>
  <w:style w:type="character" w:customStyle="1" w:styleId="highlight">
    <w:name w:val="highlight"/>
    <w:basedOn w:val="a0"/>
    <w:rsid w:val="008A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7925">
      <w:bodyDiv w:val="1"/>
      <w:marLeft w:val="0"/>
      <w:marRight w:val="0"/>
      <w:marTop w:val="0"/>
      <w:marBottom w:val="0"/>
      <w:divBdr>
        <w:top w:val="none" w:sz="0" w:space="0" w:color="auto"/>
        <w:left w:val="none" w:sz="0" w:space="0" w:color="auto"/>
        <w:bottom w:val="none" w:sz="0" w:space="0" w:color="auto"/>
        <w:right w:val="none" w:sz="0" w:space="0" w:color="auto"/>
      </w:divBdr>
    </w:div>
    <w:div w:id="1316764688">
      <w:bodyDiv w:val="1"/>
      <w:marLeft w:val="0"/>
      <w:marRight w:val="0"/>
      <w:marTop w:val="0"/>
      <w:marBottom w:val="0"/>
      <w:divBdr>
        <w:top w:val="none" w:sz="0" w:space="0" w:color="auto"/>
        <w:left w:val="none" w:sz="0" w:space="0" w:color="auto"/>
        <w:bottom w:val="none" w:sz="0" w:space="0" w:color="auto"/>
        <w:right w:val="none" w:sz="0" w:space="0" w:color="auto"/>
      </w:divBdr>
    </w:div>
    <w:div w:id="1557274453">
      <w:bodyDiv w:val="1"/>
      <w:marLeft w:val="0"/>
      <w:marRight w:val="0"/>
      <w:marTop w:val="0"/>
      <w:marBottom w:val="0"/>
      <w:divBdr>
        <w:top w:val="none" w:sz="0" w:space="0" w:color="auto"/>
        <w:left w:val="none" w:sz="0" w:space="0" w:color="auto"/>
        <w:bottom w:val="none" w:sz="0" w:space="0" w:color="auto"/>
        <w:right w:val="none" w:sz="0" w:space="0" w:color="auto"/>
      </w:divBdr>
    </w:div>
    <w:div w:id="1635869168">
      <w:bodyDiv w:val="1"/>
      <w:marLeft w:val="0"/>
      <w:marRight w:val="0"/>
      <w:marTop w:val="0"/>
      <w:marBottom w:val="0"/>
      <w:divBdr>
        <w:top w:val="none" w:sz="0" w:space="0" w:color="auto"/>
        <w:left w:val="none" w:sz="0" w:space="0" w:color="auto"/>
        <w:bottom w:val="none" w:sz="0" w:space="0" w:color="auto"/>
        <w:right w:val="none" w:sz="0" w:space="0" w:color="auto"/>
      </w:divBdr>
    </w:div>
    <w:div w:id="1639677147">
      <w:bodyDiv w:val="1"/>
      <w:marLeft w:val="0"/>
      <w:marRight w:val="0"/>
      <w:marTop w:val="0"/>
      <w:marBottom w:val="0"/>
      <w:divBdr>
        <w:top w:val="none" w:sz="0" w:space="0" w:color="auto"/>
        <w:left w:val="none" w:sz="0" w:space="0" w:color="auto"/>
        <w:bottom w:val="none" w:sz="0" w:space="0" w:color="auto"/>
        <w:right w:val="none" w:sz="0" w:space="0" w:color="auto"/>
      </w:divBdr>
    </w:div>
    <w:div w:id="1822116309">
      <w:bodyDiv w:val="1"/>
      <w:marLeft w:val="0"/>
      <w:marRight w:val="0"/>
      <w:marTop w:val="0"/>
      <w:marBottom w:val="0"/>
      <w:divBdr>
        <w:top w:val="none" w:sz="0" w:space="0" w:color="auto"/>
        <w:left w:val="none" w:sz="0" w:space="0" w:color="auto"/>
        <w:bottom w:val="none" w:sz="0" w:space="0" w:color="auto"/>
        <w:right w:val="none" w:sz="0" w:space="0" w:color="auto"/>
      </w:divBdr>
    </w:div>
    <w:div w:id="1875918309">
      <w:bodyDiv w:val="1"/>
      <w:marLeft w:val="0"/>
      <w:marRight w:val="0"/>
      <w:marTop w:val="0"/>
      <w:marBottom w:val="0"/>
      <w:divBdr>
        <w:top w:val="none" w:sz="0" w:space="0" w:color="auto"/>
        <w:left w:val="none" w:sz="0" w:space="0" w:color="auto"/>
        <w:bottom w:val="none" w:sz="0" w:space="0" w:color="auto"/>
        <w:right w:val="none" w:sz="0" w:space="0" w:color="auto"/>
      </w:divBdr>
    </w:div>
    <w:div w:id="1885673827">
      <w:bodyDiv w:val="1"/>
      <w:marLeft w:val="0"/>
      <w:marRight w:val="0"/>
      <w:marTop w:val="0"/>
      <w:marBottom w:val="0"/>
      <w:divBdr>
        <w:top w:val="none" w:sz="0" w:space="0" w:color="auto"/>
        <w:left w:val="none" w:sz="0" w:space="0" w:color="auto"/>
        <w:bottom w:val="none" w:sz="0" w:space="0" w:color="auto"/>
        <w:right w:val="none" w:sz="0" w:space="0" w:color="auto"/>
      </w:divBdr>
    </w:div>
    <w:div w:id="1913733952">
      <w:bodyDiv w:val="1"/>
      <w:marLeft w:val="0"/>
      <w:marRight w:val="0"/>
      <w:marTop w:val="0"/>
      <w:marBottom w:val="0"/>
      <w:divBdr>
        <w:top w:val="none" w:sz="0" w:space="0" w:color="auto"/>
        <w:left w:val="none" w:sz="0" w:space="0" w:color="auto"/>
        <w:bottom w:val="none" w:sz="0" w:space="0" w:color="auto"/>
        <w:right w:val="none" w:sz="0" w:space="0" w:color="auto"/>
      </w:divBdr>
    </w:div>
    <w:div w:id="21462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CE668-83DF-49BF-8262-1D9B94F7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3209</TotalTime>
  <Pages>4</Pages>
  <Words>350</Words>
  <Characters>2000</Characters>
  <Application>Microsoft Office Word</Application>
  <DocSecurity>0</DocSecurity>
  <Lines>16</Lines>
  <Paragraphs>4</Paragraphs>
  <ScaleCrop>false</ScaleCrop>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yuanyuzhu</dc:creator>
  <cp:lastModifiedBy>陈丽凡</cp:lastModifiedBy>
  <cp:revision>76</cp:revision>
  <cp:lastPrinted>2024-07-15T03:11:00Z</cp:lastPrinted>
  <dcterms:created xsi:type="dcterms:W3CDTF">2022-04-09T08:03:00Z</dcterms:created>
  <dcterms:modified xsi:type="dcterms:W3CDTF">2024-07-15T04:14:00Z</dcterms:modified>
</cp:coreProperties>
</file>