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29" w:rsidRPr="00B05CF0" w:rsidRDefault="000C1DFC">
      <w:pPr>
        <w:rPr>
          <w:rFonts w:ascii="方正仿宋_GBK" w:eastAsia="方正仿宋_GBK" w:hAnsiTheme="minorEastAsia"/>
          <w:color w:val="000000" w:themeColor="text1"/>
          <w:sz w:val="28"/>
          <w:szCs w:val="28"/>
        </w:rPr>
      </w:pPr>
      <w:r w:rsidRPr="00B05CF0">
        <w:rPr>
          <w:rFonts w:ascii="方正仿宋_GBK" w:eastAsia="方正仿宋_GBK" w:hAnsiTheme="minorEastAsia" w:hint="eastAsia"/>
          <w:color w:val="000000" w:themeColor="text1"/>
          <w:sz w:val="28"/>
          <w:szCs w:val="28"/>
        </w:rPr>
        <w:t>证券代码：600</w:t>
      </w:r>
      <w:r w:rsidR="00544814" w:rsidRPr="00B05CF0">
        <w:rPr>
          <w:rFonts w:ascii="方正仿宋_GBK" w:eastAsia="方正仿宋_GBK" w:hAnsiTheme="minorEastAsia" w:hint="eastAsia"/>
          <w:color w:val="000000" w:themeColor="text1"/>
          <w:sz w:val="28"/>
          <w:szCs w:val="28"/>
        </w:rPr>
        <w:t>279</w:t>
      </w:r>
      <w:r w:rsidRPr="00B05CF0">
        <w:rPr>
          <w:rFonts w:ascii="方正仿宋_GBK" w:eastAsia="方正仿宋_GBK" w:hAnsiTheme="minorEastAsia" w:hint="eastAsia"/>
          <w:color w:val="000000" w:themeColor="text1"/>
          <w:sz w:val="28"/>
          <w:szCs w:val="28"/>
        </w:rPr>
        <w:t xml:space="preserve">                         证券简称：</w:t>
      </w:r>
      <w:r w:rsidR="00544814" w:rsidRPr="00B05CF0">
        <w:rPr>
          <w:rFonts w:ascii="方正仿宋_GBK" w:eastAsia="方正仿宋_GBK" w:hAnsiTheme="minorEastAsia" w:hint="eastAsia"/>
          <w:color w:val="000000" w:themeColor="text1"/>
          <w:sz w:val="28"/>
          <w:szCs w:val="28"/>
        </w:rPr>
        <w:t>重庆港</w:t>
      </w:r>
    </w:p>
    <w:p w:rsidR="00124829" w:rsidRDefault="00544814" w:rsidP="00544814">
      <w:pPr>
        <w:jc w:val="center"/>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重庆港</w:t>
      </w:r>
      <w:r w:rsidR="00257786">
        <w:rPr>
          <w:rFonts w:asciiTheme="minorEastAsia" w:hAnsiTheme="minorEastAsia" w:hint="eastAsia"/>
          <w:b/>
          <w:color w:val="000000" w:themeColor="text1"/>
          <w:sz w:val="32"/>
          <w:szCs w:val="32"/>
        </w:rPr>
        <w:t>股份有限公司投资者关系活动记录</w:t>
      </w:r>
    </w:p>
    <w:p w:rsidR="00124829" w:rsidRPr="00B05CF0" w:rsidRDefault="000C1DFC">
      <w:pPr>
        <w:jc w:val="right"/>
        <w:rPr>
          <w:rFonts w:ascii="方正仿宋_GBK" w:eastAsia="方正仿宋_GBK" w:hAnsiTheme="minorEastAsia"/>
          <w:color w:val="000000" w:themeColor="text1"/>
          <w:sz w:val="28"/>
          <w:szCs w:val="28"/>
        </w:rPr>
      </w:pPr>
      <w:r w:rsidRPr="00B05CF0">
        <w:rPr>
          <w:rFonts w:ascii="方正仿宋_GBK" w:eastAsia="方正仿宋_GBK" w:hAnsiTheme="minorEastAsia" w:hint="eastAsia"/>
          <w:color w:val="000000" w:themeColor="text1"/>
          <w:sz w:val="28"/>
          <w:szCs w:val="28"/>
        </w:rPr>
        <w:t>编号：202</w:t>
      </w:r>
      <w:r w:rsidR="00501BD5">
        <w:rPr>
          <w:rFonts w:ascii="方正仿宋_GBK" w:eastAsia="方正仿宋_GBK" w:hAnsiTheme="minorEastAsia" w:hint="eastAsia"/>
          <w:color w:val="000000" w:themeColor="text1"/>
          <w:sz w:val="28"/>
          <w:szCs w:val="28"/>
        </w:rPr>
        <w:t>4</w:t>
      </w:r>
      <w:r w:rsidRPr="00B05CF0">
        <w:rPr>
          <w:rFonts w:ascii="方正仿宋_GBK" w:eastAsia="方正仿宋_GBK" w:hAnsiTheme="minorEastAsia" w:hint="eastAsia"/>
          <w:color w:val="000000" w:themeColor="text1"/>
          <w:sz w:val="28"/>
          <w:szCs w:val="28"/>
        </w:rPr>
        <w:t>-0</w:t>
      </w:r>
      <w:r w:rsidR="00922500">
        <w:rPr>
          <w:rFonts w:ascii="方正仿宋_GBK" w:eastAsia="方正仿宋_GBK" w:hAnsiTheme="minorEastAsia" w:hint="eastAsia"/>
          <w:color w:val="000000" w:themeColor="text1"/>
          <w:sz w:val="28"/>
          <w:szCs w:val="28"/>
        </w:rPr>
        <w:t>2</w:t>
      </w:r>
    </w:p>
    <w:tbl>
      <w:tblPr>
        <w:tblStyle w:val="11"/>
        <w:tblW w:w="9215" w:type="dxa"/>
        <w:jc w:val="center"/>
        <w:tblLayout w:type="fixed"/>
        <w:tblLook w:val="04A0" w:firstRow="1" w:lastRow="0" w:firstColumn="1" w:lastColumn="0" w:noHBand="0" w:noVBand="1"/>
      </w:tblPr>
      <w:tblGrid>
        <w:gridCol w:w="2552"/>
        <w:gridCol w:w="6663"/>
      </w:tblGrid>
      <w:tr w:rsidR="00BE55D0" w:rsidRPr="00BE55D0" w:rsidTr="00E9788F">
        <w:trPr>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投资者关系</w:t>
            </w:r>
          </w:p>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活动类别</w:t>
            </w:r>
          </w:p>
        </w:tc>
        <w:tc>
          <w:tcPr>
            <w:tcW w:w="6663" w:type="dxa"/>
            <w:vAlign w:val="center"/>
          </w:tcPr>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√特定对象调研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□分析师会议</w:t>
            </w:r>
          </w:p>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□媒体采访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 xml:space="preserve"> □业绩说明会（电话会议）</w:t>
            </w:r>
          </w:p>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□新闻发布会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 xml:space="preserve"> □路演活动</w:t>
            </w:r>
          </w:p>
          <w:p w:rsidR="00BE55D0" w:rsidRPr="00BE55D0" w:rsidRDefault="00BE55D0" w:rsidP="00BE55D0">
            <w:pPr>
              <w:spacing w:line="500" w:lineRule="exact"/>
              <w:jc w:val="left"/>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 xml:space="preserve">□现场参观 </w:t>
            </w:r>
            <w:r w:rsidRPr="00BE55D0">
              <w:rPr>
                <w:rFonts w:asciiTheme="minorEastAsia" w:hAnsiTheme="minorEastAsia"/>
                <w:color w:val="000000" w:themeColor="text1"/>
                <w:sz w:val="28"/>
                <w:szCs w:val="28"/>
              </w:rPr>
              <w:t xml:space="preserve">          </w:t>
            </w:r>
            <w:r w:rsidRPr="00BE55D0">
              <w:rPr>
                <w:rFonts w:asciiTheme="minorEastAsia" w:hAnsiTheme="minorEastAsia" w:hint="eastAsia"/>
                <w:color w:val="000000" w:themeColor="text1"/>
                <w:sz w:val="28"/>
                <w:szCs w:val="28"/>
              </w:rPr>
              <w:t xml:space="preserve"> □其他</w:t>
            </w:r>
          </w:p>
        </w:tc>
      </w:tr>
      <w:tr w:rsidR="00BE55D0" w:rsidRPr="00BE55D0" w:rsidTr="00E9788F">
        <w:trPr>
          <w:jc w:val="center"/>
        </w:trPr>
        <w:tc>
          <w:tcPr>
            <w:tcW w:w="2552" w:type="dxa"/>
            <w:vAlign w:val="center"/>
          </w:tcPr>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参与单位名称</w:t>
            </w:r>
          </w:p>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及人员</w:t>
            </w:r>
            <w:r w:rsidRPr="00BE55D0">
              <w:rPr>
                <w:rFonts w:asciiTheme="minorEastAsia" w:hAnsiTheme="minorEastAsia" w:hint="eastAsia"/>
                <w:color w:val="000000" w:themeColor="text1"/>
                <w:sz w:val="28"/>
                <w:szCs w:val="28"/>
              </w:rPr>
              <w:t>姓名</w:t>
            </w:r>
          </w:p>
        </w:tc>
        <w:tc>
          <w:tcPr>
            <w:tcW w:w="6663" w:type="dxa"/>
            <w:vAlign w:val="center"/>
          </w:tcPr>
          <w:p w:rsidR="00BE55D0" w:rsidRPr="00BE55D0" w:rsidRDefault="00922500" w:rsidP="005436F7">
            <w:pPr>
              <w:jc w:val="left"/>
              <w:rPr>
                <w:rFonts w:ascii="方正仿宋_GBK" w:eastAsia="方正仿宋_GBK" w:hAnsiTheme="minorEastAsia"/>
                <w:color w:val="000000" w:themeColor="text1"/>
                <w:sz w:val="28"/>
                <w:szCs w:val="28"/>
              </w:rPr>
            </w:pPr>
            <w:r w:rsidRPr="00922500">
              <w:rPr>
                <w:rFonts w:ascii="方正仿宋_GBK" w:eastAsia="方正仿宋_GBK" w:hAnsiTheme="minorEastAsia" w:hint="eastAsia"/>
                <w:color w:val="000000" w:themeColor="text1"/>
                <w:sz w:val="28"/>
                <w:szCs w:val="28"/>
              </w:rPr>
              <w:t>国金证券研究所郑树明</w:t>
            </w:r>
            <w:r>
              <w:rPr>
                <w:rFonts w:ascii="方正仿宋_GBK" w:eastAsia="方正仿宋_GBK" w:hAnsiTheme="minorEastAsia" w:hint="eastAsia"/>
                <w:color w:val="000000" w:themeColor="text1"/>
                <w:sz w:val="28"/>
                <w:szCs w:val="28"/>
              </w:rPr>
              <w:t>、</w:t>
            </w:r>
            <w:r w:rsidRPr="00922500">
              <w:rPr>
                <w:rFonts w:ascii="方正仿宋_GBK" w:eastAsia="方正仿宋_GBK" w:hAnsiTheme="minorEastAsia" w:hint="eastAsia"/>
                <w:color w:val="000000" w:themeColor="text1"/>
                <w:sz w:val="28"/>
                <w:szCs w:val="28"/>
              </w:rPr>
              <w:t>人保资产马凌云</w:t>
            </w:r>
            <w:r>
              <w:rPr>
                <w:rFonts w:ascii="方正仿宋_GBK" w:eastAsia="方正仿宋_GBK" w:hAnsiTheme="minorEastAsia" w:hint="eastAsia"/>
                <w:color w:val="000000" w:themeColor="text1"/>
                <w:sz w:val="28"/>
                <w:szCs w:val="28"/>
              </w:rPr>
              <w:t>、</w:t>
            </w:r>
            <w:r w:rsidRPr="00922500">
              <w:rPr>
                <w:rFonts w:ascii="方正仿宋_GBK" w:eastAsia="方正仿宋_GBK" w:hAnsiTheme="minorEastAsia" w:hint="eastAsia"/>
                <w:color w:val="000000" w:themeColor="text1"/>
                <w:sz w:val="28"/>
                <w:szCs w:val="28"/>
              </w:rPr>
              <w:t>冠达泰泽基金张骊</w:t>
            </w:r>
            <w:r>
              <w:rPr>
                <w:rFonts w:ascii="方正仿宋_GBK" w:eastAsia="方正仿宋_GBK" w:hAnsiTheme="minorEastAsia" w:hint="eastAsia"/>
                <w:color w:val="000000" w:themeColor="text1"/>
                <w:sz w:val="28"/>
                <w:szCs w:val="28"/>
              </w:rPr>
              <w:t>、</w:t>
            </w:r>
            <w:r w:rsidRPr="00922500">
              <w:rPr>
                <w:rFonts w:ascii="方正仿宋_GBK" w:eastAsia="方正仿宋_GBK" w:hAnsiTheme="minorEastAsia" w:hint="eastAsia"/>
                <w:color w:val="000000" w:themeColor="text1"/>
                <w:sz w:val="28"/>
                <w:szCs w:val="28"/>
              </w:rPr>
              <w:t>西南证券李站</w:t>
            </w:r>
            <w:r>
              <w:rPr>
                <w:rFonts w:ascii="方正仿宋_GBK" w:eastAsia="方正仿宋_GBK" w:hAnsiTheme="minorEastAsia" w:hint="eastAsia"/>
                <w:color w:val="000000" w:themeColor="text1"/>
                <w:sz w:val="28"/>
                <w:szCs w:val="28"/>
              </w:rPr>
              <w:t>、</w:t>
            </w:r>
            <w:r w:rsidRPr="00922500">
              <w:rPr>
                <w:rFonts w:ascii="方正仿宋_GBK" w:eastAsia="方正仿宋_GBK" w:hAnsiTheme="minorEastAsia" w:hint="eastAsia"/>
                <w:color w:val="000000" w:themeColor="text1"/>
                <w:sz w:val="28"/>
                <w:szCs w:val="28"/>
              </w:rPr>
              <w:t>西南证券杜好清</w:t>
            </w:r>
            <w:r>
              <w:rPr>
                <w:rFonts w:ascii="方正仿宋_GBK" w:eastAsia="方正仿宋_GBK" w:hAnsiTheme="minorEastAsia" w:hint="eastAsia"/>
                <w:color w:val="000000" w:themeColor="text1"/>
                <w:sz w:val="28"/>
                <w:szCs w:val="28"/>
              </w:rPr>
              <w:t>、</w:t>
            </w:r>
            <w:r w:rsidRPr="00922500">
              <w:rPr>
                <w:rFonts w:ascii="方正仿宋_GBK" w:eastAsia="方正仿宋_GBK" w:hAnsiTheme="minorEastAsia" w:hint="eastAsia"/>
                <w:color w:val="000000" w:themeColor="text1"/>
                <w:sz w:val="28"/>
                <w:szCs w:val="28"/>
              </w:rPr>
              <w:t>广州钰晟投资基金周胜伟</w:t>
            </w:r>
          </w:p>
        </w:tc>
      </w:tr>
      <w:tr w:rsidR="00BE55D0" w:rsidRPr="00BE55D0" w:rsidTr="00E9788F">
        <w:trPr>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时</w:t>
            </w:r>
            <w:r w:rsidRPr="00BE55D0">
              <w:rPr>
                <w:rFonts w:asciiTheme="minorEastAsia" w:hAnsiTheme="minorEastAsia" w:hint="eastAsia"/>
                <w:color w:val="000000" w:themeColor="text1"/>
                <w:sz w:val="28"/>
                <w:szCs w:val="28"/>
              </w:rPr>
              <w:t xml:space="preserve">   </w:t>
            </w:r>
            <w:r w:rsidRPr="00BE55D0">
              <w:rPr>
                <w:rFonts w:asciiTheme="minorEastAsia" w:hAnsiTheme="minorEastAsia"/>
                <w:color w:val="000000" w:themeColor="text1"/>
                <w:sz w:val="28"/>
                <w:szCs w:val="28"/>
              </w:rPr>
              <w:t>间</w:t>
            </w:r>
          </w:p>
        </w:tc>
        <w:tc>
          <w:tcPr>
            <w:tcW w:w="6663" w:type="dxa"/>
            <w:vAlign w:val="center"/>
          </w:tcPr>
          <w:p w:rsidR="00BE55D0" w:rsidRPr="00BE55D0" w:rsidRDefault="00BE55D0" w:rsidP="00922500">
            <w:pPr>
              <w:jc w:val="left"/>
              <w:rPr>
                <w:rFonts w:ascii="方正仿宋_GBK" w:eastAsia="方正仿宋_GBK" w:hAnsiTheme="minorEastAsia"/>
                <w:color w:val="000000" w:themeColor="text1"/>
                <w:sz w:val="28"/>
                <w:szCs w:val="28"/>
              </w:rPr>
            </w:pPr>
            <w:r w:rsidRPr="00BE55D0">
              <w:rPr>
                <w:rFonts w:ascii="方正仿宋_GBK" w:eastAsia="方正仿宋_GBK" w:hAnsiTheme="minorEastAsia" w:hint="eastAsia"/>
                <w:color w:val="000000" w:themeColor="text1"/>
                <w:sz w:val="28"/>
                <w:szCs w:val="28"/>
              </w:rPr>
              <w:t>2024年</w:t>
            </w:r>
            <w:r w:rsidR="00922500">
              <w:rPr>
                <w:rFonts w:ascii="方正仿宋_GBK" w:eastAsia="方正仿宋_GBK" w:hAnsiTheme="minorEastAsia"/>
                <w:color w:val="000000" w:themeColor="text1"/>
                <w:sz w:val="28"/>
                <w:szCs w:val="28"/>
              </w:rPr>
              <w:t>7</w:t>
            </w:r>
            <w:r w:rsidRPr="00BE55D0">
              <w:rPr>
                <w:rFonts w:ascii="方正仿宋_GBK" w:eastAsia="方正仿宋_GBK" w:hAnsiTheme="minorEastAsia" w:hint="eastAsia"/>
                <w:color w:val="000000" w:themeColor="text1"/>
                <w:sz w:val="28"/>
                <w:szCs w:val="28"/>
              </w:rPr>
              <w:t>月</w:t>
            </w:r>
            <w:r w:rsidR="00922500">
              <w:rPr>
                <w:rFonts w:ascii="方正仿宋_GBK" w:eastAsia="方正仿宋_GBK" w:hAnsiTheme="minorEastAsia"/>
                <w:color w:val="000000" w:themeColor="text1"/>
                <w:sz w:val="28"/>
                <w:szCs w:val="28"/>
              </w:rPr>
              <w:t>16</w:t>
            </w:r>
            <w:r w:rsidRPr="00BE55D0">
              <w:rPr>
                <w:rFonts w:ascii="方正仿宋_GBK" w:eastAsia="方正仿宋_GBK" w:hAnsiTheme="minorEastAsia" w:hint="eastAsia"/>
                <w:color w:val="000000" w:themeColor="text1"/>
                <w:sz w:val="28"/>
                <w:szCs w:val="28"/>
              </w:rPr>
              <w:t>日</w:t>
            </w:r>
          </w:p>
        </w:tc>
      </w:tr>
      <w:tr w:rsidR="00BE55D0" w:rsidRPr="00BE55D0" w:rsidTr="00E9788F">
        <w:trPr>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地</w:t>
            </w:r>
            <w:r w:rsidRPr="00BE55D0">
              <w:rPr>
                <w:rFonts w:asciiTheme="minorEastAsia" w:hAnsiTheme="minorEastAsia" w:hint="eastAsia"/>
                <w:color w:val="000000" w:themeColor="text1"/>
                <w:sz w:val="28"/>
                <w:szCs w:val="28"/>
              </w:rPr>
              <w:t xml:space="preserve">   </w:t>
            </w:r>
            <w:r w:rsidRPr="00BE55D0">
              <w:rPr>
                <w:rFonts w:asciiTheme="minorEastAsia" w:hAnsiTheme="minorEastAsia"/>
                <w:color w:val="000000" w:themeColor="text1"/>
                <w:sz w:val="28"/>
                <w:szCs w:val="28"/>
              </w:rPr>
              <w:t>点</w:t>
            </w:r>
          </w:p>
        </w:tc>
        <w:tc>
          <w:tcPr>
            <w:tcW w:w="6663" w:type="dxa"/>
            <w:vAlign w:val="center"/>
          </w:tcPr>
          <w:p w:rsidR="00BE55D0" w:rsidRPr="00BE55D0" w:rsidRDefault="00BE55D0" w:rsidP="00922500">
            <w:pPr>
              <w:jc w:val="left"/>
              <w:rPr>
                <w:rFonts w:ascii="方正仿宋_GBK" w:eastAsia="方正仿宋_GBK" w:hAnsiTheme="minorEastAsia"/>
                <w:color w:val="000000" w:themeColor="text1"/>
                <w:sz w:val="28"/>
                <w:szCs w:val="28"/>
              </w:rPr>
            </w:pPr>
            <w:r w:rsidRPr="00BE55D0">
              <w:rPr>
                <w:rFonts w:ascii="方正仿宋_GBK" w:eastAsia="方正仿宋_GBK" w:hAnsiTheme="minorEastAsia" w:hint="eastAsia"/>
                <w:color w:val="000000" w:themeColor="text1"/>
                <w:sz w:val="28"/>
                <w:szCs w:val="28"/>
              </w:rPr>
              <w:t>重庆市江北区海尔路298号公司2</w:t>
            </w:r>
            <w:r w:rsidR="00922500">
              <w:rPr>
                <w:rFonts w:ascii="方正仿宋_GBK" w:eastAsia="方正仿宋_GBK" w:hAnsiTheme="minorEastAsia"/>
                <w:color w:val="000000" w:themeColor="text1"/>
                <w:sz w:val="28"/>
                <w:szCs w:val="28"/>
              </w:rPr>
              <w:t>3</w:t>
            </w:r>
            <w:r w:rsidRPr="00BE55D0">
              <w:rPr>
                <w:rFonts w:ascii="方正仿宋_GBK" w:eastAsia="方正仿宋_GBK" w:hAnsiTheme="minorEastAsia" w:hint="eastAsia"/>
                <w:color w:val="000000" w:themeColor="text1"/>
                <w:sz w:val="28"/>
                <w:szCs w:val="28"/>
              </w:rPr>
              <w:t>楼会议室</w:t>
            </w:r>
          </w:p>
        </w:tc>
      </w:tr>
      <w:tr w:rsidR="00BE55D0" w:rsidRPr="00BE55D0" w:rsidTr="00E9788F">
        <w:trPr>
          <w:jc w:val="center"/>
        </w:trPr>
        <w:tc>
          <w:tcPr>
            <w:tcW w:w="2552" w:type="dxa"/>
            <w:vAlign w:val="center"/>
          </w:tcPr>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上市公司</w:t>
            </w:r>
          </w:p>
          <w:p w:rsidR="00BE55D0" w:rsidRPr="00BE55D0" w:rsidRDefault="00BE55D0" w:rsidP="00BE55D0">
            <w:pPr>
              <w:spacing w:line="500" w:lineRule="exact"/>
              <w:jc w:val="center"/>
              <w:rPr>
                <w:rFonts w:asciiTheme="minorEastAsia" w:hAnsiTheme="minorEastAsia"/>
                <w:color w:val="000000" w:themeColor="text1"/>
                <w:sz w:val="28"/>
                <w:szCs w:val="28"/>
              </w:rPr>
            </w:pPr>
            <w:r w:rsidRPr="00BE55D0">
              <w:rPr>
                <w:rFonts w:asciiTheme="minorEastAsia" w:hAnsiTheme="minorEastAsia"/>
                <w:color w:val="000000" w:themeColor="text1"/>
                <w:sz w:val="28"/>
                <w:szCs w:val="28"/>
              </w:rPr>
              <w:t>接待人员名称</w:t>
            </w:r>
          </w:p>
        </w:tc>
        <w:tc>
          <w:tcPr>
            <w:tcW w:w="6663" w:type="dxa"/>
            <w:tcBorders>
              <w:bottom w:val="single" w:sz="4" w:space="0" w:color="auto"/>
            </w:tcBorders>
            <w:vAlign w:val="center"/>
          </w:tcPr>
          <w:p w:rsidR="00BE55D0" w:rsidRPr="00BE55D0" w:rsidRDefault="00922500" w:rsidP="00922500">
            <w:pPr>
              <w:tabs>
                <w:tab w:val="left" w:pos="2530"/>
              </w:tabs>
              <w:spacing w:line="500" w:lineRule="exact"/>
              <w:rPr>
                <w:rFonts w:ascii="方正仿宋_GBK" w:eastAsia="方正仿宋_GBK"/>
                <w:sz w:val="32"/>
                <w:szCs w:val="32"/>
              </w:rPr>
            </w:pPr>
            <w:r>
              <w:rPr>
                <w:rFonts w:ascii="方正仿宋_GBK" w:eastAsia="方正仿宋_GBK" w:hAnsiTheme="minorEastAsia" w:hint="eastAsia"/>
                <w:color w:val="000000" w:themeColor="text1"/>
                <w:sz w:val="28"/>
                <w:szCs w:val="28"/>
              </w:rPr>
              <w:t>董事长</w:t>
            </w:r>
            <w:r>
              <w:rPr>
                <w:rFonts w:ascii="方正仿宋_GBK" w:eastAsia="方正仿宋_GBK" w:hAnsiTheme="minorEastAsia"/>
                <w:color w:val="000000" w:themeColor="text1"/>
                <w:sz w:val="28"/>
                <w:szCs w:val="28"/>
              </w:rPr>
              <w:t>屈宏</w:t>
            </w:r>
            <w:r>
              <w:rPr>
                <w:rFonts w:ascii="方正仿宋_GBK" w:eastAsia="方正仿宋_GBK" w:hAnsiTheme="minorEastAsia" w:hint="eastAsia"/>
                <w:color w:val="000000" w:themeColor="text1"/>
                <w:sz w:val="28"/>
                <w:szCs w:val="28"/>
              </w:rPr>
              <w:t>、</w:t>
            </w:r>
            <w:r>
              <w:rPr>
                <w:rFonts w:ascii="方正仿宋_GBK" w:eastAsia="方正仿宋_GBK" w:hAnsiTheme="minorEastAsia"/>
                <w:color w:val="000000" w:themeColor="text1"/>
                <w:sz w:val="28"/>
                <w:szCs w:val="28"/>
              </w:rPr>
              <w:t>副总经理任川、</w:t>
            </w:r>
            <w:r w:rsidR="00BE55D0" w:rsidRPr="00BE55D0">
              <w:rPr>
                <w:rFonts w:ascii="方正仿宋_GBK" w:eastAsia="方正仿宋_GBK" w:hAnsiTheme="minorEastAsia" w:hint="eastAsia"/>
                <w:color w:val="000000" w:themeColor="text1"/>
                <w:sz w:val="28"/>
                <w:szCs w:val="28"/>
              </w:rPr>
              <w:t>财务总监刘红伟，资产证券部、贸易物流部等部门相关</w:t>
            </w:r>
            <w:r w:rsidR="00BE55D0" w:rsidRPr="00BE55D0">
              <w:rPr>
                <w:rFonts w:ascii="方正仿宋_GBK" w:eastAsia="方正仿宋_GBK" w:hAnsiTheme="minorEastAsia"/>
                <w:color w:val="000000" w:themeColor="text1"/>
                <w:sz w:val="28"/>
                <w:szCs w:val="28"/>
              </w:rPr>
              <w:t>人员</w:t>
            </w:r>
            <w:r w:rsidR="00BE55D0" w:rsidRPr="00BE55D0">
              <w:rPr>
                <w:rFonts w:ascii="方正仿宋_GBK" w:eastAsia="方正仿宋_GBK" w:hAnsiTheme="minorEastAsia" w:hint="eastAsia"/>
                <w:color w:val="000000" w:themeColor="text1"/>
                <w:sz w:val="28"/>
                <w:szCs w:val="28"/>
              </w:rPr>
              <w:t>。</w:t>
            </w:r>
          </w:p>
        </w:tc>
      </w:tr>
      <w:tr w:rsidR="00BE55D0" w:rsidRPr="00BE55D0" w:rsidTr="00E9788F">
        <w:trPr>
          <w:trHeight w:val="630"/>
          <w:jc w:val="center"/>
        </w:trPr>
        <w:tc>
          <w:tcPr>
            <w:tcW w:w="2552" w:type="dxa"/>
            <w:vAlign w:val="center"/>
          </w:tcPr>
          <w:p w:rsidR="00BE55D0" w:rsidRPr="00BE55D0" w:rsidRDefault="00BE55D0" w:rsidP="00BE55D0">
            <w:pPr>
              <w:jc w:val="center"/>
              <w:rPr>
                <w:rFonts w:asciiTheme="minorEastAsia" w:hAnsiTheme="minorEastAsia"/>
                <w:color w:val="000000" w:themeColor="text1"/>
                <w:sz w:val="28"/>
                <w:szCs w:val="28"/>
              </w:rPr>
            </w:pPr>
            <w:r w:rsidRPr="00BE55D0">
              <w:rPr>
                <w:rFonts w:asciiTheme="minorEastAsia" w:hAnsiTheme="minorEastAsia" w:hint="eastAsia"/>
                <w:color w:val="000000" w:themeColor="text1"/>
                <w:sz w:val="28"/>
                <w:szCs w:val="28"/>
              </w:rPr>
              <w:t>投资者关系活动主要内容介绍</w:t>
            </w:r>
          </w:p>
        </w:tc>
        <w:tc>
          <w:tcPr>
            <w:tcW w:w="6663" w:type="dxa"/>
            <w:vAlign w:val="center"/>
          </w:tcPr>
          <w:p w:rsidR="00BE55D0" w:rsidRPr="00BE55D0" w:rsidRDefault="00BE55D0" w:rsidP="00BE55D0">
            <w:pPr>
              <w:spacing w:line="440" w:lineRule="exact"/>
              <w:rPr>
                <w:rFonts w:asciiTheme="minorEastAsia" w:hAnsiTheme="minorEastAsia"/>
                <w:color w:val="000000" w:themeColor="text1"/>
                <w:sz w:val="28"/>
                <w:szCs w:val="28"/>
              </w:rPr>
            </w:pPr>
            <w:r w:rsidRPr="00BE55D0">
              <w:rPr>
                <w:rFonts w:ascii="方正仿宋_GBK" w:eastAsia="方正仿宋_GBK" w:hAnsiTheme="minorEastAsia" w:hint="eastAsia"/>
                <w:color w:val="000000" w:themeColor="text1"/>
                <w:sz w:val="28"/>
                <w:szCs w:val="28"/>
              </w:rPr>
              <w:t>调研</w:t>
            </w:r>
            <w:r w:rsidRPr="00BE55D0">
              <w:rPr>
                <w:rFonts w:ascii="方正仿宋_GBK" w:eastAsia="方正仿宋_GBK" w:hAnsiTheme="minorEastAsia"/>
                <w:color w:val="000000" w:themeColor="text1"/>
                <w:sz w:val="28"/>
                <w:szCs w:val="28"/>
              </w:rPr>
              <w:t>交流情况</w:t>
            </w:r>
            <w:r w:rsidRPr="00BE55D0">
              <w:rPr>
                <w:rFonts w:ascii="方正仿宋_GBK" w:eastAsia="方正仿宋_GBK" w:hAnsiTheme="minorEastAsia" w:hint="eastAsia"/>
                <w:color w:val="000000" w:themeColor="text1"/>
                <w:sz w:val="28"/>
                <w:szCs w:val="28"/>
              </w:rPr>
              <w:t>如下：</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一、公司基本情况介绍</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重庆港股份有限公司（股票简称“重庆港”，股票代码为600279）于1999年1月经重庆市人民政府批准设立，于2000年7月31日在上海证券交易所挂牌上市，是长江内河港口第一家上市公司，全国5A级物流企业，中国西部地区具有重要地位的内河主枢纽港、集装箱吞吐港运营企业。</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重庆港拥有分公司2户、全资及控股二级企业12户、参股二级企业3户，主要经营管理重庆市内重点公共港口码头。目前已形成集装箱、件杂散货、商品车和化工等现代化、专业化码头集群，年货物吞吐能力近7,000万吨、集装箱吞吐能力267万TEU（20英</w:t>
            </w:r>
            <w:r w:rsidRPr="00922500">
              <w:rPr>
                <w:rFonts w:ascii="方正仿宋_GBK" w:eastAsia="方正仿宋_GBK" w:hAnsi="仿宋_GB2312" w:cs="仿宋_GB2312" w:hint="eastAsia"/>
                <w:bCs/>
                <w:color w:val="000000"/>
                <w:kern w:val="0"/>
                <w:sz w:val="28"/>
                <w:szCs w:val="28"/>
              </w:rPr>
              <w:lastRenderedPageBreak/>
              <w:t>尺标准集装箱单位）；拥有果园港、万州红溪沟、江津兰家沱和珞璜港4个铁水联运港区，铁路专用线49公里，铁路年作业能力3,100万吨。港口年集装箱吞吐量占全市90%以上，年铁水联运量占全市95%以上，对长江上游及西部地区具有强劲的物流集聚辐射影响力。所属果园港是国家发展改革委、交通运输部、重庆市重点规划建设的第三代现代化内河港口，也是全国首批港口型国家物流枢纽、国家一类开放口岸、国家多式联运示范工程项目和长江上游航运中心建设的标志性工程，其集装箱码头是长江上游地区首家“四星级绿色港口”。</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2023年，公司完成货物吞吐量6131.3万吨，同比增长6.9%；完成装卸自然吨6187.3万吨，同比增长10.2%；完成集装箱吞吐量120.4万标箱，同比增长2.2%；完成客运量24.8万人次，同比增长490.5%。</w:t>
            </w:r>
          </w:p>
          <w:p w:rsidR="00922500" w:rsidRPr="00922500" w:rsidRDefault="00922500" w:rsidP="00922500">
            <w:pPr>
              <w:widowControl/>
              <w:spacing w:line="440" w:lineRule="exact"/>
              <w:ind w:firstLineChars="200" w:firstLine="560"/>
              <w:rPr>
                <w:rFonts w:ascii="方正仿宋_GBK" w:eastAsia="方正仿宋_GBK" w:hAnsi="仿宋_GB2312" w:cs="仿宋_GB2312"/>
                <w:b/>
                <w:bCs/>
                <w:color w:val="000000"/>
                <w:kern w:val="0"/>
                <w:sz w:val="28"/>
                <w:szCs w:val="28"/>
              </w:rPr>
            </w:pPr>
            <w:r w:rsidRPr="00922500">
              <w:rPr>
                <w:rFonts w:ascii="方正仿宋_GBK" w:eastAsia="方正仿宋_GBK" w:hAnsi="仿宋_GB2312" w:cs="仿宋_GB2312" w:hint="eastAsia"/>
                <w:bCs/>
                <w:color w:val="000000"/>
                <w:kern w:val="0"/>
                <w:sz w:val="28"/>
                <w:szCs w:val="28"/>
              </w:rPr>
              <w:t>2023年度，公司完成营业收入494,886.40万元，同比下降0.25%；完成利润总额137,529.21万元，同比增长502.01%；实现归属于上市公司股东的净利润62,716.58万元，同比增长339.70%。归属于上市公司股东的扣除非经常性损益的净利润1,978.91万元，同比增长10.85%。</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二、公司2023年业绩大幅增长原因</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2023年，公司深入践行大客户战略，积极维护原有大客户，培育新客户，保障货源稳中有升，同时提升长江通道运行质量，深化港铁战略合作，货物吞吐量、装卸自然吨、集装箱吞吐量以及装卸业务收入和综合物流业务收入均有所上升；再加上本期对已按第一期征收补偿协议约定移交的土地及地上建（构）筑物等资产确认资产处置收益，因此2023年公司业绩大幅增长。</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三、公司主要吞吐货种，各货种的吞吐量</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lastRenderedPageBreak/>
              <w:t>公司港口经营主要货种有煤炭、非金矿、金属矿、矿建、钢铁、粮食、化工等。2023年，公司完成煤炭1245.4万吨，完成非金矿1167.9万吨，完成金属矿石574.9万吨，完成钢材317.8万吨，完成粮食292.7万吨，完成矿建274.2万吨，完成化工216.7万吨，完成化肥45万吨。</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四、港口装卸费率是否能够提升？</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目前港口是按照交通运输部、国家发展改革委印发《港口收费计费办法》的规定收费，港口收费包括政府定价、政府指导价和市场调节价。目前，公司无政府定价和政府指导价的收费项目，现行对外收费项目属市场调节价的收费项目，针对市场调节价的收费项目，港口可根据燃润料、人工等主要成本的变化对港口收费进行调整，并及时更新、公示港口收费目录清单。</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五、港口装卸业务的主要成本和拆分</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公司港口装卸业务的主要成本由人工成本、折旧摊销、维修费、水电气费、燃润油费等构成。</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六、近期吞吐量情况</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2024年一季度公司货物吞吐量为1565.3万吨，同比增加8.8%，为年度计划的25.5%。关于半年度的经营情况请关注公司于2024年8月29日披露的2024年半年报。</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七、重庆果园集装箱码头公司介绍</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重庆果园集装箱码头有限公司（简称“果集司”）由重庆港股份有限公司和上海国际港务（集团）股份有限公司共同出资组建，注册资本199,962万元，是重庆市主城港区最大的专业化集装箱装卸码头。</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果集司位于江北区果园港内，总占地面积为89.44万平方米，其中，前方码头岸线1024米，拥有5000吨级泊位8个，设计年吞吐能力160万TEU。现有岸</w:t>
            </w:r>
            <w:r w:rsidRPr="00922500">
              <w:rPr>
                <w:rFonts w:ascii="方正仿宋_GBK" w:eastAsia="方正仿宋_GBK" w:hAnsi="仿宋_GB2312" w:cs="仿宋_GB2312" w:hint="eastAsia"/>
                <w:bCs/>
                <w:color w:val="000000"/>
                <w:kern w:val="0"/>
                <w:sz w:val="28"/>
                <w:szCs w:val="28"/>
              </w:rPr>
              <w:lastRenderedPageBreak/>
              <w:t>桥8台，场桥32台（均为远控场桥，其中6台为技术领先的高速智能场桥）。建成两大数智化平台：集装箱系统与无纸化系统，实现集装箱生产作业全流程管理、陆路集装箱单证电子化等功能。</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果园港（集装箱）2017年入选国家第二批多式联运示范工程项目；2018年纳入全国第二批启运港退税政策范围；2019年获批港口型国家物流枢纽，成为目前西部地区唯一的港口型国家物流枢纽；同年国务院正式同意重庆港口岸扩大开放果园港区。公司于2022年被中国港口协会授予“四星级绿色港口”，成为长江上游地区首家获得该殊荣的港口。</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近年来，果集司获得：全国交通运输行业文明单位、重庆市五一劳动奖状、重庆市级文明单位等先进集体称号，涌现出：全国劳动模范、全国物流行业劳动模范、重庆市三八红旗手标兵、重庆市五一劳动奖章、重庆市“最美产业工人”等一大批先进个人。</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2023年，果集司完成集装箱吞吐量78.02万TEU，水水中转13.4万TEU，铁水联运4.2万TEU。全年实现营业收入35,714万元，利润总额135,465万元。截至2023年底，公司资产总额48.63亿元，资产负债率18.60%。</w:t>
            </w:r>
          </w:p>
          <w:p w:rsidR="00922500" w:rsidRPr="00922500" w:rsidRDefault="00922500" w:rsidP="00922500">
            <w:pPr>
              <w:widowControl/>
              <w:spacing w:line="440" w:lineRule="exact"/>
              <w:ind w:firstLineChars="200" w:firstLine="560"/>
              <w:rPr>
                <w:rFonts w:ascii="方正仿宋_GBK" w:eastAsia="方正仿宋_GBK" w:hAnsi="仿宋_GB2312" w:cs="仿宋_GB2312"/>
                <w:b/>
                <w:bCs/>
                <w:color w:val="000000"/>
                <w:kern w:val="0"/>
                <w:sz w:val="28"/>
                <w:szCs w:val="28"/>
              </w:rPr>
            </w:pPr>
            <w:r w:rsidRPr="00922500">
              <w:rPr>
                <w:rFonts w:ascii="方正仿宋_GBK" w:eastAsia="方正仿宋_GBK" w:hAnsi="仿宋_GB2312" w:cs="仿宋_GB2312" w:hint="eastAsia"/>
                <w:bCs/>
                <w:color w:val="000000"/>
                <w:kern w:val="0"/>
                <w:sz w:val="28"/>
                <w:szCs w:val="28"/>
              </w:rPr>
              <w:t>2023年，果集司转变思路，主动拓展市场、主动拜访客户、主动开发货源，主营业务稳中向好；抓住“赛马比拼”“对标世界一流企业价值创造行动”工作契机，强化内控管理，坚持风险管控，通过控制人工成本、财务费用，降低成本费用；再加上本期对已按第一期征收补偿协议约定移交的土地及地上建（构）筑物等资产确认资产处置收益，因此2023年果集司业绩大幅增长。</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八、兰家沱作业区1号堆场对吞吐能力有影响吗？吞吐量贡献多大？</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lastRenderedPageBreak/>
              <w:t>兰家沱1#堆场项目主要为港区专用铁路线配套项目，该项目对港区码头吞吐能力无影响，但能提升港区周转能力。港区原无专业的集装箱堆场，本工程设计年周转量约为5万TEU，项目的建设可完善码头集装箱堆存、周转功能，提高装卸效率。</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九、码头吞吐量能力的情况</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目前公司年货物吞吐能力近7000万吨、集装箱吞吐能力267万TEU。</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十、港口建设和资本开支计划</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公司主要的港口建设和资本开支计划，一是目前尚有珞璜港改扩建工程、江津港区兰家沱作业区一期改建工程和长寿冯家湾作业区化工码头二期工程等在建项目。二是因寸滩港被整体征收，其业务全部转移至果园港。为优化、完善果园港集装箱功能，提高果园港集装箱作业能力，公司拟收购果园港与集装箱功能相关的资产。</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十一、对商贸业务的后续规划</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公司坚持“物流促贸易、贸易聚物流”的发展理念，积极响应市场变化，在房地产市场低迷、建筑钢材需求收紧的情况下，积极拓展制造业用钢以及铜材、铝材等其他金属产品货源，保障果园港钢材市场的业内龙头地位。同时，在稳定拓展钢材、矿石、煤炭等现有贸易业务的基础上，进一步开拓粮、油等商品贸易业务，丰富大宗商品交易市场品类。结合现代产业链、供应链运营模式，高度整合商流、物流、信息流、资金流，提升“物流+贸易+产业+科技”的综合服务能力，不断优化增值服务，实现产业链、供应链、价值链数字化转型延伸，促进企业多元化发展。</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十二、公司股价和港口市场行情错位的主要原因</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上市公司股价受到宏观经济环境、行业政策、市场行情等多重因素影响，提醒广大投资者注意投资风</w:t>
            </w:r>
            <w:r w:rsidRPr="00922500">
              <w:rPr>
                <w:rFonts w:ascii="方正仿宋_GBK" w:eastAsia="方正仿宋_GBK" w:hAnsi="仿宋_GB2312" w:cs="仿宋_GB2312" w:hint="eastAsia"/>
                <w:bCs/>
                <w:color w:val="000000"/>
                <w:kern w:val="0"/>
                <w:sz w:val="28"/>
                <w:szCs w:val="28"/>
              </w:rPr>
              <w:lastRenderedPageBreak/>
              <w:t>险。未来，公司仍将把不断提升公司内在价值作为市值管理的根本，积极做好主业，努力提升自身经营业绩来回报广大投资者</w:t>
            </w:r>
            <w:r>
              <w:rPr>
                <w:rFonts w:ascii="方正仿宋_GBK" w:eastAsia="方正仿宋_GBK" w:hAnsi="仿宋_GB2312" w:cs="仿宋_GB2312" w:hint="eastAsia"/>
                <w:bCs/>
                <w:color w:val="000000"/>
                <w:kern w:val="0"/>
                <w:sz w:val="28"/>
                <w:szCs w:val="28"/>
              </w:rPr>
              <w:t>。</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十三、寸滩港会不会有第二期征收补偿？何时会下发？</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2024年6月28日，果集司再次收到《征收补偿协议》（两江〔2022〕邮轮母港征收第001号）约定的征收补偿款26,353.57万元。截止目前，果集司共收到征收补偿款189,995.17万元，已到期但未收到的金额为63,360.5363万元。</w:t>
            </w:r>
          </w:p>
          <w:p w:rsidR="00922500" w:rsidRPr="00922500" w:rsidRDefault="00922500" w:rsidP="00922500">
            <w:pPr>
              <w:widowControl/>
              <w:spacing w:line="440" w:lineRule="exact"/>
              <w:ind w:firstLineChars="200" w:firstLine="560"/>
              <w:rPr>
                <w:rFonts w:ascii="方正仿宋_GBK" w:eastAsia="方正仿宋_GBK" w:hAnsi="仿宋_GB2312" w:cs="仿宋_GB2312"/>
                <w:b/>
                <w:bCs/>
                <w:color w:val="000000"/>
                <w:kern w:val="0"/>
                <w:sz w:val="28"/>
                <w:szCs w:val="28"/>
              </w:rPr>
            </w:pPr>
            <w:r w:rsidRPr="00922500">
              <w:rPr>
                <w:rFonts w:ascii="方正仿宋_GBK" w:eastAsia="方正仿宋_GBK" w:hAnsi="仿宋_GB2312" w:cs="仿宋_GB2312" w:hint="eastAsia"/>
                <w:bCs/>
                <w:color w:val="000000"/>
                <w:kern w:val="0"/>
                <w:sz w:val="28"/>
                <w:szCs w:val="28"/>
              </w:rPr>
              <w:t>公司将继续加强与重庆两江新区建设管理局、重庆两江新区土地征收和住房事务中心沟通协商，加大征收补偿款的催收力度，积极维护公司及股东权益，并根据征收款到位情况及时履行信息披露义务。详细情况请查阅公司于2024年7月2日发布的临2024-023号公告。</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十四、政府补助情况</w:t>
            </w:r>
          </w:p>
          <w:p w:rsidR="0092250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2023年，公司确认政府补助收益7,809.18万元，其中大宗商品供应链补贴3,762.21万元，铁水联运补贴1,362.21万元，移箱补贴507.55万元。</w:t>
            </w:r>
          </w:p>
          <w:p w:rsidR="00922500" w:rsidRPr="00922500" w:rsidRDefault="00922500" w:rsidP="00922500">
            <w:pPr>
              <w:widowControl/>
              <w:spacing w:line="440" w:lineRule="exact"/>
              <w:ind w:firstLineChars="200" w:firstLine="560"/>
              <w:rPr>
                <w:rFonts w:ascii="方正黑体_GBK" w:eastAsia="方正黑体_GBK" w:hAnsi="仿宋_GB2312" w:cs="仿宋_GB2312"/>
                <w:bCs/>
                <w:color w:val="000000"/>
                <w:kern w:val="0"/>
                <w:sz w:val="28"/>
                <w:szCs w:val="28"/>
              </w:rPr>
            </w:pPr>
            <w:r w:rsidRPr="00922500">
              <w:rPr>
                <w:rFonts w:ascii="方正黑体_GBK" w:eastAsia="方正黑体_GBK" w:hAnsi="仿宋_GB2312" w:cs="仿宋_GB2312" w:hint="eastAsia"/>
                <w:bCs/>
                <w:color w:val="000000"/>
                <w:kern w:val="0"/>
                <w:sz w:val="28"/>
                <w:szCs w:val="28"/>
              </w:rPr>
              <w:t>十五、分红规划</w:t>
            </w:r>
          </w:p>
          <w:p w:rsidR="00BE55D0" w:rsidRPr="00922500" w:rsidRDefault="00922500" w:rsidP="00922500">
            <w:pPr>
              <w:widowControl/>
              <w:spacing w:line="440" w:lineRule="exact"/>
              <w:ind w:firstLineChars="200" w:firstLine="560"/>
              <w:rPr>
                <w:rFonts w:ascii="方正仿宋_GBK" w:eastAsia="方正仿宋_GBK" w:hAnsi="仿宋_GB2312" w:cs="仿宋_GB2312"/>
                <w:bCs/>
                <w:color w:val="000000"/>
                <w:kern w:val="0"/>
                <w:sz w:val="28"/>
                <w:szCs w:val="28"/>
              </w:rPr>
            </w:pPr>
            <w:r w:rsidRPr="00922500">
              <w:rPr>
                <w:rFonts w:ascii="方正仿宋_GBK" w:eastAsia="方正仿宋_GBK" w:hAnsi="仿宋_GB2312" w:cs="仿宋_GB2312" w:hint="eastAsia"/>
                <w:bCs/>
                <w:color w:val="000000"/>
                <w:kern w:val="0"/>
                <w:sz w:val="28"/>
                <w:szCs w:val="28"/>
              </w:rPr>
              <w:t>公司将在综合考虑公司战略发展目标、股东意愿的基础上，结合公司的盈利情况和现金流量情况、经营发展规划及企业所处的发展阶段、资金需求情况、社会资金成本以及外部融资环境等因素制定。</w:t>
            </w:r>
          </w:p>
        </w:tc>
      </w:tr>
      <w:tr w:rsidR="00AA3D57" w:rsidRPr="00BE55D0" w:rsidTr="00E9788F">
        <w:trPr>
          <w:trHeight w:val="630"/>
          <w:jc w:val="center"/>
        </w:trPr>
        <w:tc>
          <w:tcPr>
            <w:tcW w:w="2552" w:type="dxa"/>
            <w:vAlign w:val="center"/>
          </w:tcPr>
          <w:p w:rsidR="00AA3D57" w:rsidRDefault="00AA3D57" w:rsidP="00AA3D57">
            <w:pPr>
              <w:spacing w:line="400" w:lineRule="exact"/>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附件清单（如有）</w:t>
            </w:r>
          </w:p>
        </w:tc>
        <w:tc>
          <w:tcPr>
            <w:tcW w:w="6663" w:type="dxa"/>
            <w:vAlign w:val="center"/>
          </w:tcPr>
          <w:p w:rsidR="00AA3D57" w:rsidRPr="00584E7D" w:rsidRDefault="00AA3D57" w:rsidP="00AA3D57">
            <w:pPr>
              <w:jc w:val="left"/>
              <w:rPr>
                <w:rFonts w:ascii="宋体" w:eastAsia="宋体" w:hAnsi="宋体"/>
                <w:color w:val="000000" w:themeColor="text1"/>
                <w:sz w:val="28"/>
                <w:szCs w:val="28"/>
              </w:rPr>
            </w:pPr>
            <w:r w:rsidRPr="00584E7D">
              <w:rPr>
                <w:rFonts w:ascii="宋体" w:eastAsia="宋体" w:hAnsi="宋体"/>
                <w:color w:val="000000" w:themeColor="text1"/>
                <w:sz w:val="28"/>
                <w:szCs w:val="28"/>
              </w:rPr>
              <w:t>无</w:t>
            </w:r>
          </w:p>
        </w:tc>
      </w:tr>
      <w:tr w:rsidR="00AA3D57" w:rsidRPr="00BE55D0" w:rsidTr="00E9788F">
        <w:trPr>
          <w:trHeight w:val="630"/>
          <w:jc w:val="center"/>
        </w:trPr>
        <w:tc>
          <w:tcPr>
            <w:tcW w:w="2552" w:type="dxa"/>
            <w:vAlign w:val="center"/>
          </w:tcPr>
          <w:p w:rsidR="00AA3D57" w:rsidRDefault="00AA3D57" w:rsidP="00AA3D57">
            <w:pPr>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日</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期</w:t>
            </w:r>
          </w:p>
        </w:tc>
        <w:tc>
          <w:tcPr>
            <w:tcW w:w="6663" w:type="dxa"/>
            <w:vAlign w:val="center"/>
          </w:tcPr>
          <w:p w:rsidR="00AA3D57" w:rsidRPr="00584E7D" w:rsidRDefault="00AA3D57" w:rsidP="00AA3D57">
            <w:pPr>
              <w:jc w:val="left"/>
              <w:rPr>
                <w:rFonts w:ascii="宋体" w:eastAsia="宋体" w:hAnsi="宋体"/>
                <w:color w:val="000000" w:themeColor="text1"/>
                <w:sz w:val="28"/>
                <w:szCs w:val="28"/>
              </w:rPr>
            </w:pPr>
            <w:r w:rsidRPr="00584E7D">
              <w:rPr>
                <w:rFonts w:ascii="宋体" w:eastAsia="宋体" w:hAnsi="宋体" w:hint="eastAsia"/>
                <w:color w:val="000000" w:themeColor="text1"/>
                <w:sz w:val="28"/>
                <w:szCs w:val="28"/>
              </w:rPr>
              <w:t>2</w:t>
            </w:r>
            <w:r w:rsidRPr="00584E7D">
              <w:rPr>
                <w:rFonts w:ascii="宋体" w:eastAsia="宋体" w:hAnsi="宋体"/>
                <w:color w:val="000000" w:themeColor="text1"/>
                <w:sz w:val="28"/>
                <w:szCs w:val="28"/>
              </w:rPr>
              <w:t>02</w:t>
            </w:r>
            <w:r>
              <w:rPr>
                <w:rFonts w:ascii="宋体" w:eastAsia="宋体" w:hAnsi="宋体"/>
                <w:color w:val="000000" w:themeColor="text1"/>
                <w:sz w:val="28"/>
                <w:szCs w:val="28"/>
              </w:rPr>
              <w:t>4</w:t>
            </w:r>
            <w:r w:rsidRPr="00584E7D">
              <w:rPr>
                <w:rFonts w:ascii="宋体" w:eastAsia="宋体" w:hAnsi="宋体" w:hint="eastAsia"/>
                <w:color w:val="000000" w:themeColor="text1"/>
                <w:sz w:val="28"/>
                <w:szCs w:val="28"/>
              </w:rPr>
              <w:t>年</w:t>
            </w:r>
            <w:r>
              <w:rPr>
                <w:rFonts w:ascii="宋体" w:eastAsia="宋体" w:hAnsi="宋体" w:hint="eastAsia"/>
                <w:color w:val="000000" w:themeColor="text1"/>
                <w:sz w:val="28"/>
                <w:szCs w:val="28"/>
              </w:rPr>
              <w:t>7</w:t>
            </w:r>
            <w:r w:rsidRPr="00584E7D">
              <w:rPr>
                <w:rFonts w:ascii="宋体" w:eastAsia="宋体" w:hAnsi="宋体" w:hint="eastAsia"/>
                <w:color w:val="000000" w:themeColor="text1"/>
                <w:sz w:val="28"/>
                <w:szCs w:val="28"/>
              </w:rPr>
              <w:t>月</w:t>
            </w:r>
            <w:r>
              <w:rPr>
                <w:rFonts w:ascii="宋体" w:eastAsia="宋体" w:hAnsi="宋体" w:hint="eastAsia"/>
                <w:color w:val="000000" w:themeColor="text1"/>
                <w:sz w:val="28"/>
                <w:szCs w:val="28"/>
              </w:rPr>
              <w:t>16</w:t>
            </w:r>
            <w:bookmarkStart w:id="0" w:name="_GoBack"/>
            <w:bookmarkEnd w:id="0"/>
            <w:r w:rsidRPr="00584E7D">
              <w:rPr>
                <w:rFonts w:ascii="宋体" w:eastAsia="宋体" w:hAnsi="宋体" w:hint="eastAsia"/>
                <w:color w:val="000000" w:themeColor="text1"/>
                <w:sz w:val="28"/>
                <w:szCs w:val="28"/>
              </w:rPr>
              <w:t>日</w:t>
            </w:r>
          </w:p>
        </w:tc>
      </w:tr>
    </w:tbl>
    <w:p w:rsidR="00124829" w:rsidRPr="00AA3D57" w:rsidRDefault="00124829" w:rsidP="00AA3D57">
      <w:pPr>
        <w:widowControl/>
        <w:jc w:val="left"/>
        <w:rPr>
          <w:rFonts w:hint="eastAsia"/>
          <w:color w:val="000000" w:themeColor="text1"/>
        </w:rPr>
      </w:pPr>
    </w:p>
    <w:sectPr w:rsidR="00124829" w:rsidRPr="00AA3D5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C63" w:rsidRDefault="00405C63">
      <w:r>
        <w:separator/>
      </w:r>
    </w:p>
  </w:endnote>
  <w:endnote w:type="continuationSeparator" w:id="0">
    <w:p w:rsidR="00405C63" w:rsidRDefault="0040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 sc">
    <w:altName w:val="Microsoft YaHei UI"/>
    <w:charset w:val="86"/>
    <w:family w:val="auto"/>
    <w:pitch w:val="default"/>
    <w:sig w:usb0="00000000" w:usb1="00000000" w:usb2="00000017" w:usb3="00000000" w:csb0="00040001" w:csb1="00000000"/>
  </w:font>
  <w:font w:name="Helvetica Neue">
    <w:altName w:val="Times New Roman"/>
    <w:charset w:val="00"/>
    <w:family w:val="auto"/>
    <w:pitch w:val="default"/>
    <w:sig w:usb0="00000000" w:usb1="00000000" w:usb2="00000010" w:usb3="00000000" w:csb0="0000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038838"/>
      <w:showingPlcHdr/>
    </w:sdtPr>
    <w:sdtEndPr/>
    <w:sdtContent>
      <w:p w:rsidR="00124829" w:rsidRDefault="00924FA1">
        <w:pPr>
          <w:pStyle w:val="a4"/>
          <w:jc w:val="center"/>
        </w:pPr>
        <w:r>
          <w:t xml:space="preserve">     </w:t>
        </w:r>
      </w:p>
    </w:sdtContent>
  </w:sdt>
  <w:p w:rsidR="00124829" w:rsidRDefault="001248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C63" w:rsidRDefault="00405C63">
      <w:r>
        <w:separator/>
      </w:r>
    </w:p>
  </w:footnote>
  <w:footnote w:type="continuationSeparator" w:id="0">
    <w:p w:rsidR="00405C63" w:rsidRDefault="00405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A9D15"/>
    <w:multiLevelType w:val="singleLevel"/>
    <w:tmpl w:val="E93A9D1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YjU3Y2NjNjdjMmM2ZTg1ZDQ3ZTZjY2Y2NTQ1MTAifQ=="/>
  </w:docVars>
  <w:rsids>
    <w:rsidRoot w:val="00DD01C5"/>
    <w:rsid w:val="00003052"/>
    <w:rsid w:val="00004C21"/>
    <w:rsid w:val="0000578E"/>
    <w:rsid w:val="00006E25"/>
    <w:rsid w:val="000178CB"/>
    <w:rsid w:val="000217E3"/>
    <w:rsid w:val="0002775F"/>
    <w:rsid w:val="00040243"/>
    <w:rsid w:val="000432D8"/>
    <w:rsid w:val="000437FF"/>
    <w:rsid w:val="000447AE"/>
    <w:rsid w:val="00045F96"/>
    <w:rsid w:val="0004684F"/>
    <w:rsid w:val="00046ABF"/>
    <w:rsid w:val="00047B41"/>
    <w:rsid w:val="00047CC6"/>
    <w:rsid w:val="00052E32"/>
    <w:rsid w:val="00060C40"/>
    <w:rsid w:val="000642CB"/>
    <w:rsid w:val="00067A3B"/>
    <w:rsid w:val="00072F3D"/>
    <w:rsid w:val="00077D7E"/>
    <w:rsid w:val="000856CB"/>
    <w:rsid w:val="00086687"/>
    <w:rsid w:val="00092E36"/>
    <w:rsid w:val="000A6E8E"/>
    <w:rsid w:val="000A6F28"/>
    <w:rsid w:val="000B06A3"/>
    <w:rsid w:val="000C1DFC"/>
    <w:rsid w:val="000D3DD7"/>
    <w:rsid w:val="000D5EEC"/>
    <w:rsid w:val="000E5C81"/>
    <w:rsid w:val="000F7CBE"/>
    <w:rsid w:val="00112053"/>
    <w:rsid w:val="00113B24"/>
    <w:rsid w:val="00114601"/>
    <w:rsid w:val="00114978"/>
    <w:rsid w:val="00120D31"/>
    <w:rsid w:val="00121F50"/>
    <w:rsid w:val="00124829"/>
    <w:rsid w:val="0012601F"/>
    <w:rsid w:val="00126A56"/>
    <w:rsid w:val="00135EE8"/>
    <w:rsid w:val="001435CC"/>
    <w:rsid w:val="001565FC"/>
    <w:rsid w:val="00162408"/>
    <w:rsid w:val="00175C6D"/>
    <w:rsid w:val="00175EDC"/>
    <w:rsid w:val="001761C2"/>
    <w:rsid w:val="00180D5E"/>
    <w:rsid w:val="00181F14"/>
    <w:rsid w:val="0018208C"/>
    <w:rsid w:val="001824F6"/>
    <w:rsid w:val="001920AE"/>
    <w:rsid w:val="0019242E"/>
    <w:rsid w:val="001947BE"/>
    <w:rsid w:val="00197D62"/>
    <w:rsid w:val="001A1871"/>
    <w:rsid w:val="001A1CC6"/>
    <w:rsid w:val="001A39A9"/>
    <w:rsid w:val="001A44FE"/>
    <w:rsid w:val="001A5043"/>
    <w:rsid w:val="001B1191"/>
    <w:rsid w:val="001B723E"/>
    <w:rsid w:val="001B7710"/>
    <w:rsid w:val="001C2A4B"/>
    <w:rsid w:val="001D44AE"/>
    <w:rsid w:val="001D664A"/>
    <w:rsid w:val="001E16A7"/>
    <w:rsid w:val="001E17B5"/>
    <w:rsid w:val="001E1E43"/>
    <w:rsid w:val="001F5A2F"/>
    <w:rsid w:val="001F5E6C"/>
    <w:rsid w:val="00202745"/>
    <w:rsid w:val="00210B66"/>
    <w:rsid w:val="00214410"/>
    <w:rsid w:val="002208B7"/>
    <w:rsid w:val="002253B4"/>
    <w:rsid w:val="00226EC9"/>
    <w:rsid w:val="00247CF5"/>
    <w:rsid w:val="0025048A"/>
    <w:rsid w:val="00250FBA"/>
    <w:rsid w:val="00252913"/>
    <w:rsid w:val="00252B6A"/>
    <w:rsid w:val="00256B91"/>
    <w:rsid w:val="00257786"/>
    <w:rsid w:val="002622A5"/>
    <w:rsid w:val="00263C3B"/>
    <w:rsid w:val="00263F37"/>
    <w:rsid w:val="00265C2F"/>
    <w:rsid w:val="002717F7"/>
    <w:rsid w:val="00272102"/>
    <w:rsid w:val="00273A03"/>
    <w:rsid w:val="002974B9"/>
    <w:rsid w:val="002A5733"/>
    <w:rsid w:val="002B55CF"/>
    <w:rsid w:val="002C1955"/>
    <w:rsid w:val="002C4EB5"/>
    <w:rsid w:val="002C71A9"/>
    <w:rsid w:val="002D1C9E"/>
    <w:rsid w:val="002D2376"/>
    <w:rsid w:val="002D6E39"/>
    <w:rsid w:val="002D798E"/>
    <w:rsid w:val="002D7BF2"/>
    <w:rsid w:val="002E30FB"/>
    <w:rsid w:val="002E4DF7"/>
    <w:rsid w:val="00302C7F"/>
    <w:rsid w:val="00316D55"/>
    <w:rsid w:val="00326A08"/>
    <w:rsid w:val="003307FF"/>
    <w:rsid w:val="00334E01"/>
    <w:rsid w:val="00337D40"/>
    <w:rsid w:val="0034363F"/>
    <w:rsid w:val="00344FAB"/>
    <w:rsid w:val="003519F5"/>
    <w:rsid w:val="00372377"/>
    <w:rsid w:val="003737DB"/>
    <w:rsid w:val="003758C0"/>
    <w:rsid w:val="00376AE7"/>
    <w:rsid w:val="00396C9D"/>
    <w:rsid w:val="00397A80"/>
    <w:rsid w:val="003A19A9"/>
    <w:rsid w:val="003A4828"/>
    <w:rsid w:val="003A56D7"/>
    <w:rsid w:val="003A6A5F"/>
    <w:rsid w:val="003B050E"/>
    <w:rsid w:val="003C4053"/>
    <w:rsid w:val="003C5AB0"/>
    <w:rsid w:val="003C70CA"/>
    <w:rsid w:val="003E0602"/>
    <w:rsid w:val="003E1894"/>
    <w:rsid w:val="003E2D77"/>
    <w:rsid w:val="00403BA5"/>
    <w:rsid w:val="00405C63"/>
    <w:rsid w:val="004104AF"/>
    <w:rsid w:val="00410C2C"/>
    <w:rsid w:val="00413876"/>
    <w:rsid w:val="004236E6"/>
    <w:rsid w:val="00426A96"/>
    <w:rsid w:val="00431207"/>
    <w:rsid w:val="00432E9D"/>
    <w:rsid w:val="00451665"/>
    <w:rsid w:val="004526DF"/>
    <w:rsid w:val="00455B5B"/>
    <w:rsid w:val="00455FD4"/>
    <w:rsid w:val="0045766D"/>
    <w:rsid w:val="00462EB3"/>
    <w:rsid w:val="00466AF3"/>
    <w:rsid w:val="00472AD8"/>
    <w:rsid w:val="00474807"/>
    <w:rsid w:val="004754C5"/>
    <w:rsid w:val="00487FF2"/>
    <w:rsid w:val="004B0150"/>
    <w:rsid w:val="004C3C4D"/>
    <w:rsid w:val="004C57B5"/>
    <w:rsid w:val="004C7168"/>
    <w:rsid w:val="004D55E0"/>
    <w:rsid w:val="004F1467"/>
    <w:rsid w:val="004F1F14"/>
    <w:rsid w:val="004F2E6B"/>
    <w:rsid w:val="004F6A3A"/>
    <w:rsid w:val="004F7315"/>
    <w:rsid w:val="0050191C"/>
    <w:rsid w:val="00501BD5"/>
    <w:rsid w:val="00506637"/>
    <w:rsid w:val="0050758A"/>
    <w:rsid w:val="0052081B"/>
    <w:rsid w:val="0052269B"/>
    <w:rsid w:val="00525A3F"/>
    <w:rsid w:val="005410D7"/>
    <w:rsid w:val="0054154B"/>
    <w:rsid w:val="00541D46"/>
    <w:rsid w:val="005436F7"/>
    <w:rsid w:val="00544814"/>
    <w:rsid w:val="005466D9"/>
    <w:rsid w:val="005571F1"/>
    <w:rsid w:val="0056034C"/>
    <w:rsid w:val="00565C42"/>
    <w:rsid w:val="00574E39"/>
    <w:rsid w:val="005853D5"/>
    <w:rsid w:val="00586A8D"/>
    <w:rsid w:val="00590371"/>
    <w:rsid w:val="005941DC"/>
    <w:rsid w:val="005A2A33"/>
    <w:rsid w:val="005B0415"/>
    <w:rsid w:val="005B3DDA"/>
    <w:rsid w:val="005B55C1"/>
    <w:rsid w:val="005D199D"/>
    <w:rsid w:val="005D1C48"/>
    <w:rsid w:val="005D24DE"/>
    <w:rsid w:val="005D5248"/>
    <w:rsid w:val="005D59A8"/>
    <w:rsid w:val="005E60C3"/>
    <w:rsid w:val="00620D56"/>
    <w:rsid w:val="006215AD"/>
    <w:rsid w:val="00631256"/>
    <w:rsid w:val="00643E13"/>
    <w:rsid w:val="00647B19"/>
    <w:rsid w:val="00655538"/>
    <w:rsid w:val="0065575D"/>
    <w:rsid w:val="00656367"/>
    <w:rsid w:val="006567F8"/>
    <w:rsid w:val="00656E3F"/>
    <w:rsid w:val="006604C6"/>
    <w:rsid w:val="0066541D"/>
    <w:rsid w:val="0066656C"/>
    <w:rsid w:val="006768E7"/>
    <w:rsid w:val="00687AF0"/>
    <w:rsid w:val="006915BE"/>
    <w:rsid w:val="006A7638"/>
    <w:rsid w:val="006C0098"/>
    <w:rsid w:val="006C062C"/>
    <w:rsid w:val="006C1ABC"/>
    <w:rsid w:val="006C42F5"/>
    <w:rsid w:val="006D058F"/>
    <w:rsid w:val="006D369C"/>
    <w:rsid w:val="006D7972"/>
    <w:rsid w:val="006E035C"/>
    <w:rsid w:val="006E05C9"/>
    <w:rsid w:val="006E5BC3"/>
    <w:rsid w:val="006E7E23"/>
    <w:rsid w:val="006F1CDA"/>
    <w:rsid w:val="00707B25"/>
    <w:rsid w:val="00717754"/>
    <w:rsid w:val="00732F7F"/>
    <w:rsid w:val="00734F0D"/>
    <w:rsid w:val="00744071"/>
    <w:rsid w:val="00752F4A"/>
    <w:rsid w:val="0075509E"/>
    <w:rsid w:val="007641CD"/>
    <w:rsid w:val="00772F1C"/>
    <w:rsid w:val="0077507D"/>
    <w:rsid w:val="0079047F"/>
    <w:rsid w:val="007912C6"/>
    <w:rsid w:val="0079389D"/>
    <w:rsid w:val="007A5BBD"/>
    <w:rsid w:val="007A6643"/>
    <w:rsid w:val="007B1AA9"/>
    <w:rsid w:val="007B4E25"/>
    <w:rsid w:val="007D18F9"/>
    <w:rsid w:val="007D4F27"/>
    <w:rsid w:val="007D702A"/>
    <w:rsid w:val="007E36B2"/>
    <w:rsid w:val="007E6011"/>
    <w:rsid w:val="007F0B66"/>
    <w:rsid w:val="00800409"/>
    <w:rsid w:val="00803E9D"/>
    <w:rsid w:val="0080691A"/>
    <w:rsid w:val="0081571D"/>
    <w:rsid w:val="008254EC"/>
    <w:rsid w:val="0083148C"/>
    <w:rsid w:val="00833931"/>
    <w:rsid w:val="00835E78"/>
    <w:rsid w:val="008466C1"/>
    <w:rsid w:val="0085119E"/>
    <w:rsid w:val="00857770"/>
    <w:rsid w:val="008646BC"/>
    <w:rsid w:val="0086746D"/>
    <w:rsid w:val="00881CF9"/>
    <w:rsid w:val="00885ED2"/>
    <w:rsid w:val="008925D1"/>
    <w:rsid w:val="00895CF5"/>
    <w:rsid w:val="008A3B9A"/>
    <w:rsid w:val="008A6EC2"/>
    <w:rsid w:val="008B15F1"/>
    <w:rsid w:val="008B7802"/>
    <w:rsid w:val="008C17F5"/>
    <w:rsid w:val="008D168C"/>
    <w:rsid w:val="008D53C2"/>
    <w:rsid w:val="008E3144"/>
    <w:rsid w:val="008F4A91"/>
    <w:rsid w:val="008F5158"/>
    <w:rsid w:val="00902082"/>
    <w:rsid w:val="0090376D"/>
    <w:rsid w:val="00910597"/>
    <w:rsid w:val="00912860"/>
    <w:rsid w:val="00912F25"/>
    <w:rsid w:val="00913B7D"/>
    <w:rsid w:val="00922500"/>
    <w:rsid w:val="00924FA1"/>
    <w:rsid w:val="00931362"/>
    <w:rsid w:val="00934CA0"/>
    <w:rsid w:val="009354EC"/>
    <w:rsid w:val="009536D0"/>
    <w:rsid w:val="00956EA8"/>
    <w:rsid w:val="0095710A"/>
    <w:rsid w:val="00961D7E"/>
    <w:rsid w:val="00970910"/>
    <w:rsid w:val="00972C5E"/>
    <w:rsid w:val="009743F1"/>
    <w:rsid w:val="009862A3"/>
    <w:rsid w:val="009940C5"/>
    <w:rsid w:val="00995210"/>
    <w:rsid w:val="00995797"/>
    <w:rsid w:val="009A19E8"/>
    <w:rsid w:val="009A2694"/>
    <w:rsid w:val="009A5B91"/>
    <w:rsid w:val="009A7113"/>
    <w:rsid w:val="009B27D3"/>
    <w:rsid w:val="009C1C63"/>
    <w:rsid w:val="009D5DED"/>
    <w:rsid w:val="009E2BFE"/>
    <w:rsid w:val="009E767A"/>
    <w:rsid w:val="009E7BCB"/>
    <w:rsid w:val="00A0005B"/>
    <w:rsid w:val="00A0427D"/>
    <w:rsid w:val="00A1241B"/>
    <w:rsid w:val="00A177AB"/>
    <w:rsid w:val="00A17C92"/>
    <w:rsid w:val="00A23D38"/>
    <w:rsid w:val="00A24195"/>
    <w:rsid w:val="00A34F23"/>
    <w:rsid w:val="00A4073E"/>
    <w:rsid w:val="00A44346"/>
    <w:rsid w:val="00A60464"/>
    <w:rsid w:val="00A70D31"/>
    <w:rsid w:val="00A75FBE"/>
    <w:rsid w:val="00A838F1"/>
    <w:rsid w:val="00A83C02"/>
    <w:rsid w:val="00A842C0"/>
    <w:rsid w:val="00A8686C"/>
    <w:rsid w:val="00A90DC2"/>
    <w:rsid w:val="00A97EC5"/>
    <w:rsid w:val="00AA31CB"/>
    <w:rsid w:val="00AA3D57"/>
    <w:rsid w:val="00AA6DEE"/>
    <w:rsid w:val="00AB0F33"/>
    <w:rsid w:val="00AB2A9E"/>
    <w:rsid w:val="00AB4927"/>
    <w:rsid w:val="00AC704D"/>
    <w:rsid w:val="00AD38C6"/>
    <w:rsid w:val="00AE7E21"/>
    <w:rsid w:val="00AF13B9"/>
    <w:rsid w:val="00AF14EF"/>
    <w:rsid w:val="00B00CEB"/>
    <w:rsid w:val="00B05CF0"/>
    <w:rsid w:val="00B074EE"/>
    <w:rsid w:val="00B17519"/>
    <w:rsid w:val="00B178FA"/>
    <w:rsid w:val="00B23C5B"/>
    <w:rsid w:val="00B31041"/>
    <w:rsid w:val="00B341E4"/>
    <w:rsid w:val="00B5041F"/>
    <w:rsid w:val="00B5153C"/>
    <w:rsid w:val="00B542C8"/>
    <w:rsid w:val="00B55D87"/>
    <w:rsid w:val="00B606F2"/>
    <w:rsid w:val="00B63949"/>
    <w:rsid w:val="00B7197F"/>
    <w:rsid w:val="00B763FA"/>
    <w:rsid w:val="00B7683B"/>
    <w:rsid w:val="00B90E59"/>
    <w:rsid w:val="00BA1132"/>
    <w:rsid w:val="00BA3717"/>
    <w:rsid w:val="00BA47EB"/>
    <w:rsid w:val="00BA4F95"/>
    <w:rsid w:val="00BB0592"/>
    <w:rsid w:val="00BB0882"/>
    <w:rsid w:val="00BC144C"/>
    <w:rsid w:val="00BD4B1B"/>
    <w:rsid w:val="00BE2665"/>
    <w:rsid w:val="00BE4394"/>
    <w:rsid w:val="00BE55D0"/>
    <w:rsid w:val="00BF4B68"/>
    <w:rsid w:val="00BF53F3"/>
    <w:rsid w:val="00C01EDD"/>
    <w:rsid w:val="00C01FB2"/>
    <w:rsid w:val="00C07F0D"/>
    <w:rsid w:val="00C1486C"/>
    <w:rsid w:val="00C256C0"/>
    <w:rsid w:val="00C358A0"/>
    <w:rsid w:val="00C405F6"/>
    <w:rsid w:val="00C46C7C"/>
    <w:rsid w:val="00C50748"/>
    <w:rsid w:val="00C509EA"/>
    <w:rsid w:val="00C540F4"/>
    <w:rsid w:val="00C54217"/>
    <w:rsid w:val="00C56D17"/>
    <w:rsid w:val="00C77462"/>
    <w:rsid w:val="00C80DDB"/>
    <w:rsid w:val="00C812E1"/>
    <w:rsid w:val="00C813AB"/>
    <w:rsid w:val="00C843CB"/>
    <w:rsid w:val="00C9095F"/>
    <w:rsid w:val="00C951B7"/>
    <w:rsid w:val="00C959F0"/>
    <w:rsid w:val="00C9749A"/>
    <w:rsid w:val="00C97C3B"/>
    <w:rsid w:val="00CA2E92"/>
    <w:rsid w:val="00CB6D23"/>
    <w:rsid w:val="00CC0208"/>
    <w:rsid w:val="00CC2D5B"/>
    <w:rsid w:val="00CD0ED2"/>
    <w:rsid w:val="00CD3D2F"/>
    <w:rsid w:val="00CD562E"/>
    <w:rsid w:val="00CD70E5"/>
    <w:rsid w:val="00CE21B2"/>
    <w:rsid w:val="00CE5A79"/>
    <w:rsid w:val="00CF4645"/>
    <w:rsid w:val="00D01625"/>
    <w:rsid w:val="00D052BE"/>
    <w:rsid w:val="00D07FF8"/>
    <w:rsid w:val="00D14BCC"/>
    <w:rsid w:val="00D26695"/>
    <w:rsid w:val="00D53C1B"/>
    <w:rsid w:val="00D5464D"/>
    <w:rsid w:val="00D57325"/>
    <w:rsid w:val="00D7231B"/>
    <w:rsid w:val="00D7568A"/>
    <w:rsid w:val="00D76583"/>
    <w:rsid w:val="00D80364"/>
    <w:rsid w:val="00D83E9C"/>
    <w:rsid w:val="00D85BCC"/>
    <w:rsid w:val="00D87CA9"/>
    <w:rsid w:val="00D92A3B"/>
    <w:rsid w:val="00D93051"/>
    <w:rsid w:val="00D94C87"/>
    <w:rsid w:val="00D952B2"/>
    <w:rsid w:val="00D961E6"/>
    <w:rsid w:val="00DA05ED"/>
    <w:rsid w:val="00DA7262"/>
    <w:rsid w:val="00DB36F6"/>
    <w:rsid w:val="00DB6D04"/>
    <w:rsid w:val="00DC08F8"/>
    <w:rsid w:val="00DC54F0"/>
    <w:rsid w:val="00DC56CF"/>
    <w:rsid w:val="00DD01C5"/>
    <w:rsid w:val="00DE0D56"/>
    <w:rsid w:val="00DE549D"/>
    <w:rsid w:val="00DF30A8"/>
    <w:rsid w:val="00DF70C0"/>
    <w:rsid w:val="00E05DB4"/>
    <w:rsid w:val="00E06218"/>
    <w:rsid w:val="00E114BB"/>
    <w:rsid w:val="00E17088"/>
    <w:rsid w:val="00E226D9"/>
    <w:rsid w:val="00E2566B"/>
    <w:rsid w:val="00E30BF6"/>
    <w:rsid w:val="00E45417"/>
    <w:rsid w:val="00E51E50"/>
    <w:rsid w:val="00E57D5D"/>
    <w:rsid w:val="00E602BD"/>
    <w:rsid w:val="00E64ADB"/>
    <w:rsid w:val="00E64C74"/>
    <w:rsid w:val="00E65839"/>
    <w:rsid w:val="00E813AD"/>
    <w:rsid w:val="00E875DF"/>
    <w:rsid w:val="00E90279"/>
    <w:rsid w:val="00EC356B"/>
    <w:rsid w:val="00EC4B42"/>
    <w:rsid w:val="00ED0566"/>
    <w:rsid w:val="00EE078D"/>
    <w:rsid w:val="00EE3891"/>
    <w:rsid w:val="00EE546D"/>
    <w:rsid w:val="00EE6261"/>
    <w:rsid w:val="00EF001A"/>
    <w:rsid w:val="00EF0E5A"/>
    <w:rsid w:val="00EF230B"/>
    <w:rsid w:val="00EF35FA"/>
    <w:rsid w:val="00EF63BD"/>
    <w:rsid w:val="00F1335B"/>
    <w:rsid w:val="00F26913"/>
    <w:rsid w:val="00F27D7F"/>
    <w:rsid w:val="00F320D0"/>
    <w:rsid w:val="00F32123"/>
    <w:rsid w:val="00F47098"/>
    <w:rsid w:val="00F47A41"/>
    <w:rsid w:val="00F52A63"/>
    <w:rsid w:val="00F71DD6"/>
    <w:rsid w:val="00F725BD"/>
    <w:rsid w:val="00F8133C"/>
    <w:rsid w:val="00F86926"/>
    <w:rsid w:val="00F92355"/>
    <w:rsid w:val="00FA062E"/>
    <w:rsid w:val="00FA60E1"/>
    <w:rsid w:val="00FB013D"/>
    <w:rsid w:val="00FB0EBC"/>
    <w:rsid w:val="00FB521A"/>
    <w:rsid w:val="00FB57E7"/>
    <w:rsid w:val="00FC3291"/>
    <w:rsid w:val="00FD08EE"/>
    <w:rsid w:val="00FD3F3B"/>
    <w:rsid w:val="00FD65D2"/>
    <w:rsid w:val="00FF0C20"/>
    <w:rsid w:val="00FF10D3"/>
    <w:rsid w:val="00FF5AD1"/>
    <w:rsid w:val="00FF7584"/>
    <w:rsid w:val="015A278C"/>
    <w:rsid w:val="01841AD9"/>
    <w:rsid w:val="01F42225"/>
    <w:rsid w:val="035D41B7"/>
    <w:rsid w:val="06380C2D"/>
    <w:rsid w:val="065546FA"/>
    <w:rsid w:val="065B0DB4"/>
    <w:rsid w:val="07FA6993"/>
    <w:rsid w:val="09784E53"/>
    <w:rsid w:val="0AE16324"/>
    <w:rsid w:val="0B0E051C"/>
    <w:rsid w:val="0B733CF6"/>
    <w:rsid w:val="0BC25540"/>
    <w:rsid w:val="0DAC1ABD"/>
    <w:rsid w:val="0EF3685E"/>
    <w:rsid w:val="0F586E52"/>
    <w:rsid w:val="1052374C"/>
    <w:rsid w:val="10EF1D90"/>
    <w:rsid w:val="1173042C"/>
    <w:rsid w:val="12503FC7"/>
    <w:rsid w:val="126604E0"/>
    <w:rsid w:val="133E0542"/>
    <w:rsid w:val="13496AD0"/>
    <w:rsid w:val="1606331B"/>
    <w:rsid w:val="1617568F"/>
    <w:rsid w:val="170840C9"/>
    <w:rsid w:val="17CC542D"/>
    <w:rsid w:val="18D71869"/>
    <w:rsid w:val="19033E95"/>
    <w:rsid w:val="1B824AF9"/>
    <w:rsid w:val="1BAE5FB6"/>
    <w:rsid w:val="1BD05EE4"/>
    <w:rsid w:val="1C485FCA"/>
    <w:rsid w:val="1C676ADD"/>
    <w:rsid w:val="1C9603CC"/>
    <w:rsid w:val="1E465D52"/>
    <w:rsid w:val="20980DD7"/>
    <w:rsid w:val="209E1BD1"/>
    <w:rsid w:val="20A06FFF"/>
    <w:rsid w:val="20D1684E"/>
    <w:rsid w:val="213A2E9A"/>
    <w:rsid w:val="21BE1799"/>
    <w:rsid w:val="22B71EAB"/>
    <w:rsid w:val="24FD1246"/>
    <w:rsid w:val="26317C2E"/>
    <w:rsid w:val="27036E0A"/>
    <w:rsid w:val="2A0C2A72"/>
    <w:rsid w:val="2A461F39"/>
    <w:rsid w:val="2E133D9A"/>
    <w:rsid w:val="2F7D7D2F"/>
    <w:rsid w:val="311F752F"/>
    <w:rsid w:val="321C0C74"/>
    <w:rsid w:val="33B006D5"/>
    <w:rsid w:val="34AD7C43"/>
    <w:rsid w:val="36445017"/>
    <w:rsid w:val="36F30723"/>
    <w:rsid w:val="391207AE"/>
    <w:rsid w:val="392C3965"/>
    <w:rsid w:val="3AF17846"/>
    <w:rsid w:val="3B062CE4"/>
    <w:rsid w:val="3B471872"/>
    <w:rsid w:val="3BA11C66"/>
    <w:rsid w:val="3C770EB3"/>
    <w:rsid w:val="3D0F315F"/>
    <w:rsid w:val="3D5F2A23"/>
    <w:rsid w:val="3E6A5786"/>
    <w:rsid w:val="3EB57BCB"/>
    <w:rsid w:val="3F161D6E"/>
    <w:rsid w:val="3F285F96"/>
    <w:rsid w:val="411A5BC1"/>
    <w:rsid w:val="41840B99"/>
    <w:rsid w:val="419F5DB5"/>
    <w:rsid w:val="41AA4870"/>
    <w:rsid w:val="43BB72E2"/>
    <w:rsid w:val="43F67429"/>
    <w:rsid w:val="441B32B1"/>
    <w:rsid w:val="44844C23"/>
    <w:rsid w:val="44EA4526"/>
    <w:rsid w:val="477E6CD0"/>
    <w:rsid w:val="47E43FFE"/>
    <w:rsid w:val="48175A4C"/>
    <w:rsid w:val="482D2B1B"/>
    <w:rsid w:val="493C6A78"/>
    <w:rsid w:val="4AA71836"/>
    <w:rsid w:val="4BE04E6C"/>
    <w:rsid w:val="4D382393"/>
    <w:rsid w:val="51DA5E53"/>
    <w:rsid w:val="523C5982"/>
    <w:rsid w:val="5256137D"/>
    <w:rsid w:val="52804889"/>
    <w:rsid w:val="533E6734"/>
    <w:rsid w:val="54C22117"/>
    <w:rsid w:val="56EE666F"/>
    <w:rsid w:val="57417094"/>
    <w:rsid w:val="57BD4A32"/>
    <w:rsid w:val="57CF2865"/>
    <w:rsid w:val="59013D38"/>
    <w:rsid w:val="5A4B1B2F"/>
    <w:rsid w:val="5B1C5E42"/>
    <w:rsid w:val="5CBE4F25"/>
    <w:rsid w:val="5D8B722E"/>
    <w:rsid w:val="5D953FE0"/>
    <w:rsid w:val="5E9A15CE"/>
    <w:rsid w:val="5FA559DA"/>
    <w:rsid w:val="5FDB2E14"/>
    <w:rsid w:val="606721D5"/>
    <w:rsid w:val="60A61921"/>
    <w:rsid w:val="611721D5"/>
    <w:rsid w:val="625E0A5E"/>
    <w:rsid w:val="62614F86"/>
    <w:rsid w:val="64DB03E4"/>
    <w:rsid w:val="654204C3"/>
    <w:rsid w:val="65DF45BB"/>
    <w:rsid w:val="660F53AE"/>
    <w:rsid w:val="668F7D8F"/>
    <w:rsid w:val="66DD25FD"/>
    <w:rsid w:val="67C7632F"/>
    <w:rsid w:val="680C4F78"/>
    <w:rsid w:val="697F5E1B"/>
    <w:rsid w:val="6981105B"/>
    <w:rsid w:val="6D182CDF"/>
    <w:rsid w:val="70F974A3"/>
    <w:rsid w:val="72B96C74"/>
    <w:rsid w:val="73E3171A"/>
    <w:rsid w:val="74E50F8A"/>
    <w:rsid w:val="753B103F"/>
    <w:rsid w:val="754C6CA4"/>
    <w:rsid w:val="758A5270"/>
    <w:rsid w:val="758D3AD9"/>
    <w:rsid w:val="76124C3A"/>
    <w:rsid w:val="767443E1"/>
    <w:rsid w:val="76845EAC"/>
    <w:rsid w:val="7BA80408"/>
    <w:rsid w:val="7C747128"/>
    <w:rsid w:val="7DEA02BE"/>
    <w:rsid w:val="7E206F3B"/>
    <w:rsid w:val="7F01246C"/>
    <w:rsid w:val="7F791E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F8D8B1-F29E-4834-881F-D45D54D6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jc w:val="left"/>
    </w:pPr>
    <w:rPr>
      <w:rFonts w:ascii="Calibri" w:eastAsia="宋体" w:hAnsi="Calibri" w:cs="Times New Roman"/>
      <w:kern w:val="0"/>
      <w:sz w:val="24"/>
      <w:szCs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8">
    <w:name w:val="List Paragraph"/>
    <w:basedOn w:val="a"/>
    <w:uiPriority w:val="34"/>
    <w:qFormat/>
    <w:pPr>
      <w:widowControl/>
      <w:ind w:firstLineChars="200" w:firstLine="420"/>
      <w:jc w:val="left"/>
    </w:pPr>
    <w:rPr>
      <w:rFonts w:ascii="宋体" w:eastAsia="宋体" w:hAnsi="宋体" w:cs="宋体"/>
      <w:kern w:val="0"/>
      <w:sz w:val="24"/>
      <w:szCs w:val="24"/>
    </w:rPr>
  </w:style>
  <w:style w:type="paragraph" w:customStyle="1" w:styleId="p1">
    <w:name w:val="p1"/>
    <w:basedOn w:val="a"/>
    <w:rsid w:val="00E226D9"/>
    <w:pPr>
      <w:jc w:val="left"/>
    </w:pPr>
    <w:rPr>
      <w:rFonts w:ascii="pingfang sc" w:eastAsia="pingfang sc" w:hAnsi="pingfang sc" w:cs="Times New Roman"/>
      <w:color w:val="000000"/>
      <w:kern w:val="0"/>
      <w:sz w:val="22"/>
    </w:rPr>
  </w:style>
  <w:style w:type="character" w:customStyle="1" w:styleId="s1">
    <w:name w:val="s1"/>
    <w:basedOn w:val="a0"/>
    <w:rsid w:val="00E226D9"/>
    <w:rPr>
      <w:rFonts w:ascii="Helvetica Neue" w:eastAsia="Helvetica Neue" w:hAnsi="Helvetica Neue" w:cs="Helvetica Neue"/>
      <w:sz w:val="22"/>
      <w:szCs w:val="22"/>
    </w:rPr>
  </w:style>
  <w:style w:type="table" w:customStyle="1" w:styleId="11">
    <w:name w:val="网格型1"/>
    <w:basedOn w:val="a1"/>
    <w:next w:val="a7"/>
    <w:uiPriority w:val="39"/>
    <w:qFormat/>
    <w:rsid w:val="00BE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580</Words>
  <Characters>3308</Characters>
  <Application>Microsoft Office Word</Application>
  <DocSecurity>0</DocSecurity>
  <Lines>27</Lines>
  <Paragraphs>7</Paragraphs>
  <ScaleCrop>false</ScaleCrop>
  <Company>tj.com</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林巧</dc:creator>
  <cp:lastModifiedBy>赵鑫</cp:lastModifiedBy>
  <cp:revision>2</cp:revision>
  <cp:lastPrinted>2024-07-16T08:33:00Z</cp:lastPrinted>
  <dcterms:created xsi:type="dcterms:W3CDTF">2024-07-16T08:35:00Z</dcterms:created>
  <dcterms:modified xsi:type="dcterms:W3CDTF">2024-07-16T08:35:00Z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E9CD4925F46E40BEB6D9D5D306452FF3</vt:lpwstr>
  </property>
</Properties>
</file>