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520" w:lineRule="exact"/>
        <w:rPr>
          <w:rFonts w:ascii="宋体" w:hAnsi="宋体"/>
          <w:b/>
          <w:bCs/>
          <w:iCs/>
          <w:szCs w:val="21"/>
        </w:rPr>
      </w:pPr>
      <w:r>
        <w:rPr>
          <w:rFonts w:hint="eastAsia" w:ascii="宋体" w:hAnsi="宋体"/>
          <w:b/>
          <w:bCs/>
          <w:iCs/>
          <w:szCs w:val="21"/>
        </w:rPr>
        <w:t>附件一：</w:t>
      </w:r>
    </w:p>
    <w:p>
      <w:pPr>
        <w:spacing w:beforeLines="50" w:afterLines="50" w:line="520" w:lineRule="exact"/>
        <w:rPr>
          <w:rFonts w:ascii="方正小标宋简体" w:hAnsi="宋体" w:eastAsia="方正小标宋简体"/>
          <w:bCs/>
          <w:iCs/>
          <w:szCs w:val="21"/>
        </w:rPr>
      </w:pPr>
      <w:r>
        <w:rPr>
          <w:rFonts w:hint="eastAsia" w:ascii="方正小标宋简体" w:hAnsi="宋体" w:eastAsia="方正小标宋简体"/>
          <w:bCs/>
          <w:iCs/>
          <w:szCs w:val="21"/>
        </w:rPr>
        <w:t>证券代码：600880                                              证券简称：博瑞传播</w:t>
      </w:r>
    </w:p>
    <w:p>
      <w:pPr>
        <w:spacing w:beforeLines="50" w:afterLines="50" w:line="520" w:lineRule="exact"/>
        <w:jc w:val="center"/>
        <w:rPr>
          <w:rFonts w:ascii="方正小标宋简体" w:hAnsi="宋体" w:eastAsia="方正小标宋简体"/>
          <w:bCs/>
          <w:iCs/>
          <w:sz w:val="32"/>
        </w:rPr>
      </w:pPr>
      <w:r>
        <w:rPr>
          <w:rFonts w:hint="eastAsia" w:ascii="方正小标宋简体" w:hAnsi="宋体" w:eastAsia="方正小标宋简体"/>
          <w:bCs/>
          <w:iCs/>
          <w:sz w:val="32"/>
        </w:rPr>
        <w:t>成都博瑞传播股份有限公司投资者关系活动记录表</w:t>
      </w:r>
    </w:p>
    <w:p>
      <w:pPr>
        <w:spacing w:line="520" w:lineRule="exact"/>
        <w:rPr>
          <w:rFonts w:hint="default" w:ascii="宋体" w:hAnsi="宋体" w:eastAsia="宋体"/>
          <w:bCs/>
          <w:iCs/>
          <w:szCs w:val="21"/>
          <w:lang w:val="en-US" w:eastAsia="zh-CN"/>
        </w:rPr>
      </w:pPr>
      <w:r>
        <w:rPr>
          <w:rFonts w:ascii="宋体" w:hAnsi="宋体"/>
          <w:bCs/>
          <w:iCs/>
          <w:sz w:val="24"/>
        </w:rPr>
        <w:t xml:space="preserve">                                                        </w:t>
      </w:r>
      <w:r>
        <w:rPr>
          <w:rFonts w:hint="eastAsia" w:ascii="宋体" w:hAnsi="宋体"/>
          <w:bCs/>
          <w:iCs/>
          <w:szCs w:val="21"/>
        </w:rPr>
        <w:t>编号：</w:t>
      </w:r>
      <w:r>
        <w:rPr>
          <w:rFonts w:hint="eastAsia" w:ascii="宋体" w:hAnsi="宋体"/>
          <w:bCs/>
          <w:iCs/>
          <w:szCs w:val="21"/>
          <w:lang w:val="en-US" w:eastAsia="zh-CN"/>
        </w:rPr>
        <w:t>2024-003</w:t>
      </w:r>
    </w:p>
    <w:tbl>
      <w:tblPr>
        <w:tblStyle w:val="5"/>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7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7" w:type="dxa"/>
            <w:shd w:val="clear" w:color="auto" w:fill="auto"/>
            <w:vAlign w:val="center"/>
          </w:tcPr>
          <w:p>
            <w:pPr>
              <w:spacing w:line="520" w:lineRule="exact"/>
              <w:jc w:val="center"/>
              <w:rPr>
                <w:rFonts w:ascii="宋体" w:hAnsi="宋体"/>
                <w:b/>
                <w:bCs/>
                <w:iCs/>
                <w:szCs w:val="21"/>
              </w:rPr>
            </w:pPr>
            <w:r>
              <w:rPr>
                <w:rFonts w:hint="eastAsia" w:ascii="宋体" w:hAnsi="宋体"/>
                <w:b/>
                <w:bCs/>
                <w:iCs/>
                <w:szCs w:val="21"/>
              </w:rPr>
              <w:t>投资者关系活动类别</w:t>
            </w:r>
          </w:p>
        </w:tc>
        <w:tc>
          <w:tcPr>
            <w:tcW w:w="7748" w:type="dxa"/>
            <w:shd w:val="clear" w:color="auto" w:fill="auto"/>
          </w:tcPr>
          <w:p>
            <w:pPr>
              <w:spacing w:line="520" w:lineRule="exact"/>
              <w:rPr>
                <w:szCs w:val="21"/>
              </w:rPr>
            </w:pPr>
            <w:r>
              <w:rPr>
                <w:rFonts w:hint="eastAsia"/>
                <w:szCs w:val="21"/>
              </w:rPr>
              <w:sym w:font="Wingdings 2" w:char="0052"/>
            </w:r>
            <w:r>
              <w:rPr>
                <w:rFonts w:hint="eastAsia" w:ascii="宋体" w:hAnsi="宋体"/>
                <w:szCs w:val="21"/>
              </w:rPr>
              <w:t>特定对象调研        □分析师会议</w:t>
            </w:r>
            <w:r>
              <w:rPr>
                <w:rFonts w:hint="eastAsia"/>
                <w:szCs w:val="21"/>
              </w:rPr>
              <w:t xml:space="preserve"> </w:t>
            </w:r>
            <w:r>
              <w:rPr>
                <w:szCs w:val="21"/>
              </w:rPr>
              <w:t xml:space="preserve">    </w:t>
            </w:r>
            <w:r>
              <w:rPr>
                <w:rFonts w:hint="eastAsia"/>
                <w:szCs w:val="21"/>
              </w:rPr>
              <w:t>□媒体采访      □</w:t>
            </w:r>
            <w:r>
              <w:rPr>
                <w:rFonts w:hint="eastAsia"/>
                <w:szCs w:val="21"/>
                <w:lang w:val="en-US" w:eastAsia="zh-CN"/>
              </w:rPr>
              <w:t>投资者</w:t>
            </w:r>
            <w:r>
              <w:rPr>
                <w:rFonts w:hint="eastAsia"/>
                <w:szCs w:val="21"/>
              </w:rPr>
              <w:t>说明会</w:t>
            </w:r>
          </w:p>
          <w:p>
            <w:pPr>
              <w:spacing w:line="520" w:lineRule="exact"/>
              <w:rPr>
                <w:rFonts w:ascii="宋体" w:hAnsi="宋体"/>
                <w:bCs/>
                <w:iCs/>
                <w:szCs w:val="21"/>
              </w:rPr>
            </w:pPr>
            <w:r>
              <w:rPr>
                <w:rFonts w:hint="eastAsia"/>
                <w:szCs w:val="21"/>
              </w:rPr>
              <w:t xml:space="preserve">□新闻发布会          □路演活动 </w:t>
            </w:r>
            <w:r>
              <w:rPr>
                <w:szCs w:val="21"/>
              </w:rPr>
              <w:t xml:space="preserve">      </w:t>
            </w:r>
            <w:r>
              <w:rPr>
                <w:rFonts w:hint="eastAsia"/>
                <w:szCs w:val="21"/>
              </w:rPr>
              <w:t>□现场参观</w:t>
            </w:r>
            <w:r>
              <w:rPr>
                <w:szCs w:val="21"/>
              </w:rPr>
              <w:t xml:space="preserve">    </w:t>
            </w:r>
            <w:r>
              <w:rPr>
                <w:rFonts w:hint="eastAsia"/>
                <w:szCs w:val="21"/>
              </w:rPr>
              <w:t xml:space="preserve"> □其他 （电话会议）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2367" w:type="dxa"/>
            <w:shd w:val="clear" w:color="auto" w:fill="auto"/>
            <w:vAlign w:val="center"/>
          </w:tcPr>
          <w:p>
            <w:pPr>
              <w:spacing w:line="520" w:lineRule="exact"/>
              <w:jc w:val="center"/>
              <w:rPr>
                <w:rFonts w:ascii="宋体" w:hAnsi="宋体"/>
                <w:b/>
                <w:bCs/>
                <w:iCs/>
                <w:szCs w:val="21"/>
              </w:rPr>
            </w:pPr>
            <w:r>
              <w:rPr>
                <w:rFonts w:hint="eastAsia" w:ascii="宋体" w:hAnsi="宋体"/>
                <w:b/>
                <w:bCs/>
                <w:iCs/>
                <w:szCs w:val="21"/>
              </w:rPr>
              <w:t>参与单位名称及</w:t>
            </w:r>
          </w:p>
          <w:p>
            <w:pPr>
              <w:spacing w:line="520" w:lineRule="exact"/>
              <w:jc w:val="center"/>
              <w:rPr>
                <w:rFonts w:ascii="宋体" w:hAnsi="宋体"/>
                <w:b/>
                <w:bCs/>
                <w:iCs/>
                <w:szCs w:val="21"/>
              </w:rPr>
            </w:pPr>
            <w:r>
              <w:rPr>
                <w:rFonts w:hint="eastAsia" w:ascii="宋体" w:hAnsi="宋体"/>
                <w:b/>
                <w:bCs/>
                <w:iCs/>
                <w:szCs w:val="21"/>
              </w:rPr>
              <w:t>人员姓名</w:t>
            </w:r>
          </w:p>
        </w:tc>
        <w:tc>
          <w:tcPr>
            <w:tcW w:w="7748" w:type="dxa"/>
            <w:shd w:val="clear" w:color="auto" w:fill="auto"/>
          </w:tcPr>
          <w:p>
            <w:pPr>
              <w:spacing w:line="520" w:lineRule="exact"/>
              <w:rPr>
                <w:rFonts w:hint="default" w:eastAsia="宋体"/>
                <w:szCs w:val="21"/>
                <w:lang w:val="en-US" w:eastAsia="zh-CN"/>
              </w:rPr>
            </w:pPr>
            <w:r>
              <w:rPr>
                <w:rFonts w:hint="eastAsia"/>
                <w:szCs w:val="21"/>
                <w:lang w:val="en-US" w:eastAsia="zh-CN"/>
              </w:rPr>
              <w:t>东方财富证券 陈子怡 班红敏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7" w:type="dxa"/>
            <w:shd w:val="clear" w:color="auto" w:fill="auto"/>
            <w:vAlign w:val="center"/>
          </w:tcPr>
          <w:p>
            <w:pPr>
              <w:spacing w:line="520" w:lineRule="exact"/>
              <w:jc w:val="center"/>
              <w:rPr>
                <w:rFonts w:ascii="宋体" w:hAnsi="宋体"/>
                <w:b/>
                <w:bCs/>
                <w:iCs/>
                <w:szCs w:val="21"/>
              </w:rPr>
            </w:pPr>
            <w:r>
              <w:rPr>
                <w:rFonts w:hint="eastAsia" w:ascii="宋体" w:hAnsi="宋体"/>
                <w:b/>
                <w:bCs/>
                <w:iCs/>
                <w:szCs w:val="21"/>
              </w:rPr>
              <w:t>时间</w:t>
            </w:r>
          </w:p>
        </w:tc>
        <w:tc>
          <w:tcPr>
            <w:tcW w:w="7748" w:type="dxa"/>
            <w:shd w:val="clear" w:color="auto" w:fill="auto"/>
          </w:tcPr>
          <w:p>
            <w:pPr>
              <w:spacing w:line="520" w:lineRule="exact"/>
              <w:rPr>
                <w:rFonts w:hint="default" w:ascii="宋体" w:hAnsi="宋体" w:eastAsia="宋体"/>
                <w:bCs/>
                <w:iCs/>
                <w:szCs w:val="21"/>
                <w:lang w:val="en-US" w:eastAsia="zh-CN"/>
              </w:rPr>
            </w:pPr>
            <w:r>
              <w:rPr>
                <w:rFonts w:hint="eastAsia" w:ascii="宋体" w:hAnsi="宋体"/>
                <w:bCs/>
                <w:iCs/>
                <w:szCs w:val="21"/>
                <w:lang w:val="en-US" w:eastAsia="zh-CN"/>
              </w:rPr>
              <w:t>2024.7.26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7" w:type="dxa"/>
            <w:shd w:val="clear" w:color="auto" w:fill="auto"/>
            <w:vAlign w:val="center"/>
          </w:tcPr>
          <w:p>
            <w:pPr>
              <w:spacing w:line="520" w:lineRule="exact"/>
              <w:jc w:val="center"/>
              <w:rPr>
                <w:rFonts w:ascii="宋体" w:hAnsi="宋体"/>
                <w:b/>
                <w:bCs/>
                <w:iCs/>
                <w:szCs w:val="21"/>
              </w:rPr>
            </w:pPr>
            <w:r>
              <w:rPr>
                <w:rFonts w:hint="eastAsia" w:ascii="宋体" w:hAnsi="宋体"/>
                <w:b/>
                <w:bCs/>
                <w:iCs/>
                <w:szCs w:val="21"/>
              </w:rPr>
              <w:t>地点</w:t>
            </w:r>
          </w:p>
        </w:tc>
        <w:tc>
          <w:tcPr>
            <w:tcW w:w="7748" w:type="dxa"/>
            <w:shd w:val="clear" w:color="auto" w:fill="auto"/>
          </w:tcPr>
          <w:p>
            <w:pPr>
              <w:spacing w:line="520" w:lineRule="exact"/>
              <w:rPr>
                <w:rFonts w:hint="default" w:ascii="宋体" w:hAnsi="宋体" w:eastAsia="宋体"/>
                <w:bCs/>
                <w:iCs/>
                <w:szCs w:val="21"/>
                <w:lang w:val="en-US" w:eastAsia="zh-CN"/>
              </w:rPr>
            </w:pPr>
            <w:r>
              <w:rPr>
                <w:rFonts w:hint="eastAsia" w:ascii="宋体" w:hAnsi="宋体"/>
                <w:bCs/>
                <w:iCs/>
                <w:szCs w:val="21"/>
                <w:lang w:val="en-US" w:eastAsia="zh-CN"/>
              </w:rPr>
              <w:t>博瑞传播公司</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67" w:type="dxa"/>
            <w:shd w:val="clear" w:color="auto" w:fill="auto"/>
            <w:vAlign w:val="center"/>
          </w:tcPr>
          <w:p>
            <w:pPr>
              <w:spacing w:line="520" w:lineRule="exact"/>
              <w:jc w:val="center"/>
              <w:rPr>
                <w:rFonts w:ascii="宋体" w:hAnsi="宋体"/>
                <w:b/>
                <w:bCs/>
                <w:iCs/>
                <w:szCs w:val="21"/>
              </w:rPr>
            </w:pPr>
            <w:r>
              <w:rPr>
                <w:rFonts w:hint="eastAsia" w:ascii="宋体" w:hAnsi="宋体"/>
                <w:b/>
                <w:bCs/>
                <w:iCs/>
                <w:szCs w:val="21"/>
              </w:rPr>
              <w:t>上市公司接待人员姓名</w:t>
            </w:r>
          </w:p>
        </w:tc>
        <w:tc>
          <w:tcPr>
            <w:tcW w:w="7748" w:type="dxa"/>
            <w:shd w:val="clear" w:color="auto" w:fill="auto"/>
          </w:tcPr>
          <w:p>
            <w:pPr>
              <w:spacing w:line="520" w:lineRule="exact"/>
              <w:rPr>
                <w:rFonts w:hint="default" w:ascii="宋体" w:hAnsi="宋体" w:eastAsia="宋体"/>
                <w:bCs/>
                <w:iCs/>
                <w:szCs w:val="21"/>
                <w:lang w:val="en-US" w:eastAsia="zh-CN"/>
              </w:rPr>
            </w:pPr>
            <w:r>
              <w:rPr>
                <w:rFonts w:hint="eastAsia" w:ascii="宋体" w:hAnsi="宋体"/>
                <w:bCs/>
                <w:iCs/>
                <w:szCs w:val="21"/>
                <w:lang w:val="en-US" w:eastAsia="zh-CN"/>
              </w:rPr>
              <w:t>证券事务代表 王薇、项目经理 马雨茜、IR 赵成伟 许晋嘉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367" w:type="dxa"/>
            <w:shd w:val="clear" w:color="auto" w:fill="auto"/>
            <w:vAlign w:val="center"/>
          </w:tcPr>
          <w:p>
            <w:pPr>
              <w:spacing w:line="520" w:lineRule="exact"/>
              <w:jc w:val="center"/>
              <w:rPr>
                <w:rFonts w:ascii="宋体" w:hAnsi="宋体"/>
                <w:b/>
                <w:bCs/>
                <w:iCs/>
                <w:szCs w:val="21"/>
              </w:rPr>
            </w:pPr>
            <w:r>
              <w:rPr>
                <w:rFonts w:hint="eastAsia" w:ascii="宋体" w:hAnsi="宋体"/>
                <w:b/>
                <w:bCs/>
                <w:iCs/>
                <w:szCs w:val="21"/>
              </w:rPr>
              <w:t>交流主题</w:t>
            </w:r>
          </w:p>
        </w:tc>
        <w:tc>
          <w:tcPr>
            <w:tcW w:w="7748" w:type="dxa"/>
            <w:shd w:val="clear" w:color="auto" w:fill="auto"/>
          </w:tcPr>
          <w:p>
            <w:pPr>
              <w:widowControl/>
              <w:spacing w:line="520" w:lineRule="exact"/>
              <w:ind w:firstLine="420" w:firstLineChars="200"/>
              <w:jc w:val="left"/>
              <w:rPr>
                <w:rFonts w:hint="eastAsia" w:ascii="仿宋_GB2312" w:hAnsi="微软雅黑" w:eastAsia="仿宋_GB2312" w:cs="宋体"/>
                <w:kern w:val="0"/>
                <w:szCs w:val="21"/>
                <w:lang w:val="en-US" w:eastAsia="zh-CN"/>
              </w:rPr>
            </w:pPr>
            <w:r>
              <w:rPr>
                <w:rFonts w:hint="eastAsia" w:ascii="仿宋_GB2312" w:hAnsi="微软雅黑" w:eastAsia="仿宋_GB2312" w:cs="宋体"/>
                <w:kern w:val="0"/>
                <w:szCs w:val="21"/>
                <w:lang w:val="en-US" w:eastAsia="zh-CN"/>
              </w:rPr>
              <w:t>一、根据公开资料公司目前获得了成都金融城演艺中心激光投影大屏的广告代理权，请问现在该项目的运营情况如何？本年广告业务的业绩预期如何？</w:t>
            </w:r>
          </w:p>
          <w:p>
            <w:pPr>
              <w:widowControl/>
              <w:spacing w:line="520" w:lineRule="exact"/>
              <w:ind w:firstLine="420" w:firstLineChars="200"/>
              <w:jc w:val="left"/>
              <w:rPr>
                <w:rFonts w:hint="eastAsia" w:ascii="仿宋_GB2312" w:hAnsi="微软雅黑" w:eastAsia="仿宋_GB2312" w:cs="宋体"/>
                <w:kern w:val="0"/>
                <w:szCs w:val="21"/>
                <w:lang w:val="en-US" w:eastAsia="zh-CN"/>
              </w:rPr>
            </w:pPr>
            <w:r>
              <w:rPr>
                <w:rFonts w:hint="eastAsia" w:ascii="仿宋_GB2312" w:hAnsi="微软雅黑" w:eastAsia="仿宋_GB2312" w:cs="宋体"/>
                <w:kern w:val="0"/>
                <w:szCs w:val="21"/>
                <w:lang w:val="en-US" w:eastAsia="zh-CN"/>
              </w:rPr>
              <w:t>成都金融城演艺中心作为成都地标建筑之一，其重点承接重大活动、展会及演出项目。而公司下属博瑞眼界代理的“激光投影大屏”位于金融城演艺中心外立面，因其具有较为新颖的传播展示方式，在成都市大运会期间得到过央视专门报道。目前项目正处招商引流阶段，财务收益未来将逐步体现。目前全国广告市场行情正在小幅回暖，行业技术加快了户外及新媒体广告的革新升级和迭代，公司将不断创新拥抱新技术，开发新资源，拓展新业态，持续以稳促发展。</w:t>
            </w:r>
          </w:p>
          <w:p>
            <w:pPr>
              <w:widowControl/>
              <w:spacing w:line="520" w:lineRule="exact"/>
              <w:jc w:val="left"/>
              <w:rPr>
                <w:rFonts w:hint="eastAsia" w:ascii="仿宋_GB2312" w:hAnsi="微软雅黑" w:eastAsia="仿宋_GB2312" w:cs="宋体"/>
                <w:kern w:val="0"/>
                <w:szCs w:val="21"/>
                <w:lang w:val="en-US" w:eastAsia="zh-CN"/>
              </w:rPr>
            </w:pPr>
          </w:p>
          <w:p>
            <w:pPr>
              <w:widowControl/>
              <w:spacing w:line="520" w:lineRule="exact"/>
              <w:ind w:firstLine="420" w:firstLineChars="200"/>
              <w:jc w:val="left"/>
              <w:rPr>
                <w:rFonts w:hint="eastAsia" w:ascii="仿宋_GB2312" w:hAnsi="微软雅黑" w:eastAsia="仿宋_GB2312" w:cs="宋体"/>
                <w:kern w:val="0"/>
                <w:szCs w:val="21"/>
                <w:lang w:val="en-US" w:eastAsia="zh-CN"/>
              </w:rPr>
            </w:pPr>
            <w:r>
              <w:rPr>
                <w:rFonts w:hint="eastAsia" w:ascii="仿宋_GB2312" w:hAnsi="微软雅黑" w:eastAsia="仿宋_GB2312" w:cs="宋体"/>
                <w:kern w:val="0"/>
                <w:szCs w:val="21"/>
                <w:lang w:val="en-US" w:eastAsia="zh-CN"/>
              </w:rPr>
              <w:t>二、公司前段时间披露了游戏《我叫MT》预计今年三季度上线，请问该游戏目前处于什么阶段？前段取得的《十万个冷笑话》游戏改编权，现在进展如何呢？</w:t>
            </w:r>
          </w:p>
          <w:p>
            <w:pPr>
              <w:widowControl/>
              <w:spacing w:line="520" w:lineRule="exact"/>
              <w:ind w:firstLine="420" w:firstLineChars="200"/>
              <w:jc w:val="left"/>
              <w:rPr>
                <w:rFonts w:hint="eastAsia" w:ascii="仿宋_GB2312" w:hAnsi="微软雅黑" w:eastAsia="仿宋_GB2312" w:cs="宋体"/>
                <w:kern w:val="0"/>
                <w:szCs w:val="21"/>
                <w:lang w:val="en-US" w:eastAsia="zh-CN"/>
              </w:rPr>
            </w:pPr>
            <w:r>
              <w:rPr>
                <w:rFonts w:hint="eastAsia" w:ascii="仿宋_GB2312" w:hAnsi="微软雅黑" w:eastAsia="仿宋_GB2312" w:cs="宋体"/>
                <w:kern w:val="0"/>
                <w:szCs w:val="21"/>
                <w:lang w:val="en-US" w:eastAsia="zh-CN"/>
              </w:rPr>
              <w:t>公司旗下游戏公司漫游谷正在推进研发的《我叫MT:口袋守卫战》融入了目前正在同步热播的《我叫MT》第七季最新剧情任务、场景地图、新增英雄等，是《我叫MT》首款卡牌+塔防玩法的IP授权游戏，也是《我叫MT》导演核桃首款亲自参与游戏剧情设计的IP授权手游，将于8月暑期档全平台公测。而B站授权的《十万个冷笑话》的游戏改编目前已完成了立项，后续工作将按照正常进度，逐步推进。</w:t>
            </w:r>
          </w:p>
          <w:p>
            <w:pPr>
              <w:widowControl/>
              <w:spacing w:line="520" w:lineRule="exact"/>
              <w:jc w:val="left"/>
              <w:rPr>
                <w:rFonts w:hint="default" w:ascii="仿宋_GB2312" w:hAnsi="微软雅黑" w:eastAsia="仿宋_GB2312" w:cs="宋体"/>
                <w:kern w:val="0"/>
                <w:szCs w:val="21"/>
                <w:lang w:val="en-US" w:eastAsia="zh-CN"/>
              </w:rPr>
            </w:pPr>
          </w:p>
          <w:p>
            <w:pPr>
              <w:widowControl/>
              <w:spacing w:line="520" w:lineRule="exact"/>
              <w:ind w:firstLine="420" w:firstLineChars="200"/>
              <w:jc w:val="left"/>
              <w:rPr>
                <w:rFonts w:hint="eastAsia" w:ascii="仿宋_GB2312" w:hAnsi="微软雅黑" w:eastAsia="仿宋_GB2312" w:cs="宋体"/>
                <w:kern w:val="0"/>
                <w:szCs w:val="21"/>
                <w:lang w:val="en-US" w:eastAsia="zh-CN"/>
              </w:rPr>
            </w:pPr>
            <w:r>
              <w:rPr>
                <w:rFonts w:hint="eastAsia" w:ascii="仿宋_GB2312" w:hAnsi="微软雅黑" w:eastAsia="仿宋_GB2312" w:cs="宋体"/>
                <w:kern w:val="0"/>
                <w:szCs w:val="21"/>
                <w:lang w:val="en-US" w:eastAsia="zh-CN"/>
              </w:rPr>
              <w:t>三、我们关注到公司的《全民主公2》荣获华为开发者大会“最佳塔防游戏”。这款游戏已经面市好几年了，请问公司是如何运营该游戏得到市场认可的？</w:t>
            </w:r>
          </w:p>
          <w:p>
            <w:pPr>
              <w:widowControl/>
              <w:spacing w:line="520" w:lineRule="exact"/>
              <w:ind w:firstLine="420" w:firstLineChars="200"/>
              <w:jc w:val="left"/>
              <w:rPr>
                <w:rFonts w:hint="eastAsia" w:ascii="仿宋_GB2312" w:hAnsi="微软雅黑" w:eastAsia="仿宋_GB2312" w:cs="宋体"/>
                <w:kern w:val="0"/>
                <w:szCs w:val="21"/>
                <w:lang w:val="en-US" w:eastAsia="zh-CN"/>
              </w:rPr>
            </w:pPr>
            <w:r>
              <w:rPr>
                <w:rFonts w:hint="eastAsia" w:ascii="仿宋_GB2312" w:hAnsi="微软雅黑" w:eastAsia="仿宋_GB2312" w:cs="宋体"/>
                <w:kern w:val="0"/>
                <w:szCs w:val="21"/>
                <w:lang w:val="en-US" w:eastAsia="zh-CN"/>
              </w:rPr>
              <w:t>“全民主公</w:t>
            </w:r>
            <w:r>
              <w:rPr>
                <w:rFonts w:hint="default" w:ascii="仿宋_GB2312" w:hAnsi="微软雅黑" w:eastAsia="仿宋_GB2312" w:cs="宋体"/>
                <w:kern w:val="0"/>
                <w:szCs w:val="21"/>
                <w:lang w:val="en-US" w:eastAsia="zh-CN"/>
              </w:rPr>
              <w:t>”</w:t>
            </w:r>
            <w:r>
              <w:rPr>
                <w:rFonts w:hint="eastAsia" w:ascii="仿宋_GB2312" w:hAnsi="微软雅黑" w:eastAsia="仿宋_GB2312" w:cs="宋体"/>
                <w:kern w:val="0"/>
                <w:szCs w:val="21"/>
                <w:lang w:val="en-US" w:eastAsia="zh-CN"/>
              </w:rPr>
              <w:t>是漫游谷近年来研发出品的最具代表性的系列游戏之一，生命力较强，从最初到现在，版本已迭代了多个、游戏覆盖范围也从国内出海至东南亚。公司始终坚持以弘扬中华传统文化和正向价值观为导向，以市场需求为基础，通过科学的策略规划、细心的用户数据驱动、实时的验证和迭代、数据的全流程闭环管理提升游戏营运效果。</w:t>
            </w:r>
          </w:p>
          <w:p>
            <w:pPr>
              <w:widowControl/>
              <w:spacing w:line="520" w:lineRule="exact"/>
              <w:jc w:val="left"/>
              <w:rPr>
                <w:rFonts w:hint="default" w:ascii="仿宋_GB2312" w:hAnsi="微软雅黑" w:eastAsia="仿宋_GB2312" w:cs="宋体"/>
                <w:kern w:val="0"/>
                <w:szCs w:val="21"/>
                <w:lang w:val="en-US" w:eastAsia="zh-CN"/>
              </w:rPr>
            </w:pPr>
          </w:p>
          <w:p>
            <w:pPr>
              <w:widowControl/>
              <w:spacing w:line="520" w:lineRule="exact"/>
              <w:ind w:firstLine="420" w:firstLineChars="200"/>
              <w:jc w:val="left"/>
              <w:rPr>
                <w:rFonts w:hint="eastAsia" w:ascii="仿宋_GB2312" w:hAnsi="微软雅黑" w:eastAsia="仿宋_GB2312" w:cs="宋体"/>
                <w:kern w:val="0"/>
                <w:szCs w:val="21"/>
                <w:lang w:val="en-US" w:eastAsia="zh-CN"/>
              </w:rPr>
            </w:pPr>
            <w:r>
              <w:rPr>
                <w:rFonts w:hint="eastAsia" w:ascii="仿宋_GB2312" w:hAnsi="微软雅黑" w:eastAsia="仿宋_GB2312" w:cs="宋体"/>
                <w:kern w:val="0"/>
                <w:szCs w:val="21"/>
                <w:lang w:val="en-US" w:eastAsia="zh-CN"/>
              </w:rPr>
              <w:t>四、公司在新闻中提及了生学教育公司在和四川大学华西医院的合作。请简单介绍合作内容以及市场预期？</w:t>
            </w:r>
          </w:p>
          <w:p>
            <w:pPr>
              <w:widowControl/>
              <w:spacing w:line="520" w:lineRule="exact"/>
              <w:ind w:firstLine="420" w:firstLineChars="200"/>
              <w:jc w:val="left"/>
              <w:rPr>
                <w:rFonts w:hint="eastAsia" w:ascii="仿宋_GB2312" w:hAnsi="微软雅黑" w:eastAsia="仿宋_GB2312" w:cs="宋体"/>
                <w:kern w:val="0"/>
                <w:szCs w:val="21"/>
                <w:lang w:val="en-US" w:eastAsia="zh-CN"/>
              </w:rPr>
            </w:pPr>
            <w:r>
              <w:rPr>
                <w:rFonts w:hint="eastAsia" w:ascii="仿宋_GB2312" w:hAnsi="微软雅黑" w:eastAsia="仿宋_GB2312" w:cs="宋体"/>
                <w:kern w:val="0"/>
                <w:szCs w:val="21"/>
                <w:lang w:val="en-US" w:eastAsia="zh-CN"/>
              </w:rPr>
              <w:t>生学教育与四川大学华西医院建立了深度的战略合作，合作的内容包括“生命健康”和“急救教育课程及配套图书”、“心理健康测评服务的推广及落地”等多个方面。公司希望通过与行业头部企业合作，推出一些自研业务和产品，提高产品和服务的精品化，并优化相关营收占比。目前生学教育以智慧管理为切入口，深耕智慧教育并逐步探索智慧城市赛道，整体已取得了较好的经营业绩，发展势头良好。</w:t>
            </w:r>
          </w:p>
          <w:p>
            <w:pPr>
              <w:widowControl/>
              <w:spacing w:line="520" w:lineRule="exact"/>
              <w:jc w:val="left"/>
              <w:rPr>
                <w:rFonts w:hint="default" w:ascii="仿宋_GB2312" w:hAnsi="微软雅黑" w:eastAsia="仿宋_GB2312" w:cs="宋体"/>
                <w:kern w:val="0"/>
                <w:szCs w:val="21"/>
                <w:lang w:val="en-US" w:eastAsia="zh-CN"/>
              </w:rPr>
            </w:pPr>
          </w:p>
          <w:p>
            <w:pPr>
              <w:widowControl/>
              <w:spacing w:line="520" w:lineRule="exact"/>
              <w:ind w:firstLine="420" w:firstLineChars="200"/>
              <w:jc w:val="left"/>
              <w:rPr>
                <w:rFonts w:hint="eastAsia" w:ascii="仿宋_GB2312" w:hAnsi="微软雅黑" w:eastAsia="仿宋_GB2312" w:cs="宋体"/>
                <w:kern w:val="0"/>
                <w:szCs w:val="21"/>
                <w:lang w:val="en-US" w:eastAsia="zh-CN"/>
              </w:rPr>
            </w:pPr>
            <w:r>
              <w:rPr>
                <w:rFonts w:hint="eastAsia" w:ascii="仿宋_GB2312" w:hAnsi="微软雅黑" w:eastAsia="仿宋_GB2312" w:cs="宋体"/>
                <w:kern w:val="0"/>
                <w:szCs w:val="21"/>
                <w:lang w:val="en-US" w:eastAsia="zh-CN"/>
              </w:rPr>
              <w:t>五、请问公司近几年是否有资本市场的并购计划？</w:t>
            </w:r>
          </w:p>
          <w:p>
            <w:pPr>
              <w:widowControl/>
              <w:spacing w:line="520" w:lineRule="exact"/>
              <w:ind w:firstLine="420" w:firstLineChars="200"/>
              <w:jc w:val="left"/>
              <w:rPr>
                <w:rFonts w:hint="default" w:ascii="仿宋_GB2312" w:hAnsi="微软雅黑" w:eastAsia="仿宋_GB2312" w:cs="宋体"/>
                <w:kern w:val="0"/>
                <w:szCs w:val="21"/>
                <w:lang w:val="en-US" w:eastAsia="zh-CN"/>
              </w:rPr>
            </w:pPr>
            <w:r>
              <w:rPr>
                <w:rFonts w:hint="eastAsia" w:ascii="仿宋_GB2312" w:hAnsi="微软雅黑" w:eastAsia="仿宋_GB2312" w:cs="宋体"/>
                <w:kern w:val="0"/>
                <w:szCs w:val="21"/>
                <w:lang w:val="en-US" w:eastAsia="zh-CN"/>
              </w:rPr>
              <w:t>自改革转型以来，</w:t>
            </w:r>
            <w:r>
              <w:rPr>
                <w:rFonts w:hint="default" w:ascii="仿宋_GB2312" w:hAnsi="微软雅黑" w:eastAsia="仿宋_GB2312" w:cs="宋体"/>
                <w:kern w:val="0"/>
                <w:szCs w:val="21"/>
                <w:lang w:val="en-US" w:eastAsia="zh-CN"/>
              </w:rPr>
              <w:t>公司</w:t>
            </w:r>
            <w:r>
              <w:rPr>
                <w:rFonts w:hint="eastAsia" w:ascii="仿宋_GB2312" w:hAnsi="微软雅黑" w:eastAsia="仿宋_GB2312" w:cs="宋体"/>
                <w:kern w:val="0"/>
                <w:szCs w:val="21"/>
                <w:lang w:val="en-US" w:eastAsia="zh-CN"/>
              </w:rPr>
              <w:t>一直</w:t>
            </w:r>
            <w:r>
              <w:rPr>
                <w:rFonts w:hint="default" w:ascii="仿宋_GB2312" w:hAnsi="微软雅黑" w:eastAsia="仿宋_GB2312" w:cs="宋体"/>
                <w:kern w:val="0"/>
                <w:szCs w:val="21"/>
                <w:lang w:val="en-US" w:eastAsia="zh-CN"/>
              </w:rPr>
              <w:t>围绕现代传播、数字文化新经济</w:t>
            </w:r>
            <w:r>
              <w:rPr>
                <w:rFonts w:hint="eastAsia" w:ascii="仿宋_GB2312" w:hAnsi="微软雅黑" w:eastAsia="仿宋_GB2312" w:cs="宋体"/>
                <w:kern w:val="0"/>
                <w:szCs w:val="21"/>
                <w:lang w:val="en-US" w:eastAsia="zh-CN"/>
              </w:rPr>
              <w:t>的</w:t>
            </w:r>
            <w:r>
              <w:rPr>
                <w:rFonts w:hint="default" w:ascii="仿宋_GB2312" w:hAnsi="微软雅黑" w:eastAsia="仿宋_GB2312" w:cs="宋体"/>
                <w:kern w:val="0"/>
                <w:szCs w:val="21"/>
                <w:lang w:val="en-US" w:eastAsia="zh-CN"/>
              </w:rPr>
              <w:t>发展战略和经营方向，积极寻求相关合作。</w:t>
            </w:r>
            <w:r>
              <w:rPr>
                <w:rFonts w:hint="eastAsia" w:ascii="仿宋_GB2312" w:hAnsi="微软雅黑" w:eastAsia="仿宋_GB2312" w:cs="宋体"/>
                <w:kern w:val="0"/>
                <w:szCs w:val="21"/>
                <w:lang w:val="en-US" w:eastAsia="zh-CN"/>
              </w:rPr>
              <w:t>但是由于近年新质生产力快速发展，市场业态的变化十分剧烈且迅速，公司对市场并购禀持积极且审慎态度。公司致力于将自身打造成为成都数字文创新经济重要资本平台，所以后续会</w:t>
            </w:r>
            <w:r>
              <w:rPr>
                <w:rFonts w:hint="default" w:ascii="仿宋_GB2312" w:hAnsi="微软雅黑" w:eastAsia="仿宋_GB2312" w:cs="宋体"/>
                <w:kern w:val="0"/>
                <w:szCs w:val="21"/>
                <w:lang w:val="en-US" w:eastAsia="zh-CN"/>
              </w:rPr>
              <w:t>积极响应国家关于大力发展新质生产力的号召，围绕“智慧管理、数字文创、现代传媒”三大方向，全力推动公司向数字化转型，筑主业、锁重点，力争取得跨越式发展。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2367" w:type="dxa"/>
            <w:shd w:val="clear" w:color="auto" w:fill="auto"/>
            <w:vAlign w:val="center"/>
          </w:tcPr>
          <w:p>
            <w:pPr>
              <w:spacing w:line="520" w:lineRule="exact"/>
              <w:jc w:val="both"/>
              <w:rPr>
                <w:rFonts w:hint="default" w:ascii="宋体" w:hAnsi="宋体" w:eastAsia="宋体"/>
                <w:b/>
                <w:bCs/>
                <w:iCs/>
                <w:szCs w:val="21"/>
                <w:lang w:val="en-US" w:eastAsia="zh-CN"/>
              </w:rPr>
            </w:pPr>
            <w:r>
              <w:rPr>
                <w:rFonts w:hint="eastAsia" w:ascii="宋体" w:hAnsi="宋体"/>
                <w:b/>
                <w:bCs/>
                <w:iCs/>
                <w:szCs w:val="21"/>
                <w:lang w:val="en-US" w:eastAsia="zh-CN"/>
              </w:rPr>
              <w:t>附件清单(如有）</w:t>
            </w:r>
          </w:p>
        </w:tc>
        <w:tc>
          <w:tcPr>
            <w:tcW w:w="7748" w:type="dxa"/>
            <w:shd w:val="clear" w:color="auto" w:fill="auto"/>
          </w:tcPr>
          <w:p>
            <w:pPr>
              <w:spacing w:line="520" w:lineRule="exact"/>
              <w:rPr>
                <w:rFonts w:ascii="宋体" w:hAnsi="宋体"/>
                <w:bCs/>
                <w:iCs/>
                <w:szCs w:val="21"/>
              </w:rPr>
            </w:pPr>
            <w:r>
              <w:rPr>
                <w:rFonts w:ascii="宋体" w:hAnsi="宋体"/>
                <w:bCs/>
                <w:iCs/>
                <w:szCs w:val="21"/>
              </w:rPr>
              <w:t xml:space="preserve">        </w:t>
            </w:r>
          </w:p>
          <w:p>
            <w:pPr>
              <w:widowControl/>
              <w:spacing w:line="520" w:lineRule="exact"/>
              <w:jc w:val="left"/>
              <w:rPr>
                <w:rFonts w:ascii="宋体" w:hAnsi="宋体"/>
                <w:bCs/>
                <w:iCs/>
                <w:szCs w:val="21"/>
              </w:rPr>
            </w:pPr>
          </w:p>
        </w:tc>
      </w:tr>
    </w:tbl>
    <w:p>
      <w:pPr>
        <w:spacing w:line="520" w:lineRule="exact"/>
      </w:pPr>
    </w:p>
    <w:p>
      <w:pPr>
        <w:jc w:val="center"/>
        <w:rPr>
          <w:rFonts w:ascii="宋体" w:hAnsi="宋体" w:cs="宋体"/>
          <w:smallCaps/>
          <w:color w:val="000000"/>
          <w:sz w:val="24"/>
          <w:szCs w:val="20"/>
        </w:rPr>
      </w:pPr>
    </w:p>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jc w:val="center"/>
      <w:rPr>
        <w:rStyle w:val="7"/>
      </w:rPr>
    </w:pPr>
    <w:r>
      <w:rPr>
        <w:rStyle w:val="7"/>
      </w:rPr>
      <w:fldChar w:fldCharType="begin"/>
    </w:r>
    <w:r>
      <w:rPr>
        <w:rStyle w:val="7"/>
      </w:rPr>
      <w:instrText xml:space="preserve">PAGE  </w:instrText>
    </w:r>
    <w:r>
      <w:rPr>
        <w:rStyle w:val="7"/>
      </w:rPr>
      <w:fldChar w:fldCharType="separate"/>
    </w:r>
    <w:r>
      <w:rPr>
        <w:rStyle w:val="7"/>
      </w:rPr>
      <w:t>12</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仿宋_GB2312"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94C5E"/>
    <w:rsid w:val="13902CCF"/>
    <w:rsid w:val="1DEA711F"/>
    <w:rsid w:val="62B13F5B"/>
    <w:rsid w:val="6FB4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2024-07-26T06:02:00Z</dcterms:created>
  <dc:creator>lenovo</dc:creator>
  <cp:lastModifiedBy>飞天猪</cp:lastModifiedBy>
  <dcterms:modified xsi:type="dcterms:W3CDTF">2024-07-29T03:56:43Z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D4FDE77E2E0E4450A9D3EDDD993948A9</vt:lpwstr>
  </property>
</Properties>
</file>