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F14C9" w14:textId="77777777" w:rsidR="00E6483B" w:rsidRPr="00AA78A5" w:rsidRDefault="00E6483B" w:rsidP="00E6483B">
      <w:pPr>
        <w:spacing w:line="360" w:lineRule="auto"/>
        <w:ind w:firstLineChars="200" w:firstLine="562"/>
        <w:jc w:val="center"/>
        <w:rPr>
          <w:rFonts w:ascii="宋体" w:eastAsia="宋体" w:hAnsi="宋体"/>
          <w:b/>
          <w:sz w:val="28"/>
          <w:szCs w:val="28"/>
        </w:rPr>
      </w:pPr>
      <w:r w:rsidRPr="00AA78A5">
        <w:rPr>
          <w:rFonts w:ascii="宋体" w:eastAsia="宋体" w:hAnsi="宋体" w:hint="eastAsia"/>
          <w:b/>
          <w:sz w:val="28"/>
          <w:szCs w:val="28"/>
        </w:rPr>
        <w:t>湖北振华化学股份有限公司</w:t>
      </w:r>
    </w:p>
    <w:p w14:paraId="5ACC37BF" w14:textId="5F6E4761" w:rsidR="00E6483B" w:rsidRPr="00AA78A5" w:rsidRDefault="00427FD4" w:rsidP="00E6483B">
      <w:pPr>
        <w:spacing w:line="360" w:lineRule="auto"/>
        <w:ind w:firstLineChars="200" w:firstLine="562"/>
        <w:jc w:val="center"/>
        <w:rPr>
          <w:rFonts w:ascii="宋体" w:eastAsia="宋体" w:hAnsi="宋体"/>
          <w:b/>
          <w:sz w:val="28"/>
          <w:szCs w:val="28"/>
        </w:rPr>
      </w:pPr>
      <w:r>
        <w:rPr>
          <w:rFonts w:ascii="宋体" w:eastAsia="宋体" w:hAnsi="宋体" w:hint="eastAsia"/>
          <w:b/>
          <w:sz w:val="28"/>
          <w:szCs w:val="28"/>
        </w:rPr>
        <w:t>2</w:t>
      </w:r>
      <w:r>
        <w:rPr>
          <w:rFonts w:ascii="宋体" w:eastAsia="宋体" w:hAnsi="宋体"/>
          <w:b/>
          <w:sz w:val="28"/>
          <w:szCs w:val="28"/>
        </w:rPr>
        <w:t>024</w:t>
      </w:r>
      <w:r>
        <w:rPr>
          <w:rFonts w:ascii="宋体" w:eastAsia="宋体" w:hAnsi="宋体" w:hint="eastAsia"/>
          <w:b/>
          <w:sz w:val="28"/>
          <w:szCs w:val="28"/>
        </w:rPr>
        <w:t>年半年度</w:t>
      </w:r>
      <w:r>
        <w:rPr>
          <w:rFonts w:ascii="宋体" w:eastAsia="宋体" w:hAnsi="宋体"/>
          <w:b/>
          <w:sz w:val="28"/>
          <w:szCs w:val="28"/>
        </w:rPr>
        <w:t>业绩</w:t>
      </w:r>
      <w:r w:rsidR="00E6483B" w:rsidRPr="00AA78A5">
        <w:rPr>
          <w:rFonts w:ascii="宋体" w:eastAsia="宋体" w:hAnsi="宋体" w:hint="eastAsia"/>
          <w:b/>
          <w:sz w:val="28"/>
          <w:szCs w:val="28"/>
        </w:rPr>
        <w:t>交流会内容纪要</w:t>
      </w:r>
    </w:p>
    <w:p w14:paraId="389BABEA" w14:textId="77777777" w:rsidR="00E6483B" w:rsidRPr="00AA78A5" w:rsidRDefault="00E6483B" w:rsidP="00E6483B">
      <w:pPr>
        <w:spacing w:line="360" w:lineRule="auto"/>
        <w:ind w:firstLineChars="200" w:firstLine="562"/>
        <w:rPr>
          <w:rFonts w:ascii="宋体" w:eastAsia="宋体" w:hAnsi="宋体"/>
          <w:b/>
          <w:bCs/>
          <w:sz w:val="28"/>
          <w:szCs w:val="28"/>
        </w:rPr>
      </w:pPr>
    </w:p>
    <w:p w14:paraId="3B3BA793" w14:textId="6783713A" w:rsidR="00E6483B" w:rsidRPr="00AA78A5" w:rsidRDefault="00E6483B" w:rsidP="00E6483B">
      <w:pPr>
        <w:spacing w:line="360" w:lineRule="auto"/>
        <w:ind w:firstLineChars="200" w:firstLine="562"/>
        <w:rPr>
          <w:rFonts w:ascii="宋体" w:eastAsia="宋体" w:hAnsi="宋体"/>
          <w:b/>
          <w:bCs/>
          <w:sz w:val="28"/>
          <w:szCs w:val="28"/>
        </w:rPr>
      </w:pPr>
      <w:r w:rsidRPr="00AA78A5">
        <w:rPr>
          <w:rFonts w:ascii="宋体" w:eastAsia="宋体" w:hAnsi="宋体" w:hint="eastAsia"/>
          <w:b/>
          <w:bCs/>
          <w:sz w:val="28"/>
          <w:szCs w:val="28"/>
        </w:rPr>
        <w:t>一、会议基本情况</w:t>
      </w:r>
    </w:p>
    <w:p w14:paraId="7A9883D9" w14:textId="51D812BD" w:rsidR="00E6483B" w:rsidRPr="00AA78A5" w:rsidRDefault="00E6483B" w:rsidP="00E6483B">
      <w:pPr>
        <w:spacing w:line="360" w:lineRule="auto"/>
        <w:ind w:firstLineChars="200" w:firstLine="560"/>
        <w:rPr>
          <w:rFonts w:ascii="宋体" w:eastAsia="宋体" w:hAnsi="宋体"/>
          <w:color w:val="FF0000"/>
          <w:sz w:val="28"/>
          <w:szCs w:val="28"/>
        </w:rPr>
      </w:pPr>
      <w:r w:rsidRPr="00AA78A5">
        <w:rPr>
          <w:rFonts w:ascii="宋体" w:eastAsia="宋体" w:hAnsi="宋体" w:hint="eastAsia"/>
          <w:sz w:val="28"/>
          <w:szCs w:val="28"/>
        </w:rPr>
        <w:t>调研时间：202</w:t>
      </w:r>
      <w:r w:rsidRPr="00AA78A5">
        <w:rPr>
          <w:rFonts w:ascii="宋体" w:eastAsia="宋体" w:hAnsi="宋体"/>
          <w:sz w:val="28"/>
          <w:szCs w:val="28"/>
        </w:rPr>
        <w:t>4</w:t>
      </w:r>
      <w:r w:rsidRPr="00AA78A5">
        <w:rPr>
          <w:rFonts w:ascii="宋体" w:eastAsia="宋体" w:hAnsi="宋体" w:hint="eastAsia"/>
          <w:sz w:val="28"/>
          <w:szCs w:val="28"/>
        </w:rPr>
        <w:t>年</w:t>
      </w:r>
      <w:r w:rsidRPr="00AA78A5">
        <w:rPr>
          <w:rFonts w:ascii="宋体" w:eastAsia="宋体" w:hAnsi="宋体"/>
          <w:sz w:val="28"/>
          <w:szCs w:val="28"/>
        </w:rPr>
        <w:t>8</w:t>
      </w:r>
      <w:r w:rsidRPr="00AA78A5">
        <w:rPr>
          <w:rFonts w:ascii="宋体" w:eastAsia="宋体" w:hAnsi="宋体" w:hint="eastAsia"/>
          <w:sz w:val="28"/>
          <w:szCs w:val="28"/>
        </w:rPr>
        <w:t>月</w:t>
      </w:r>
      <w:r w:rsidRPr="00AA78A5">
        <w:rPr>
          <w:rFonts w:ascii="宋体" w:eastAsia="宋体" w:hAnsi="宋体"/>
          <w:sz w:val="28"/>
          <w:szCs w:val="28"/>
        </w:rPr>
        <w:t>14</w:t>
      </w:r>
      <w:r w:rsidRPr="00AA78A5">
        <w:rPr>
          <w:rFonts w:ascii="宋体" w:eastAsia="宋体" w:hAnsi="宋体" w:hint="eastAsia"/>
          <w:sz w:val="28"/>
          <w:szCs w:val="28"/>
        </w:rPr>
        <w:t>日</w:t>
      </w:r>
    </w:p>
    <w:p w14:paraId="480706AE" w14:textId="2FE8A72A" w:rsidR="00E6483B" w:rsidRPr="00AA78A5" w:rsidRDefault="00E6483B" w:rsidP="00E6483B">
      <w:pPr>
        <w:spacing w:line="360" w:lineRule="auto"/>
        <w:ind w:firstLineChars="200" w:firstLine="560"/>
        <w:rPr>
          <w:rFonts w:ascii="宋体" w:eastAsia="宋体" w:hAnsi="宋体" w:hint="eastAsia"/>
          <w:sz w:val="28"/>
          <w:szCs w:val="28"/>
        </w:rPr>
      </w:pPr>
      <w:r w:rsidRPr="00AA78A5">
        <w:rPr>
          <w:rFonts w:ascii="宋体" w:eastAsia="宋体" w:hAnsi="宋体" w:hint="eastAsia"/>
          <w:sz w:val="28"/>
          <w:szCs w:val="28"/>
        </w:rPr>
        <w:t>调研形式：电话会议</w:t>
      </w:r>
      <w:bookmarkStart w:id="0" w:name="_GoBack"/>
      <w:bookmarkEnd w:id="0"/>
    </w:p>
    <w:p w14:paraId="50981BF3" w14:textId="77777777" w:rsidR="00E6483B" w:rsidRPr="00AA78A5" w:rsidRDefault="00E6483B" w:rsidP="00E6483B">
      <w:pPr>
        <w:spacing w:line="360" w:lineRule="auto"/>
        <w:ind w:firstLineChars="200" w:firstLine="560"/>
        <w:rPr>
          <w:rFonts w:ascii="宋体" w:eastAsia="宋体" w:hAnsi="宋体"/>
          <w:sz w:val="28"/>
          <w:szCs w:val="28"/>
        </w:rPr>
      </w:pPr>
      <w:r w:rsidRPr="00AA78A5">
        <w:rPr>
          <w:rFonts w:ascii="宋体" w:eastAsia="宋体" w:hAnsi="宋体" w:hint="eastAsia"/>
          <w:sz w:val="28"/>
          <w:szCs w:val="28"/>
        </w:rPr>
        <w:t>公司参会人员：韩翔  总经理助理</w:t>
      </w:r>
    </w:p>
    <w:p w14:paraId="767511D7" w14:textId="77777777" w:rsidR="00E6483B" w:rsidRPr="00AA78A5" w:rsidRDefault="00E6483B" w:rsidP="00E6483B">
      <w:pPr>
        <w:spacing w:line="360" w:lineRule="auto"/>
        <w:ind w:firstLineChars="200" w:firstLine="560"/>
        <w:rPr>
          <w:rFonts w:ascii="宋体" w:eastAsia="宋体" w:hAnsi="宋体"/>
          <w:sz w:val="28"/>
          <w:szCs w:val="28"/>
        </w:rPr>
      </w:pPr>
      <w:r w:rsidRPr="00AA78A5">
        <w:rPr>
          <w:rFonts w:ascii="宋体" w:eastAsia="宋体" w:hAnsi="宋体" w:hint="eastAsia"/>
          <w:sz w:val="28"/>
          <w:szCs w:val="28"/>
        </w:rPr>
        <w:t>参会机构：详见附件“参会机构清单”</w:t>
      </w:r>
    </w:p>
    <w:p w14:paraId="02D117EF" w14:textId="77777777" w:rsidR="00E6483B" w:rsidRPr="00AA78A5" w:rsidRDefault="00E6483B">
      <w:pPr>
        <w:rPr>
          <w:rFonts w:ascii="宋体" w:eastAsia="宋体" w:hAnsi="宋体"/>
          <w:sz w:val="28"/>
          <w:szCs w:val="28"/>
        </w:rPr>
      </w:pPr>
    </w:p>
    <w:p w14:paraId="49D551F5" w14:textId="77777777" w:rsidR="00E6483B" w:rsidRPr="00AA78A5" w:rsidRDefault="00E6483B" w:rsidP="00E6483B">
      <w:pPr>
        <w:spacing w:line="360" w:lineRule="auto"/>
        <w:ind w:firstLineChars="200" w:firstLine="562"/>
        <w:rPr>
          <w:rFonts w:ascii="宋体" w:eastAsia="宋体" w:hAnsi="宋体"/>
          <w:b/>
          <w:bCs/>
          <w:sz w:val="28"/>
          <w:szCs w:val="28"/>
        </w:rPr>
      </w:pPr>
      <w:r w:rsidRPr="00AA78A5">
        <w:rPr>
          <w:rFonts w:ascii="宋体" w:eastAsia="宋体" w:hAnsi="宋体" w:hint="eastAsia"/>
          <w:b/>
          <w:bCs/>
          <w:sz w:val="28"/>
          <w:szCs w:val="28"/>
        </w:rPr>
        <w:t>二、会议交流的主要内容</w:t>
      </w:r>
    </w:p>
    <w:p w14:paraId="6DFA6D2F" w14:textId="3AFF71C4" w:rsidR="00E6483B" w:rsidRPr="00AA78A5" w:rsidRDefault="00E6483B" w:rsidP="00E6483B">
      <w:pPr>
        <w:ind w:firstLineChars="200" w:firstLine="562"/>
        <w:rPr>
          <w:rFonts w:ascii="宋体" w:eastAsia="宋体" w:hAnsi="宋体"/>
          <w:b/>
          <w:sz w:val="28"/>
          <w:szCs w:val="28"/>
        </w:rPr>
      </w:pPr>
      <w:r w:rsidRPr="00AA78A5">
        <w:rPr>
          <w:rFonts w:ascii="宋体" w:eastAsia="宋体" w:hAnsi="宋体" w:hint="eastAsia"/>
          <w:b/>
          <w:sz w:val="28"/>
          <w:szCs w:val="28"/>
        </w:rPr>
        <w:t>（一）2024年上半年整体情况介绍</w:t>
      </w:r>
    </w:p>
    <w:p w14:paraId="53BC5CAA" w14:textId="00DCBECB" w:rsidR="00834267" w:rsidRPr="00AA78A5" w:rsidRDefault="00300FD9" w:rsidP="00E6483B">
      <w:pPr>
        <w:ind w:firstLineChars="200" w:firstLine="560"/>
        <w:rPr>
          <w:rFonts w:ascii="宋体" w:eastAsia="宋体" w:hAnsi="宋体"/>
          <w:sz w:val="28"/>
          <w:szCs w:val="28"/>
        </w:rPr>
      </w:pPr>
      <w:r w:rsidRPr="00AA78A5">
        <w:rPr>
          <w:rFonts w:ascii="宋体" w:eastAsia="宋体" w:hAnsi="宋体" w:hint="eastAsia"/>
          <w:sz w:val="28"/>
          <w:szCs w:val="28"/>
        </w:rPr>
        <w:t>上半年公司主要财务指标增长幅度比较显著，首先从量价配置策略的角度进行说明。销售价格方面当前市场比较关注，自3月末以后公司产品也进行了数次公开提价操作，排除在手订单释放对价格执行的影响后，二季度公司主要铬盐产品的环比售价均有不同程度的提升，进入七月份以来，主要在售产品价格仍保持温和上涨的态势。但公司随半年报同步披露的经营数据中，三项主营含铬产品的价格看上去并未有大的变化，这主要是由于产品分类统计口径的影响导致的。具体来说，金属铬是公司今年上半年一个重要的业绩增长来源，但截至目前金属铬的经营情况未在报告数据中单独体现。氧化铬绿是金属铬最主要的原材料，今年上半年公司有大量的氧化铬绿作为中间产品用于生产金属铬而不再对外销售，由此导致经营数据中“铬的氧化物”这</w:t>
      </w:r>
      <w:r w:rsidRPr="00AA78A5">
        <w:rPr>
          <w:rFonts w:ascii="宋体" w:eastAsia="宋体" w:hAnsi="宋体" w:hint="eastAsia"/>
          <w:sz w:val="28"/>
          <w:szCs w:val="28"/>
        </w:rPr>
        <w:lastRenderedPageBreak/>
        <w:t>一科目无论是销量还是销售均价都受到较大程度的低估，尤其是价格的实际增长未能体现。另一方面，公司市场份额优先的销售策略是一贯的，因此，在市场行情较好的条件下优先进行量的扩充是公司的主导经营原则。今年上半年公司各项主营产品销量均实现较大幅度的增长，相关数据在报告中均有列示，在此不再赘述。</w:t>
      </w:r>
    </w:p>
    <w:p w14:paraId="2D1C3EC4" w14:textId="77777777" w:rsidR="00834267" w:rsidRPr="00AA78A5" w:rsidRDefault="00300FD9" w:rsidP="00E6483B">
      <w:pPr>
        <w:ind w:firstLineChars="200" w:firstLine="560"/>
        <w:rPr>
          <w:rFonts w:ascii="宋体" w:eastAsia="宋体" w:hAnsi="宋体"/>
          <w:sz w:val="28"/>
          <w:szCs w:val="28"/>
        </w:rPr>
      </w:pPr>
      <w:r w:rsidRPr="00AA78A5">
        <w:rPr>
          <w:rFonts w:ascii="宋体" w:eastAsia="宋体" w:hAnsi="宋体" w:hint="eastAsia"/>
          <w:sz w:val="28"/>
          <w:szCs w:val="28"/>
        </w:rPr>
        <w:t>综合近年来的市场格局和经营成果，我们认为铬化学品体现出的成长性强于周期性，可以从市场和产品两个维度来论证。市场方面，上半年公司海外销售收入增长了近40%，这是在国内铬盐产品出口不退税的相对劣势背景下实现的，充分表明了铬盐在需求端的潜在韧性和成长空间；产品方面，公司产业链纵向延伸的金属铬上半年表现优异，金属铬是高温合金的第二大主材，单耗在0.15-0.3吨之间，受国家“两机专项”及全球军工生产的需求拉动，为铬盐的需求扩容提供了有力支撑。对于副产物的应用和挖潜，半年报的数据显示，公司超细氢氧化铝、高纯元明粉以及钒的提取率均有一定幅度的提升，公司产品在非铬业务领域的拓展一方面匹配了产能的稳定释放，同时增厚了公司的利润和护城河。</w:t>
      </w:r>
    </w:p>
    <w:p w14:paraId="191776D5" w14:textId="6D053DCC" w:rsidR="00834267" w:rsidRPr="00AA78A5" w:rsidRDefault="00E6483B" w:rsidP="00176FFB">
      <w:pPr>
        <w:ind w:firstLineChars="200" w:firstLine="562"/>
        <w:rPr>
          <w:rFonts w:ascii="宋体" w:eastAsia="宋体" w:hAnsi="宋体"/>
          <w:b/>
          <w:sz w:val="28"/>
          <w:szCs w:val="28"/>
        </w:rPr>
      </w:pPr>
      <w:r w:rsidRPr="00AA78A5">
        <w:rPr>
          <w:rFonts w:ascii="宋体" w:eastAsia="宋体" w:hAnsi="宋体" w:hint="eastAsia"/>
          <w:b/>
          <w:sz w:val="28"/>
          <w:szCs w:val="28"/>
        </w:rPr>
        <w:t>（二）问答环节</w:t>
      </w:r>
    </w:p>
    <w:p w14:paraId="45ED5530" w14:textId="122E009A" w:rsidR="00834267" w:rsidRPr="00AA78A5" w:rsidRDefault="00176FFB" w:rsidP="00176FFB">
      <w:pPr>
        <w:ind w:firstLineChars="200" w:firstLine="562"/>
        <w:rPr>
          <w:rFonts w:ascii="宋体" w:eastAsia="宋体" w:hAnsi="宋体"/>
          <w:b/>
          <w:sz w:val="28"/>
          <w:szCs w:val="28"/>
        </w:rPr>
      </w:pPr>
      <w:r w:rsidRPr="00AA78A5">
        <w:rPr>
          <w:rFonts w:ascii="宋体" w:eastAsia="宋体" w:hAnsi="宋体" w:hint="eastAsia"/>
          <w:b/>
          <w:sz w:val="28"/>
          <w:szCs w:val="28"/>
        </w:rPr>
        <w:t>1、</w:t>
      </w:r>
      <w:r w:rsidR="00300FD9" w:rsidRPr="00AA78A5">
        <w:rPr>
          <w:rFonts w:ascii="宋体" w:eastAsia="宋体" w:hAnsi="宋体" w:hint="eastAsia"/>
          <w:b/>
          <w:sz w:val="28"/>
          <w:szCs w:val="28"/>
        </w:rPr>
        <w:t>产成品库存水平</w:t>
      </w:r>
      <w:r w:rsidRPr="00AA78A5">
        <w:rPr>
          <w:rFonts w:ascii="宋体" w:eastAsia="宋体" w:hAnsi="宋体" w:hint="eastAsia"/>
          <w:b/>
          <w:sz w:val="28"/>
          <w:szCs w:val="28"/>
        </w:rPr>
        <w:t>如何</w:t>
      </w:r>
      <w:r w:rsidRPr="00AA78A5">
        <w:rPr>
          <w:rFonts w:ascii="宋体" w:eastAsia="宋体" w:hAnsi="宋体"/>
          <w:b/>
          <w:sz w:val="28"/>
          <w:szCs w:val="28"/>
        </w:rPr>
        <w:t>？</w:t>
      </w:r>
    </w:p>
    <w:p w14:paraId="081FA76B" w14:textId="77777777" w:rsidR="00834267" w:rsidRPr="00AA78A5" w:rsidRDefault="00300FD9" w:rsidP="00176FFB">
      <w:pPr>
        <w:ind w:firstLineChars="200" w:firstLine="560"/>
        <w:rPr>
          <w:rFonts w:ascii="宋体" w:eastAsia="宋体" w:hAnsi="宋体"/>
          <w:sz w:val="28"/>
          <w:szCs w:val="28"/>
        </w:rPr>
      </w:pPr>
      <w:r w:rsidRPr="00AA78A5">
        <w:rPr>
          <w:rFonts w:ascii="宋体" w:eastAsia="宋体" w:hAnsi="宋体" w:hint="eastAsia"/>
          <w:sz w:val="28"/>
          <w:szCs w:val="28"/>
        </w:rPr>
        <w:t>截止到六月底，公司库存总额虽然比较高，但其中只有约一半是成品库存。成品库存中主要是金属铬及其主材（氧化铬绿）的备货，因这两项产品的固有价值比较高，总额有一个多亿，其他还有一些产品虽然形态上可以对外销售，但实际是公司用于另类产品开发的备用</w:t>
      </w:r>
      <w:r w:rsidRPr="00AA78A5">
        <w:rPr>
          <w:rFonts w:ascii="宋体" w:eastAsia="宋体" w:hAnsi="宋体" w:hint="eastAsia"/>
          <w:sz w:val="28"/>
          <w:szCs w:val="28"/>
        </w:rPr>
        <w:lastRenderedPageBreak/>
        <w:t>品。真正可供外售的产品库存已基本出清。</w:t>
      </w:r>
    </w:p>
    <w:p w14:paraId="47AA4E18" w14:textId="1646DF23" w:rsidR="00834267" w:rsidRPr="00AA78A5" w:rsidRDefault="00176FFB" w:rsidP="00176FFB">
      <w:pPr>
        <w:ind w:firstLineChars="200" w:firstLine="562"/>
        <w:rPr>
          <w:rFonts w:ascii="宋体" w:eastAsia="宋体" w:hAnsi="宋体"/>
          <w:b/>
          <w:sz w:val="28"/>
          <w:szCs w:val="28"/>
        </w:rPr>
      </w:pPr>
      <w:r w:rsidRPr="00AA78A5">
        <w:rPr>
          <w:rFonts w:ascii="宋体" w:eastAsia="宋体" w:hAnsi="宋体" w:hint="eastAsia"/>
          <w:b/>
          <w:sz w:val="28"/>
          <w:szCs w:val="28"/>
        </w:rPr>
        <w:t>2、</w:t>
      </w:r>
      <w:r w:rsidR="00300FD9" w:rsidRPr="00AA78A5">
        <w:rPr>
          <w:rFonts w:ascii="宋体" w:eastAsia="宋体" w:hAnsi="宋体" w:hint="eastAsia"/>
          <w:b/>
          <w:sz w:val="28"/>
          <w:szCs w:val="28"/>
        </w:rPr>
        <w:t>原材料价格下行，短期是否对公司有业绩贡献，对铬矿价格后续怎么看？</w:t>
      </w:r>
    </w:p>
    <w:p w14:paraId="01A6482C" w14:textId="77777777" w:rsidR="00834267" w:rsidRPr="00AA78A5" w:rsidRDefault="00300FD9" w:rsidP="00176FFB">
      <w:pPr>
        <w:ind w:firstLineChars="200" w:firstLine="560"/>
        <w:rPr>
          <w:rFonts w:ascii="宋体" w:eastAsia="宋体" w:hAnsi="宋体"/>
          <w:sz w:val="28"/>
          <w:szCs w:val="28"/>
        </w:rPr>
      </w:pPr>
      <w:r w:rsidRPr="00AA78A5">
        <w:rPr>
          <w:rFonts w:ascii="宋体" w:eastAsia="宋体" w:hAnsi="宋体" w:hint="eastAsia"/>
          <w:sz w:val="28"/>
          <w:szCs w:val="28"/>
        </w:rPr>
        <w:t>去年在铬铁矿价格上涨幅度比较高，且其他主要原材料价格都在下跌的情况下，铬铁矿占公司产品总成本的比例也就是三成左右。公司成本优势主要体现在对加工成本的不断优化。总体来说，铬铁矿需求端的支撑比较牢固，不锈钢行业需求整体比较旺盛，当然也会有间歇期，在行业相对低迷的时候会对铬铁矿价格有传导效应。一般来说我们铬铁矿的采购价反应到生产成本上有三个月左右的滞后性，当前铬铁矿价格有所下降，但对生产端的影响也要到四季度才能体现。</w:t>
      </w:r>
    </w:p>
    <w:p w14:paraId="1AD4AD2C" w14:textId="77777777" w:rsidR="00834267" w:rsidRPr="00AA78A5" w:rsidRDefault="00300FD9" w:rsidP="00176FFB">
      <w:pPr>
        <w:ind w:firstLineChars="200" w:firstLine="562"/>
        <w:rPr>
          <w:rFonts w:ascii="宋体" w:eastAsia="宋体" w:hAnsi="宋体"/>
          <w:b/>
          <w:sz w:val="28"/>
          <w:szCs w:val="28"/>
        </w:rPr>
      </w:pPr>
      <w:r w:rsidRPr="00AA78A5">
        <w:rPr>
          <w:rFonts w:ascii="宋体" w:eastAsia="宋体" w:hAnsi="宋体" w:hint="eastAsia"/>
          <w:b/>
          <w:sz w:val="28"/>
          <w:szCs w:val="28"/>
        </w:rPr>
        <w:t>3，高端涂料提倡无铬化，未来发展怎样？</w:t>
      </w:r>
    </w:p>
    <w:p w14:paraId="3A0FAAF7" w14:textId="77777777" w:rsidR="00834267" w:rsidRPr="00AA78A5" w:rsidRDefault="00300FD9" w:rsidP="00176FFB">
      <w:pPr>
        <w:ind w:firstLineChars="200" w:firstLine="560"/>
        <w:rPr>
          <w:rFonts w:ascii="宋体" w:eastAsia="宋体" w:hAnsi="宋体"/>
          <w:sz w:val="28"/>
          <w:szCs w:val="28"/>
        </w:rPr>
      </w:pPr>
      <w:r w:rsidRPr="00AA78A5">
        <w:rPr>
          <w:rFonts w:ascii="宋体" w:eastAsia="宋体" w:hAnsi="宋体" w:hint="eastAsia"/>
          <w:sz w:val="28"/>
          <w:szCs w:val="28"/>
        </w:rPr>
        <w:t>从国内的行业要求看，与身体直接接触的领域需要逐步减少对铬化学品的依赖。但这方面的需求收缩对于铬盐源头厂商构成的影响总体是有限的，铬盐的应用范围非常广泛，整体来看，在细分行业的此消彼长中，近年来总体需求有明显的上涨趋势。硅钢涂料主要是用在工业品，具体来说是电机产品上，近年来增幅较大。</w:t>
      </w:r>
    </w:p>
    <w:p w14:paraId="4725F6B8" w14:textId="77777777" w:rsidR="00834267" w:rsidRPr="00AA78A5" w:rsidRDefault="00300FD9" w:rsidP="00176FFB">
      <w:pPr>
        <w:ind w:firstLineChars="200" w:firstLine="562"/>
        <w:rPr>
          <w:rFonts w:ascii="宋体" w:eastAsia="宋体" w:hAnsi="宋体"/>
          <w:b/>
          <w:sz w:val="28"/>
          <w:szCs w:val="28"/>
        </w:rPr>
      </w:pPr>
      <w:r w:rsidRPr="00AA78A5">
        <w:rPr>
          <w:rFonts w:ascii="宋体" w:eastAsia="宋体" w:hAnsi="宋体" w:hint="eastAsia"/>
          <w:b/>
          <w:sz w:val="28"/>
          <w:szCs w:val="28"/>
        </w:rPr>
        <w:t>4，金属铬未来的精细化延伸是怎么考虑的？</w:t>
      </w:r>
    </w:p>
    <w:p w14:paraId="597C049F" w14:textId="77777777" w:rsidR="00834267" w:rsidRPr="00AA78A5" w:rsidRDefault="00300FD9" w:rsidP="00176FFB">
      <w:pPr>
        <w:ind w:firstLineChars="200" w:firstLine="560"/>
        <w:rPr>
          <w:rFonts w:ascii="宋体" w:eastAsia="宋体" w:hAnsi="宋体"/>
          <w:sz w:val="28"/>
          <w:szCs w:val="28"/>
        </w:rPr>
      </w:pPr>
      <w:r w:rsidRPr="00AA78A5">
        <w:rPr>
          <w:rFonts w:ascii="宋体" w:eastAsia="宋体" w:hAnsi="宋体" w:hint="eastAsia"/>
          <w:sz w:val="28"/>
          <w:szCs w:val="28"/>
        </w:rPr>
        <w:t>公司今年首先立足于普通型号产品的产能释放，尽可能达到满产，后续会进一步完善产品附加值，开发精细化应用领域。</w:t>
      </w:r>
    </w:p>
    <w:p w14:paraId="30CDE8B9" w14:textId="77777777" w:rsidR="00834267" w:rsidRPr="00AA78A5" w:rsidRDefault="00300FD9" w:rsidP="00176FFB">
      <w:pPr>
        <w:ind w:firstLineChars="200" w:firstLine="562"/>
        <w:rPr>
          <w:rFonts w:ascii="宋体" w:eastAsia="宋体" w:hAnsi="宋体"/>
          <w:b/>
          <w:sz w:val="28"/>
          <w:szCs w:val="28"/>
        </w:rPr>
      </w:pPr>
      <w:r w:rsidRPr="00AA78A5">
        <w:rPr>
          <w:rFonts w:ascii="宋体" w:eastAsia="宋体" w:hAnsi="宋体" w:hint="eastAsia"/>
          <w:b/>
          <w:sz w:val="28"/>
          <w:szCs w:val="28"/>
        </w:rPr>
        <w:t>5，维生素K3的情况？</w:t>
      </w:r>
    </w:p>
    <w:p w14:paraId="675CDD2E" w14:textId="77777777" w:rsidR="00834267" w:rsidRPr="00AA78A5" w:rsidRDefault="00300FD9" w:rsidP="00176FFB">
      <w:pPr>
        <w:ind w:firstLineChars="200" w:firstLine="560"/>
        <w:rPr>
          <w:rFonts w:ascii="宋体" w:eastAsia="宋体" w:hAnsi="宋体"/>
          <w:sz w:val="28"/>
          <w:szCs w:val="28"/>
        </w:rPr>
      </w:pPr>
      <w:r w:rsidRPr="00AA78A5">
        <w:rPr>
          <w:rFonts w:ascii="宋体" w:eastAsia="宋体" w:hAnsi="宋体" w:hint="eastAsia"/>
          <w:sz w:val="28"/>
          <w:szCs w:val="28"/>
        </w:rPr>
        <w:t>不同于铬盐产品，维生素K3确实有很强的周期性。维生素K3全球用量大约在7000-8000吨之间，总体保持稳定，我司和兄弟科技加</w:t>
      </w:r>
      <w:r w:rsidRPr="00AA78A5">
        <w:rPr>
          <w:rFonts w:ascii="宋体" w:eastAsia="宋体" w:hAnsi="宋体" w:hint="eastAsia"/>
          <w:sz w:val="28"/>
          <w:szCs w:val="28"/>
        </w:rPr>
        <w:lastRenderedPageBreak/>
        <w:t>起来占有全球75%以上产能，价格对供给端的边际变化比较敏感。近期受巴斯夫生产装置不可抗力影响带来的市场情绪扰动，三季度维生素K3走势比较强，远期走势尚不能确定。</w:t>
      </w:r>
    </w:p>
    <w:p w14:paraId="7CE380A5" w14:textId="77777777" w:rsidR="00834267" w:rsidRPr="00AA78A5" w:rsidRDefault="00300FD9" w:rsidP="00176FFB">
      <w:pPr>
        <w:ind w:firstLineChars="200" w:firstLine="562"/>
        <w:rPr>
          <w:rFonts w:ascii="宋体" w:eastAsia="宋体" w:hAnsi="宋体"/>
          <w:b/>
          <w:sz w:val="28"/>
          <w:szCs w:val="28"/>
        </w:rPr>
      </w:pPr>
      <w:r w:rsidRPr="00AA78A5">
        <w:rPr>
          <w:rFonts w:ascii="宋体" w:eastAsia="宋体" w:hAnsi="宋体" w:hint="eastAsia"/>
          <w:b/>
          <w:sz w:val="28"/>
          <w:szCs w:val="28"/>
        </w:rPr>
        <w:t>6，金属铬现在满产了吗？</w:t>
      </w:r>
    </w:p>
    <w:p w14:paraId="1909A11E" w14:textId="77777777" w:rsidR="00834267" w:rsidRPr="00AA78A5" w:rsidRDefault="00300FD9" w:rsidP="00176FFB">
      <w:pPr>
        <w:ind w:firstLineChars="200" w:firstLine="560"/>
        <w:rPr>
          <w:rFonts w:ascii="宋体" w:eastAsia="宋体" w:hAnsi="宋体"/>
          <w:sz w:val="28"/>
          <w:szCs w:val="28"/>
        </w:rPr>
      </w:pPr>
      <w:r w:rsidRPr="00AA78A5">
        <w:rPr>
          <w:rFonts w:ascii="宋体" w:eastAsia="宋体" w:hAnsi="宋体" w:hint="eastAsia"/>
          <w:sz w:val="28"/>
          <w:szCs w:val="28"/>
        </w:rPr>
        <w:t>金属铬和铬钢玉两个产品，上半年加总差不多是8200吨，6月基本达到满产状态，下半年以充分达产为目标。</w:t>
      </w:r>
    </w:p>
    <w:p w14:paraId="181AEFF6" w14:textId="77777777" w:rsidR="00834267" w:rsidRPr="00AA78A5" w:rsidRDefault="00300FD9" w:rsidP="00176FFB">
      <w:pPr>
        <w:ind w:firstLineChars="200" w:firstLine="562"/>
        <w:rPr>
          <w:rFonts w:ascii="宋体" w:eastAsia="宋体" w:hAnsi="宋体"/>
          <w:b/>
          <w:sz w:val="28"/>
          <w:szCs w:val="28"/>
        </w:rPr>
      </w:pPr>
      <w:r w:rsidRPr="00AA78A5">
        <w:rPr>
          <w:rFonts w:ascii="宋体" w:eastAsia="宋体" w:hAnsi="宋体" w:hint="eastAsia"/>
          <w:b/>
          <w:sz w:val="28"/>
          <w:szCs w:val="28"/>
        </w:rPr>
        <w:t>7，金属铬的毛利会比单纯卖铬绿增幅多少？</w:t>
      </w:r>
    </w:p>
    <w:p w14:paraId="4C248B07" w14:textId="77777777" w:rsidR="00834267" w:rsidRPr="00AA78A5" w:rsidRDefault="00300FD9" w:rsidP="00176FFB">
      <w:pPr>
        <w:ind w:firstLineChars="200" w:firstLine="560"/>
        <w:rPr>
          <w:rFonts w:ascii="宋体" w:eastAsia="宋体" w:hAnsi="宋体"/>
          <w:sz w:val="28"/>
          <w:szCs w:val="28"/>
        </w:rPr>
      </w:pPr>
      <w:r w:rsidRPr="00AA78A5">
        <w:rPr>
          <w:rFonts w:ascii="宋体" w:eastAsia="宋体" w:hAnsi="宋体" w:hint="eastAsia"/>
          <w:sz w:val="28"/>
          <w:szCs w:val="28"/>
        </w:rPr>
        <w:t>由于我司的产能释放，在供给端对市场冲击比较大，当前金属铬市场热度较好，有一些厂商会买铬盐去制备金属铬，从这个角度考虑，我们不希望金属铬单品的利润过于显著。由于金属铬充分、有效消纳了氧化铬绿，而当前公司氧化铬绿的毛利率是铬盐产品中相对较高且稳定的，所以公司经营金属铬的获得感主要在铬盐上体现。用铬盐来计算，金属铬的利润贡献是比较客观的。</w:t>
      </w:r>
    </w:p>
    <w:p w14:paraId="1BD61904" w14:textId="77777777" w:rsidR="00834267" w:rsidRPr="00AA78A5" w:rsidRDefault="00300FD9" w:rsidP="00176FFB">
      <w:pPr>
        <w:ind w:firstLineChars="200" w:firstLine="562"/>
        <w:rPr>
          <w:rFonts w:ascii="宋体" w:eastAsia="宋体" w:hAnsi="宋体"/>
          <w:b/>
          <w:sz w:val="28"/>
          <w:szCs w:val="28"/>
        </w:rPr>
      </w:pPr>
      <w:r w:rsidRPr="00AA78A5">
        <w:rPr>
          <w:rFonts w:ascii="宋体" w:eastAsia="宋体" w:hAnsi="宋体" w:hint="eastAsia"/>
          <w:b/>
          <w:sz w:val="28"/>
          <w:szCs w:val="28"/>
        </w:rPr>
        <w:t>8，金属铬国内厂家有多少，有哪些是有上游铬绿生产能力的。没有铬盐产能的厂商是否有向上延伸的可能。</w:t>
      </w:r>
    </w:p>
    <w:p w14:paraId="4C852EFF" w14:textId="77777777" w:rsidR="00834267" w:rsidRPr="00AA78A5" w:rsidRDefault="00300FD9" w:rsidP="00176FFB">
      <w:pPr>
        <w:ind w:firstLineChars="200" w:firstLine="560"/>
        <w:rPr>
          <w:rFonts w:ascii="宋体" w:eastAsia="宋体" w:hAnsi="宋体"/>
          <w:sz w:val="28"/>
          <w:szCs w:val="28"/>
        </w:rPr>
      </w:pPr>
      <w:r w:rsidRPr="00AA78A5">
        <w:rPr>
          <w:rFonts w:ascii="宋体" w:eastAsia="宋体" w:hAnsi="宋体" w:hint="eastAsia"/>
          <w:sz w:val="28"/>
          <w:szCs w:val="28"/>
        </w:rPr>
        <w:t>具有铬盐全序列生产能力的金属铬主流厂商目前国内有四家，其中一家是从铬矿直接做金属铬，一万吨左右的年产能，除此之外，包括我们在内都是铬盐厂产业链的纵向延伸。直接买铬盐做金属铬冶炼的厂商比较多，这些厂商向上游延伸的可能性不大，一方面六价铬的生产有很强的准入门槛，全国自2013年以来原则上就已不再新增布点，再者从投资效益来看铬盐装置从投产到全流程跑通再到市场渠道建设是一个长期投入的过程。</w:t>
      </w:r>
    </w:p>
    <w:p w14:paraId="51BCA971" w14:textId="77777777" w:rsidR="00834267" w:rsidRPr="00AA78A5" w:rsidRDefault="00300FD9" w:rsidP="00176FFB">
      <w:pPr>
        <w:ind w:firstLineChars="200" w:firstLine="562"/>
        <w:rPr>
          <w:rFonts w:ascii="宋体" w:eastAsia="宋体" w:hAnsi="宋体"/>
          <w:b/>
          <w:sz w:val="28"/>
          <w:szCs w:val="28"/>
        </w:rPr>
      </w:pPr>
      <w:r w:rsidRPr="00AA78A5">
        <w:rPr>
          <w:rFonts w:ascii="宋体" w:eastAsia="宋体" w:hAnsi="宋体" w:hint="eastAsia"/>
          <w:b/>
          <w:sz w:val="28"/>
          <w:szCs w:val="28"/>
        </w:rPr>
        <w:lastRenderedPageBreak/>
        <w:t>9，公司在铬盐上的市占率已经很高了，金属铬三五年来看，市场能有多大规模，我们有多少市占率。</w:t>
      </w:r>
    </w:p>
    <w:p w14:paraId="3FFC1D61" w14:textId="77777777" w:rsidR="00834267" w:rsidRPr="00AA78A5" w:rsidRDefault="00300FD9" w:rsidP="00176FFB">
      <w:pPr>
        <w:ind w:firstLineChars="200" w:firstLine="560"/>
        <w:rPr>
          <w:rFonts w:ascii="宋体" w:eastAsia="宋体" w:hAnsi="宋体"/>
          <w:sz w:val="28"/>
          <w:szCs w:val="28"/>
        </w:rPr>
      </w:pPr>
      <w:r w:rsidRPr="00AA78A5">
        <w:rPr>
          <w:rFonts w:ascii="宋体" w:eastAsia="宋体" w:hAnsi="宋体" w:hint="eastAsia"/>
          <w:sz w:val="28"/>
          <w:szCs w:val="28"/>
        </w:rPr>
        <w:t>金属铬产品我们从今年一季度开始才和下游主流厂商直接建立商务关系，对行业的理解需要一个过程，根据我们初步了解的情况，对于金属铬及其衍生品未来两到三年的增长曲线我们是比较有信心的，国内装置升级和工况改造使金属铬的需求增长具有持续性。全球来看，金属铬的需求受海外供给格局、地缘政治冲突、贸易争端等多方面因素的影响，整体来说既有需求端的提振，也有供应端的弹性，预计供需均不会出现长期缺口，归根结底还是要看谁能抓住行业机遇成为有效产能，多年来在铬盐领域积累的竞争优势使我们对此持相对乐观的态度。</w:t>
      </w:r>
    </w:p>
    <w:p w14:paraId="5C3CAD95" w14:textId="77777777" w:rsidR="00834267" w:rsidRPr="00AA78A5" w:rsidRDefault="00300FD9" w:rsidP="00176FFB">
      <w:pPr>
        <w:ind w:firstLineChars="200" w:firstLine="562"/>
        <w:rPr>
          <w:rFonts w:ascii="宋体" w:eastAsia="宋体" w:hAnsi="宋体"/>
          <w:b/>
          <w:sz w:val="28"/>
          <w:szCs w:val="28"/>
        </w:rPr>
      </w:pPr>
      <w:r w:rsidRPr="00AA78A5">
        <w:rPr>
          <w:rFonts w:ascii="宋体" w:eastAsia="宋体" w:hAnsi="宋体" w:hint="eastAsia"/>
          <w:b/>
          <w:sz w:val="28"/>
          <w:szCs w:val="28"/>
        </w:rPr>
        <w:t>10，金属铬会扩产吗？</w:t>
      </w:r>
    </w:p>
    <w:p w14:paraId="3CD7452F" w14:textId="77777777" w:rsidR="00834267" w:rsidRPr="00AA78A5" w:rsidRDefault="00300FD9" w:rsidP="00176FFB">
      <w:pPr>
        <w:ind w:firstLineChars="200" w:firstLine="560"/>
        <w:rPr>
          <w:rFonts w:ascii="宋体" w:eastAsia="宋体" w:hAnsi="宋体"/>
          <w:sz w:val="28"/>
          <w:szCs w:val="28"/>
        </w:rPr>
      </w:pPr>
      <w:r w:rsidRPr="00AA78A5">
        <w:rPr>
          <w:rFonts w:ascii="宋体" w:eastAsia="宋体" w:hAnsi="宋体" w:hint="eastAsia"/>
          <w:sz w:val="28"/>
          <w:szCs w:val="28"/>
        </w:rPr>
        <w:t>设计产能还是有弹性预留的。</w:t>
      </w:r>
    </w:p>
    <w:p w14:paraId="67E29B78" w14:textId="77777777" w:rsidR="00834267" w:rsidRPr="00AA78A5" w:rsidRDefault="00300FD9" w:rsidP="00176FFB">
      <w:pPr>
        <w:ind w:firstLineChars="200" w:firstLine="562"/>
        <w:rPr>
          <w:rFonts w:ascii="宋体" w:eastAsia="宋体" w:hAnsi="宋体"/>
          <w:b/>
          <w:sz w:val="28"/>
          <w:szCs w:val="28"/>
        </w:rPr>
      </w:pPr>
      <w:r w:rsidRPr="00AA78A5">
        <w:rPr>
          <w:rFonts w:ascii="宋体" w:eastAsia="宋体" w:hAnsi="宋体" w:hint="eastAsia"/>
          <w:b/>
          <w:sz w:val="28"/>
          <w:szCs w:val="28"/>
        </w:rPr>
        <w:t>11，请问美国对金属铬征收额外关税，对公司产品需求的有多大？</w:t>
      </w:r>
    </w:p>
    <w:p w14:paraId="7109926F" w14:textId="77777777" w:rsidR="00834267" w:rsidRPr="00AA78A5" w:rsidRDefault="00300FD9" w:rsidP="00176FFB">
      <w:pPr>
        <w:ind w:firstLineChars="200" w:firstLine="560"/>
        <w:rPr>
          <w:rFonts w:ascii="宋体" w:eastAsia="宋体" w:hAnsi="宋体"/>
          <w:sz w:val="28"/>
          <w:szCs w:val="28"/>
        </w:rPr>
      </w:pPr>
      <w:r w:rsidRPr="00AA78A5">
        <w:rPr>
          <w:rFonts w:ascii="宋体" w:eastAsia="宋体" w:hAnsi="宋体" w:hint="eastAsia"/>
          <w:sz w:val="28"/>
          <w:szCs w:val="28"/>
        </w:rPr>
        <w:t>截至本月初，美国贸易代表办公室尚未对新关税的征收安排发布最终裁定。公司直接外销到美国的金属铬占比很小，主要是氧化铬绿的出口。我们判断美国的关贸政策不至于覆盖到铬化学品，对公司自身业务的影响不大，对行业整体的影响还要看后续进展。</w:t>
      </w:r>
    </w:p>
    <w:p w14:paraId="50CD9AE7" w14:textId="77777777" w:rsidR="00834267" w:rsidRPr="00AA78A5" w:rsidRDefault="00300FD9" w:rsidP="00176FFB">
      <w:pPr>
        <w:ind w:firstLineChars="200" w:firstLine="562"/>
        <w:rPr>
          <w:rFonts w:ascii="宋体" w:eastAsia="宋体" w:hAnsi="宋体"/>
          <w:b/>
          <w:sz w:val="28"/>
          <w:szCs w:val="28"/>
        </w:rPr>
      </w:pPr>
      <w:r w:rsidRPr="00AA78A5">
        <w:rPr>
          <w:rFonts w:ascii="宋体" w:eastAsia="宋体" w:hAnsi="宋体" w:hint="eastAsia"/>
          <w:b/>
          <w:sz w:val="28"/>
          <w:szCs w:val="28"/>
        </w:rPr>
        <w:t>12，全面业绩和明年的增长如何展望？</w:t>
      </w:r>
    </w:p>
    <w:p w14:paraId="6B5F0428" w14:textId="31E14D03" w:rsidR="00373704" w:rsidRPr="00373704" w:rsidRDefault="00300FD9" w:rsidP="00373704">
      <w:pPr>
        <w:ind w:firstLineChars="200" w:firstLine="560"/>
        <w:rPr>
          <w:rFonts w:ascii="宋体" w:eastAsia="宋体" w:hAnsi="宋体"/>
          <w:sz w:val="28"/>
          <w:szCs w:val="28"/>
        </w:rPr>
      </w:pPr>
      <w:r w:rsidRPr="00AA78A5">
        <w:rPr>
          <w:rFonts w:ascii="宋体" w:eastAsia="宋体" w:hAnsi="宋体" w:hint="eastAsia"/>
          <w:sz w:val="28"/>
          <w:szCs w:val="28"/>
        </w:rPr>
        <w:t>铬化学品全球需求的扩容是比较确定的，我们作为源头厂商，具备极强的柔性生产调配能力，在经营成果上预计能够保持增长态势。</w:t>
      </w:r>
    </w:p>
    <w:p w14:paraId="302934DE" w14:textId="32B52BD3" w:rsidR="006045EF" w:rsidRPr="00AA78A5" w:rsidRDefault="006045EF" w:rsidP="006045EF">
      <w:pPr>
        <w:spacing w:line="360" w:lineRule="auto"/>
        <w:ind w:firstLineChars="200" w:firstLine="562"/>
        <w:jc w:val="left"/>
        <w:rPr>
          <w:rFonts w:ascii="宋体" w:eastAsia="宋体" w:hAnsi="宋体"/>
          <w:b/>
          <w:sz w:val="28"/>
          <w:szCs w:val="28"/>
        </w:rPr>
      </w:pPr>
      <w:r w:rsidRPr="00AA78A5">
        <w:rPr>
          <w:rFonts w:ascii="宋体" w:eastAsia="宋体" w:hAnsi="宋体" w:hint="eastAsia"/>
          <w:b/>
          <w:sz w:val="28"/>
          <w:szCs w:val="28"/>
        </w:rPr>
        <w:lastRenderedPageBreak/>
        <w:t>附：参会机构清单（排名不分先后）</w:t>
      </w:r>
    </w:p>
    <w:p w14:paraId="3193F551" w14:textId="77777777" w:rsidR="006045EF" w:rsidRPr="00AA78A5" w:rsidRDefault="006045EF" w:rsidP="006045EF">
      <w:pPr>
        <w:ind w:right="560" w:firstLineChars="200" w:firstLine="560"/>
        <w:rPr>
          <w:rFonts w:ascii="宋体" w:eastAsia="宋体" w:hAnsi="宋体"/>
          <w:sz w:val="28"/>
          <w:szCs w:val="28"/>
        </w:rPr>
      </w:pPr>
    </w:p>
    <w:p w14:paraId="1669D978" w14:textId="432D07E0"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中信证券股份有限公司</w:t>
      </w:r>
    </w:p>
    <w:p w14:paraId="75C8936D"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嘉实基金管理有限公司</w:t>
      </w:r>
    </w:p>
    <w:p w14:paraId="2ACCBDB3"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华泰证券股份有限公司</w:t>
      </w:r>
    </w:p>
    <w:p w14:paraId="0B9654AC"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中泰证券股份有限公司</w:t>
      </w:r>
    </w:p>
    <w:p w14:paraId="213AF964"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华福证券有限责任公司</w:t>
      </w:r>
    </w:p>
    <w:p w14:paraId="6E7E3FED"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华富基金管理有限公司</w:t>
      </w:r>
    </w:p>
    <w:p w14:paraId="7C6755B0"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格林基金管理有限公司</w:t>
      </w:r>
    </w:p>
    <w:p w14:paraId="234F450A"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红土创新基金管理有限公司</w:t>
      </w:r>
    </w:p>
    <w:p w14:paraId="33184D1A"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长江证券股份有限公司</w:t>
      </w:r>
    </w:p>
    <w:p w14:paraId="4652A853"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上海睿郡资产管理有限公司</w:t>
      </w:r>
    </w:p>
    <w:p w14:paraId="6C1055BC"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五矿证券有限公司</w:t>
      </w:r>
    </w:p>
    <w:p w14:paraId="49B6087B"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广发证券股份有限公司</w:t>
      </w:r>
    </w:p>
    <w:p w14:paraId="677021D6"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华鑫证券有限责任公司</w:t>
      </w:r>
    </w:p>
    <w:p w14:paraId="53CEEFB3"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长城证券股份有限公司</w:t>
      </w:r>
    </w:p>
    <w:p w14:paraId="44CE8184"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民生证券股份有限公司</w:t>
      </w:r>
    </w:p>
    <w:p w14:paraId="414B767A"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西藏东财基金管理有限公司</w:t>
      </w:r>
    </w:p>
    <w:p w14:paraId="070CF1C7"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上海麟洲私募基金管理有限公司</w:t>
      </w:r>
    </w:p>
    <w:p w14:paraId="16A40F66"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深圳前海波本基金有限公司</w:t>
      </w:r>
    </w:p>
    <w:p w14:paraId="2EEF870F"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国元证券股份有限公司</w:t>
      </w:r>
    </w:p>
    <w:p w14:paraId="361D1D78"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珠海市横琴新区山海证券投资基金管理有限公司</w:t>
      </w:r>
    </w:p>
    <w:p w14:paraId="16006854"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lastRenderedPageBreak/>
        <w:t>国海证券股份有限公司</w:t>
      </w:r>
    </w:p>
    <w:p w14:paraId="28AF08ED"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华源证券股份有限公司</w:t>
      </w:r>
    </w:p>
    <w:p w14:paraId="5DF63E98"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淳厚基金管理有限公司</w:t>
      </w:r>
    </w:p>
    <w:p w14:paraId="4ACC2688"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招商证券股份有限公司</w:t>
      </w:r>
    </w:p>
    <w:p w14:paraId="14EF1D07"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中国光大银行股份有限公司</w:t>
      </w:r>
    </w:p>
    <w:p w14:paraId="3439656B"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杭州本坚私募基金管理有限公司</w:t>
      </w:r>
    </w:p>
    <w:p w14:paraId="18F4857A"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北京高信百诺投资管理有限公司</w:t>
      </w:r>
    </w:p>
    <w:p w14:paraId="77B1575C"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富国基金管理有限公司</w:t>
      </w:r>
    </w:p>
    <w:p w14:paraId="69714D8B"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浙商证券股份有限公司</w:t>
      </w:r>
    </w:p>
    <w:p w14:paraId="3AB8C7B4"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国元证券股份有限公司</w:t>
      </w:r>
    </w:p>
    <w:p w14:paraId="5DD2280B" w14:textId="77777777"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上海证券有限责任公司</w:t>
      </w:r>
    </w:p>
    <w:p w14:paraId="32CCE7D8" w14:textId="62571E29" w:rsidR="006045EF" w:rsidRPr="00AA78A5" w:rsidRDefault="006045EF" w:rsidP="006045EF">
      <w:pPr>
        <w:ind w:right="560" w:firstLineChars="200" w:firstLine="560"/>
        <w:rPr>
          <w:rFonts w:ascii="宋体" w:eastAsia="宋体" w:hAnsi="宋体"/>
          <w:sz w:val="28"/>
          <w:szCs w:val="28"/>
        </w:rPr>
      </w:pPr>
      <w:r w:rsidRPr="00AA78A5">
        <w:rPr>
          <w:rFonts w:ascii="宋体" w:eastAsia="宋体" w:hAnsi="宋体" w:hint="eastAsia"/>
          <w:sz w:val="28"/>
          <w:szCs w:val="28"/>
        </w:rPr>
        <w:t>中信建投证券股份有限公司</w:t>
      </w:r>
    </w:p>
    <w:sectPr w:rsidR="006045EF" w:rsidRPr="00AA78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61AB0" w14:textId="77777777" w:rsidR="00480AA6" w:rsidRDefault="00480AA6" w:rsidP="00E6483B">
      <w:r>
        <w:separator/>
      </w:r>
    </w:p>
  </w:endnote>
  <w:endnote w:type="continuationSeparator" w:id="0">
    <w:p w14:paraId="6A1F5637" w14:textId="77777777" w:rsidR="00480AA6" w:rsidRDefault="00480AA6" w:rsidP="00E6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68779" w14:textId="77777777" w:rsidR="00480AA6" w:rsidRDefault="00480AA6" w:rsidP="00E6483B">
      <w:r>
        <w:separator/>
      </w:r>
    </w:p>
  </w:footnote>
  <w:footnote w:type="continuationSeparator" w:id="0">
    <w:p w14:paraId="4B18123E" w14:textId="77777777" w:rsidR="00480AA6" w:rsidRDefault="00480AA6" w:rsidP="00E648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4741A"/>
    <w:multiLevelType w:val="singleLevel"/>
    <w:tmpl w:val="2104741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MGU3NmVmYzMyOGI4ZTliODczMTI0NmEzNmY0MTYifQ=="/>
  </w:docVars>
  <w:rsids>
    <w:rsidRoot w:val="00834267"/>
    <w:rsid w:val="00176FFB"/>
    <w:rsid w:val="00300FD9"/>
    <w:rsid w:val="00373704"/>
    <w:rsid w:val="00427FD4"/>
    <w:rsid w:val="00480AA6"/>
    <w:rsid w:val="004D103B"/>
    <w:rsid w:val="006045EF"/>
    <w:rsid w:val="00834267"/>
    <w:rsid w:val="00AA78A5"/>
    <w:rsid w:val="00E6483B"/>
    <w:rsid w:val="01280985"/>
    <w:rsid w:val="0131223E"/>
    <w:rsid w:val="0197127A"/>
    <w:rsid w:val="01DE2B98"/>
    <w:rsid w:val="01E2401D"/>
    <w:rsid w:val="02E640D3"/>
    <w:rsid w:val="032F67A4"/>
    <w:rsid w:val="03BD4CCE"/>
    <w:rsid w:val="03BE636F"/>
    <w:rsid w:val="040850AA"/>
    <w:rsid w:val="04FA4807"/>
    <w:rsid w:val="0548539F"/>
    <w:rsid w:val="05F238CF"/>
    <w:rsid w:val="06EA58F0"/>
    <w:rsid w:val="07E83530"/>
    <w:rsid w:val="089710AE"/>
    <w:rsid w:val="08CB1A46"/>
    <w:rsid w:val="09BC7165"/>
    <w:rsid w:val="0A781878"/>
    <w:rsid w:val="0B3F4609"/>
    <w:rsid w:val="0B8E29E5"/>
    <w:rsid w:val="0BC52876"/>
    <w:rsid w:val="0C1F3C94"/>
    <w:rsid w:val="0CCD747B"/>
    <w:rsid w:val="0CFB2AEE"/>
    <w:rsid w:val="0CFD70C5"/>
    <w:rsid w:val="0D466031"/>
    <w:rsid w:val="0E0A025B"/>
    <w:rsid w:val="0EDA27AD"/>
    <w:rsid w:val="0EE97578"/>
    <w:rsid w:val="0F1D10FE"/>
    <w:rsid w:val="0F2F74A9"/>
    <w:rsid w:val="0F495435"/>
    <w:rsid w:val="1019426D"/>
    <w:rsid w:val="109B0AB2"/>
    <w:rsid w:val="10A17896"/>
    <w:rsid w:val="10FD58BF"/>
    <w:rsid w:val="11B61890"/>
    <w:rsid w:val="12B81D01"/>
    <w:rsid w:val="132F6C02"/>
    <w:rsid w:val="13FD03DC"/>
    <w:rsid w:val="1451767D"/>
    <w:rsid w:val="15532AAC"/>
    <w:rsid w:val="16247724"/>
    <w:rsid w:val="171A3FAC"/>
    <w:rsid w:val="1761460E"/>
    <w:rsid w:val="189035D7"/>
    <w:rsid w:val="18A44C13"/>
    <w:rsid w:val="19811061"/>
    <w:rsid w:val="19EE1A61"/>
    <w:rsid w:val="1A353BBA"/>
    <w:rsid w:val="1AA634D8"/>
    <w:rsid w:val="1BE1296B"/>
    <w:rsid w:val="1C296AD5"/>
    <w:rsid w:val="1C324A63"/>
    <w:rsid w:val="1D9C082C"/>
    <w:rsid w:val="1E26634A"/>
    <w:rsid w:val="1E6377CA"/>
    <w:rsid w:val="1E795491"/>
    <w:rsid w:val="1F20299E"/>
    <w:rsid w:val="1F6A6BD3"/>
    <w:rsid w:val="201028E7"/>
    <w:rsid w:val="207A754C"/>
    <w:rsid w:val="208251E1"/>
    <w:rsid w:val="21B20A68"/>
    <w:rsid w:val="21F50A70"/>
    <w:rsid w:val="222D791B"/>
    <w:rsid w:val="22481908"/>
    <w:rsid w:val="23061C04"/>
    <w:rsid w:val="238B07E0"/>
    <w:rsid w:val="2392570C"/>
    <w:rsid w:val="239646E1"/>
    <w:rsid w:val="23A041DE"/>
    <w:rsid w:val="247B6DE4"/>
    <w:rsid w:val="25C5028D"/>
    <w:rsid w:val="25ED78F7"/>
    <w:rsid w:val="2608130B"/>
    <w:rsid w:val="26AF0B03"/>
    <w:rsid w:val="278051DC"/>
    <w:rsid w:val="28D9119F"/>
    <w:rsid w:val="2B1E752D"/>
    <w:rsid w:val="2C256CFC"/>
    <w:rsid w:val="2E436ECB"/>
    <w:rsid w:val="2FEA64F3"/>
    <w:rsid w:val="30B30B82"/>
    <w:rsid w:val="312F7784"/>
    <w:rsid w:val="315E78A6"/>
    <w:rsid w:val="321118B3"/>
    <w:rsid w:val="325017E1"/>
    <w:rsid w:val="326367BD"/>
    <w:rsid w:val="32E66383"/>
    <w:rsid w:val="330324E7"/>
    <w:rsid w:val="332C17EF"/>
    <w:rsid w:val="333C4550"/>
    <w:rsid w:val="333E5959"/>
    <w:rsid w:val="34687F87"/>
    <w:rsid w:val="357B65F2"/>
    <w:rsid w:val="36D10681"/>
    <w:rsid w:val="382B3AAB"/>
    <w:rsid w:val="387977AF"/>
    <w:rsid w:val="39474099"/>
    <w:rsid w:val="3A3C645F"/>
    <w:rsid w:val="3A517C80"/>
    <w:rsid w:val="3A940454"/>
    <w:rsid w:val="3AC86407"/>
    <w:rsid w:val="3AD11030"/>
    <w:rsid w:val="3B654473"/>
    <w:rsid w:val="3B8B3F25"/>
    <w:rsid w:val="3BA26629"/>
    <w:rsid w:val="3C326803"/>
    <w:rsid w:val="3C590F9E"/>
    <w:rsid w:val="3CF63D4A"/>
    <w:rsid w:val="3D145CCF"/>
    <w:rsid w:val="3D2E036C"/>
    <w:rsid w:val="3DF34568"/>
    <w:rsid w:val="3E08203A"/>
    <w:rsid w:val="3E1B1309"/>
    <w:rsid w:val="3E706CD4"/>
    <w:rsid w:val="3E9D04E1"/>
    <w:rsid w:val="3EBF7B14"/>
    <w:rsid w:val="3F3C7738"/>
    <w:rsid w:val="3FB14118"/>
    <w:rsid w:val="409778F2"/>
    <w:rsid w:val="432352B6"/>
    <w:rsid w:val="43C24CB7"/>
    <w:rsid w:val="43D2132B"/>
    <w:rsid w:val="44FA5CEB"/>
    <w:rsid w:val="450364C6"/>
    <w:rsid w:val="452C0A86"/>
    <w:rsid w:val="45337098"/>
    <w:rsid w:val="46EE154C"/>
    <w:rsid w:val="490920E0"/>
    <w:rsid w:val="493C399A"/>
    <w:rsid w:val="49437201"/>
    <w:rsid w:val="49A4567D"/>
    <w:rsid w:val="49BA6031"/>
    <w:rsid w:val="4A0B7C82"/>
    <w:rsid w:val="4A7E19D0"/>
    <w:rsid w:val="4AC35735"/>
    <w:rsid w:val="4B383231"/>
    <w:rsid w:val="4B4739CB"/>
    <w:rsid w:val="4B4948C0"/>
    <w:rsid w:val="4C564076"/>
    <w:rsid w:val="502A1C8E"/>
    <w:rsid w:val="520A53D8"/>
    <w:rsid w:val="52537561"/>
    <w:rsid w:val="53B36F4F"/>
    <w:rsid w:val="55020BD2"/>
    <w:rsid w:val="56464605"/>
    <w:rsid w:val="564C6072"/>
    <w:rsid w:val="56CD7269"/>
    <w:rsid w:val="57781BF5"/>
    <w:rsid w:val="579E0EC9"/>
    <w:rsid w:val="57C03BF5"/>
    <w:rsid w:val="57EF771C"/>
    <w:rsid w:val="58831FCD"/>
    <w:rsid w:val="58D51A9B"/>
    <w:rsid w:val="59C7175B"/>
    <w:rsid w:val="59CA79C0"/>
    <w:rsid w:val="5A1A3DFE"/>
    <w:rsid w:val="5A3B17A6"/>
    <w:rsid w:val="5A436494"/>
    <w:rsid w:val="5ACC2934"/>
    <w:rsid w:val="5B047625"/>
    <w:rsid w:val="5B6A0117"/>
    <w:rsid w:val="5CEF3D63"/>
    <w:rsid w:val="5DA9139A"/>
    <w:rsid w:val="5DB70349"/>
    <w:rsid w:val="5E0604A9"/>
    <w:rsid w:val="5E187283"/>
    <w:rsid w:val="5E3721C0"/>
    <w:rsid w:val="5EB9695A"/>
    <w:rsid w:val="5EE6572A"/>
    <w:rsid w:val="5F5074D8"/>
    <w:rsid w:val="600C2C53"/>
    <w:rsid w:val="60485B90"/>
    <w:rsid w:val="60AC3381"/>
    <w:rsid w:val="60BA1DB4"/>
    <w:rsid w:val="612133CB"/>
    <w:rsid w:val="62AB0710"/>
    <w:rsid w:val="62B01075"/>
    <w:rsid w:val="631A211D"/>
    <w:rsid w:val="63486485"/>
    <w:rsid w:val="6350415C"/>
    <w:rsid w:val="65673B69"/>
    <w:rsid w:val="66B75B30"/>
    <w:rsid w:val="66BA7343"/>
    <w:rsid w:val="66DD104D"/>
    <w:rsid w:val="676C461D"/>
    <w:rsid w:val="682A0707"/>
    <w:rsid w:val="68832A1A"/>
    <w:rsid w:val="68D04A5F"/>
    <w:rsid w:val="69823BF9"/>
    <w:rsid w:val="69DE26DD"/>
    <w:rsid w:val="6A7C6B6D"/>
    <w:rsid w:val="6ADC229B"/>
    <w:rsid w:val="6BF67AC3"/>
    <w:rsid w:val="6C495B4E"/>
    <w:rsid w:val="6EB964DA"/>
    <w:rsid w:val="71483B00"/>
    <w:rsid w:val="715E4A0D"/>
    <w:rsid w:val="71AB7DF7"/>
    <w:rsid w:val="71CC2FCF"/>
    <w:rsid w:val="721D48D4"/>
    <w:rsid w:val="72205D46"/>
    <w:rsid w:val="72951D35"/>
    <w:rsid w:val="736768DB"/>
    <w:rsid w:val="74B031B6"/>
    <w:rsid w:val="74BF6727"/>
    <w:rsid w:val="74CE195C"/>
    <w:rsid w:val="76075BE9"/>
    <w:rsid w:val="7644629F"/>
    <w:rsid w:val="76A521E3"/>
    <w:rsid w:val="77095A86"/>
    <w:rsid w:val="772E4B74"/>
    <w:rsid w:val="78C77117"/>
    <w:rsid w:val="7A4A2693"/>
    <w:rsid w:val="7AF253A7"/>
    <w:rsid w:val="7B661B10"/>
    <w:rsid w:val="7C370E07"/>
    <w:rsid w:val="7C710498"/>
    <w:rsid w:val="7D696E7C"/>
    <w:rsid w:val="7E6B4212"/>
    <w:rsid w:val="7E7A2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B0F55"/>
  <w15:docId w15:val="{6546CFDD-BEC7-4E90-8B55-C526D47D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48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6483B"/>
    <w:rPr>
      <w:kern w:val="2"/>
      <w:sz w:val="18"/>
      <w:szCs w:val="18"/>
    </w:rPr>
  </w:style>
  <w:style w:type="paragraph" w:styleId="a5">
    <w:name w:val="footer"/>
    <w:basedOn w:val="a"/>
    <w:link w:val="a6"/>
    <w:rsid w:val="00E6483B"/>
    <w:pPr>
      <w:tabs>
        <w:tab w:val="center" w:pos="4153"/>
        <w:tab w:val="right" w:pos="8306"/>
      </w:tabs>
      <w:snapToGrid w:val="0"/>
      <w:jc w:val="left"/>
    </w:pPr>
    <w:rPr>
      <w:sz w:val="18"/>
      <w:szCs w:val="18"/>
    </w:rPr>
  </w:style>
  <w:style w:type="character" w:customStyle="1" w:styleId="a6">
    <w:name w:val="页脚 字符"/>
    <w:basedOn w:val="a0"/>
    <w:link w:val="a5"/>
    <w:rsid w:val="00E6483B"/>
    <w:rPr>
      <w:kern w:val="2"/>
      <w:sz w:val="18"/>
      <w:szCs w:val="18"/>
    </w:rPr>
  </w:style>
  <w:style w:type="paragraph" w:styleId="a7">
    <w:name w:val="Date"/>
    <w:basedOn w:val="a"/>
    <w:next w:val="a"/>
    <w:link w:val="a8"/>
    <w:rsid w:val="006045EF"/>
    <w:pPr>
      <w:ind w:leftChars="2500" w:left="100"/>
    </w:pPr>
  </w:style>
  <w:style w:type="character" w:customStyle="1" w:styleId="a8">
    <w:name w:val="日期 字符"/>
    <w:basedOn w:val="a0"/>
    <w:link w:val="a7"/>
    <w:rsid w:val="006045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470</Words>
  <Characters>2681</Characters>
  <Application>Microsoft Office Word</Application>
  <DocSecurity>0</DocSecurity>
  <Lines>22</Lines>
  <Paragraphs>6</Paragraphs>
  <ScaleCrop>false</ScaleCrop>
  <Company>Microsoft</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Microsoft</cp:lastModifiedBy>
  <cp:revision>8</cp:revision>
  <dcterms:created xsi:type="dcterms:W3CDTF">2024-04-08T10:07:00Z</dcterms:created>
  <dcterms:modified xsi:type="dcterms:W3CDTF">2024-08-15T08:46:00Z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B48674027CF94E9DB810879D685A9195_12</vt:lpwstr>
  </property>
</Properties>
</file>