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59C9A">
      <w:pPr>
        <w:keepNext/>
        <w:keepLines/>
        <w:spacing w:before="260" w:after="260" w:line="360" w:lineRule="auto"/>
        <w:jc w:val="center"/>
        <w:outlineLvl w:val="1"/>
        <w:rPr>
          <w:rFonts w:ascii="宋体" w:hAnsi="宋体" w:eastAsia="宋体" w:cs="Times New Roman"/>
          <w:b/>
          <w:bCs/>
          <w:i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iCs/>
          <w:sz w:val="24"/>
          <w:szCs w:val="24"/>
        </w:rPr>
        <w:t>证券代码：605377                                 证券简称：华旺科技</w:t>
      </w:r>
      <w:r>
        <w:rPr>
          <w:rFonts w:ascii="宋体" w:hAnsi="宋体" w:eastAsia="宋体" w:cs="Times New Roman"/>
          <w:b/>
          <w:bCs/>
          <w:iCs/>
          <w:sz w:val="24"/>
          <w:szCs w:val="24"/>
        </w:rPr>
        <w:t xml:space="preserve"> </w:t>
      </w:r>
    </w:p>
    <w:p w14:paraId="08322748"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杭州华旺新材料科技股份有限公司</w:t>
      </w:r>
    </w:p>
    <w:p w14:paraId="6C554D8B"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投资者关系活动记录表</w:t>
      </w:r>
    </w:p>
    <w:p w14:paraId="6D90F48D">
      <w:pPr>
        <w:keepNext/>
        <w:keepLines/>
        <w:spacing w:before="260" w:after="260" w:line="360" w:lineRule="auto"/>
        <w:jc w:val="right"/>
        <w:outlineLvl w:val="1"/>
        <w:rPr>
          <w:rFonts w:hint="default" w:ascii="宋体" w:hAnsi="宋体" w:eastAsia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编号</w:t>
      </w:r>
      <w:r>
        <w:rPr>
          <w:rFonts w:hint="eastAsia" w:ascii="宋体" w:hAnsi="宋体" w:eastAsia="宋体" w:cs="Times New Roman"/>
          <w:b/>
          <w:bCs/>
          <w:sz w:val="24"/>
          <w:szCs w:val="24"/>
          <w:highlight w:val="none"/>
        </w:rPr>
        <w:t>：202</w:t>
      </w:r>
      <w:r>
        <w:rPr>
          <w:rFonts w:hint="eastAsia" w:ascii="宋体" w:hAnsi="宋体" w:eastAsia="宋体" w:cs="Times New Roman"/>
          <w:b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bCs/>
          <w:sz w:val="24"/>
          <w:szCs w:val="24"/>
          <w:highlight w:val="none"/>
        </w:rPr>
        <w:t>-</w:t>
      </w:r>
      <w:r>
        <w:rPr>
          <w:rFonts w:hint="eastAsia" w:ascii="宋体" w:hAnsi="宋体" w:eastAsia="宋体" w:cs="Times New Roman"/>
          <w:b/>
          <w:bCs/>
          <w:sz w:val="24"/>
          <w:szCs w:val="24"/>
          <w:highlight w:val="none"/>
          <w:lang w:val="en-US" w:eastAsia="zh-CN"/>
        </w:rPr>
        <w:t>005</w:t>
      </w:r>
    </w:p>
    <w:tbl>
      <w:tblPr>
        <w:tblStyle w:val="10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5930"/>
      </w:tblGrid>
      <w:tr w14:paraId="2233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</w:tcPr>
          <w:p w14:paraId="1188F509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58B50BDC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30" w:type="dxa"/>
            <w:shd w:val="clear" w:color="auto" w:fill="auto"/>
          </w:tcPr>
          <w:p w14:paraId="43857919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分析师会议</w:t>
            </w:r>
          </w:p>
          <w:p w14:paraId="3EDE54E9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业绩说明会</w:t>
            </w:r>
          </w:p>
          <w:p w14:paraId="75D740FB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路演活动</w:t>
            </w:r>
          </w:p>
          <w:p w14:paraId="23F6E701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现场参观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电话会议</w:t>
            </w:r>
          </w:p>
          <w:p w14:paraId="26BB0989">
            <w:pPr>
              <w:tabs>
                <w:tab w:val="center" w:pos="3199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</w:t>
            </w:r>
          </w:p>
        </w:tc>
      </w:tr>
      <w:tr w14:paraId="24C3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</w:tcPr>
          <w:p w14:paraId="1D676EEF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  <w:highlight w:val="none"/>
              </w:rPr>
              <w:t>参与单位名称</w:t>
            </w:r>
          </w:p>
        </w:tc>
        <w:tc>
          <w:tcPr>
            <w:tcW w:w="5930" w:type="dxa"/>
            <w:shd w:val="clear" w:color="auto" w:fill="auto"/>
          </w:tcPr>
          <w:p w14:paraId="195B7915">
            <w:pPr>
              <w:tabs>
                <w:tab w:val="center" w:pos="2798"/>
              </w:tabs>
              <w:spacing w:line="360" w:lineRule="auto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highlight w:val="none"/>
                <w:lang w:val="en-US" w:eastAsia="zh-CN"/>
              </w:rPr>
              <w:t>国泰基金、富国基金、博时基金、易方达基金、交银施罗德、蜂巢基金、中金基金、南华基金、工银瑞信基金、工银安盛资管、泓德基金、东方阿尔法基金、汇丰晋信基金、国联安基金、华泰柏瑞基金、南方基金、银华基金、泓德基金、宏利基金、国联基金、中银基金、汇安基金、招商基金、华宝基金、融通基金、太平基金、九泰基金、天治基金、平安养老、人保资产、国华兴益、宁银理财、承珞资本、禾永投资、中兴威资管、太平资管、T Rowe Price、QFM China Master Fund、Flowing River Capital、HGNH International Asset Management (SG) PTE.LTD、华泰资管、财通资管、申万宏源资管、边域基金、雷根基金、成为常青基金、彼得明奇基金、泉果基金、华能贵诚信托、前海资管、银杏资本、方圆资产、普信香港、中邮保险、源乘投资、鹏泰投资、</w:t>
            </w:r>
            <w:r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highlight w:val="none"/>
                <w:lang w:val="en-US" w:eastAsia="zh-CN"/>
              </w:rPr>
              <w:t>紫金矿业投资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highlight w:val="none"/>
                <w:lang w:val="en-US" w:eastAsia="zh-CN"/>
              </w:rPr>
              <w:t>、奕金安投资、纳轩私募、北京容光私募基金、泰旸资产、沣京资本、聊塑资产、华兴资本、上汽颀臻、华美国际、人保香港资产、利位投资、锦绣中和资本、博荣资本、相生资产、素本投资、明己投资、生命保险资产、广金投资、敦和资产、望岳投资、进门财经、浙商证券自营、中信建投证券、瑞银证券、兴业证券、东方证券、中金证券、华福证券、方正证券、招商证券、中泰证券、国海证券、东北证券、德邦证券、国盛证券、国金证券、国投证券、申万宏源证券（排名不分先后）</w:t>
            </w:r>
          </w:p>
        </w:tc>
      </w:tr>
      <w:tr w14:paraId="7A1C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</w:tcPr>
          <w:p w14:paraId="66760314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5930" w:type="dxa"/>
            <w:shd w:val="clear" w:color="auto" w:fill="auto"/>
          </w:tcPr>
          <w:p w14:paraId="19435401">
            <w:pPr>
              <w:spacing w:line="360" w:lineRule="auto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highlight w:val="none"/>
                <w:lang w:val="en-US" w:eastAsia="zh-CN"/>
              </w:rPr>
              <w:t>2024年8月16日</w:t>
            </w:r>
          </w:p>
        </w:tc>
      </w:tr>
      <w:tr w14:paraId="0FA0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</w:tcPr>
          <w:p w14:paraId="093D13DA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5930" w:type="dxa"/>
            <w:shd w:val="clear" w:color="auto" w:fill="auto"/>
          </w:tcPr>
          <w:p w14:paraId="69087720">
            <w:pPr>
              <w:spacing w:line="360" w:lineRule="auto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电话会议</w:t>
            </w:r>
          </w:p>
        </w:tc>
      </w:tr>
      <w:tr w14:paraId="7307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</w:tcPr>
          <w:p w14:paraId="32722E75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930" w:type="dxa"/>
            <w:shd w:val="clear" w:color="auto" w:fill="auto"/>
          </w:tcPr>
          <w:p w14:paraId="31CE32C7">
            <w:pPr>
              <w:spacing w:line="360" w:lineRule="auto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董事会秘书：陈蕾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女士</w:t>
            </w:r>
          </w:p>
        </w:tc>
      </w:tr>
      <w:tr w14:paraId="1A10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0" w:type="dxa"/>
            <w:shd w:val="clear" w:color="auto" w:fill="auto"/>
            <w:vAlign w:val="center"/>
          </w:tcPr>
          <w:p w14:paraId="6F575677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投资者关系活动内容记录</w:t>
            </w:r>
          </w:p>
        </w:tc>
        <w:tc>
          <w:tcPr>
            <w:tcW w:w="5930" w:type="dxa"/>
            <w:shd w:val="clear" w:color="auto" w:fill="auto"/>
          </w:tcPr>
          <w:p w14:paraId="4D4B387B">
            <w:pPr>
              <w:numPr>
                <w:ilvl w:val="-1"/>
                <w:numId w:val="0"/>
              </w:numPr>
              <w:autoSpaceDE/>
              <w:autoSpaceDN/>
              <w:adjustRightInd/>
              <w:snapToGrid/>
              <w:spacing w:before="156" w:beforeLines="50" w:after="156" w:afterLines="50" w:line="360" w:lineRule="auto"/>
              <w:ind w:firstLine="482" w:firstLineChars="200"/>
              <w:rPr>
                <w:rFonts w:hint="default" w:asciiTheme="minorEastAsia" w:hAnsiTheme="minorEastAsia" w:cstheme="minorEastAsia"/>
                <w:b/>
                <w:bCs/>
                <w:color w:val="26262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262626"/>
                <w:sz w:val="24"/>
                <w:szCs w:val="24"/>
                <w:shd w:val="clear" w:color="auto" w:fill="FFFFFF"/>
                <w:lang w:val="en-US" w:eastAsia="zh-CN"/>
              </w:rPr>
              <w:t>一、公司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2024年半季度业绩介绍</w:t>
            </w:r>
          </w:p>
          <w:p w14:paraId="786C3A49">
            <w:pPr>
              <w:keepNext w:val="0"/>
              <w:keepLines w:val="0"/>
              <w:widowControl/>
              <w:suppressLineNumbers w:val="0"/>
              <w:spacing w:before="156" w:beforeLines="50" w:after="156" w:afterLines="50" w:line="360" w:lineRule="auto"/>
              <w:ind w:firstLine="480" w:firstLineChars="200"/>
              <w:jc w:val="both"/>
              <w:rPr>
                <w:rFonts w:hint="default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2024年半年度，公司实现营业收入19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655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万元，比上年同期增长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4.59</w:t>
            </w:r>
            <w:r>
              <w:rPr>
                <w:rFonts w:ascii="宋体" w:hAnsi="宋体" w:eastAsia="宋体" w:cs="宋体"/>
                <w:sz w:val="24"/>
                <w:szCs w:val="24"/>
              </w:rPr>
              <w:t>%；归属于上市公司股东的净利润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30,215.16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万元，比上年同期增长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28.06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%；归属上市公司股东的扣除非经常性损益后的净利润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27,425.99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万元，比上年同期增长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24.47</w:t>
            </w:r>
            <w:r>
              <w:rPr>
                <w:rFonts w:ascii="宋体" w:hAnsi="宋体" w:eastAsia="宋体" w:cs="宋体"/>
                <w:sz w:val="24"/>
                <w:szCs w:val="24"/>
              </w:rPr>
              <w:t>%。经营活动产生的现金流量净额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17,693.99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万元,比上年同期增长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103.68</w:t>
            </w:r>
            <w:r>
              <w:rPr>
                <w:rFonts w:ascii="宋体" w:hAnsi="宋体" w:eastAsia="宋体" w:cs="宋体"/>
                <w:sz w:val="24"/>
                <w:szCs w:val="24"/>
              </w:rPr>
              <w:t>%。</w:t>
            </w:r>
          </w:p>
          <w:p w14:paraId="70C71ED5">
            <w:pPr>
              <w:numPr>
                <w:ilvl w:val="-1"/>
                <w:numId w:val="0"/>
              </w:numPr>
              <w:autoSpaceDE/>
              <w:autoSpaceDN/>
              <w:adjustRightInd/>
              <w:snapToGrid/>
              <w:spacing w:before="156" w:beforeLines="50" w:after="156" w:afterLines="50" w:line="360" w:lineRule="auto"/>
              <w:ind w:firstLine="482" w:firstLineChars="200"/>
              <w:rPr>
                <w:rFonts w:hint="eastAsia" w:asciiTheme="minorEastAsia" w:hAnsiTheme="minorEastAsia" w:cstheme="minorEastAsia"/>
                <w:b/>
                <w:bCs/>
                <w:color w:val="26262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262626"/>
                <w:sz w:val="24"/>
                <w:szCs w:val="24"/>
                <w:shd w:val="clear" w:color="auto" w:fill="FFFFFF"/>
                <w:lang w:val="en-US" w:eastAsia="zh-CN"/>
              </w:rPr>
              <w:t>二、调研活动问答</w:t>
            </w:r>
          </w:p>
          <w:p w14:paraId="764D59C1">
            <w:pPr>
              <w:pStyle w:val="2"/>
              <w:spacing w:before="82" w:line="360" w:lineRule="auto"/>
              <w:ind w:left="0" w:leftChars="0" w:firstLine="482" w:firstLineChars="20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2024年中期分红及未来分红展望？</w:t>
            </w:r>
          </w:p>
          <w:p w14:paraId="2C3B5208">
            <w:pPr>
              <w:spacing w:before="156" w:beforeLines="50" w:line="360" w:lineRule="auto"/>
              <w:ind w:firstLine="480" w:firstLineChars="200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作为国内从事装饰原纸生产的主要企业之一，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公司在自身稳步发展的同时，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始终牢固树立以投资者为本的理念，致力与股东建立长期稳定、相互信任的投资关系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最近三年（2021年-2023年），公司累计向投资者分配现金红利70,837.72万元，以现金方式回购股份金额5,717.49 万元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，近3年年均股利支付率达46.5%，保持现金分红政策的持续性和稳定性。</w:t>
            </w:r>
          </w:p>
          <w:p w14:paraId="32760104">
            <w:pPr>
              <w:spacing w:before="156" w:beforeLines="50" w:line="360" w:lineRule="auto"/>
              <w:ind w:firstLine="480" w:firstLineChars="200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根据公司2024年中期利润分配预案，</w:t>
            </w: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CN"/>
              </w:rPr>
              <w:t>公司拟向全体股东每10股派发现金红利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4.20</w:t>
            </w: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CN"/>
              </w:rPr>
              <w:t>元（含税）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。合计拟派发现金红利19,484.90万元（含税），占合并报表中</w:t>
            </w: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4年半年度归属于上市公司股东净利润比例为</w:t>
            </w: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CN"/>
              </w:rPr>
              <w:t>64.49%。</w:t>
            </w:r>
            <w:bookmarkStart w:id="7" w:name="_GoBack"/>
            <w:bookmarkEnd w:id="7"/>
          </w:p>
          <w:p w14:paraId="1F4410F4">
            <w:pPr>
              <w:spacing w:before="156" w:beforeLines="50"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展望未来，公司将根据所处发展阶段，统筹好公司发展、业绩增长与股东回报的动态平衡。通过提高分红频率，与投资者共享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经营成果，进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一步增强投资者对公司长期业务发展的信心，提高投资者的获得感。谢谢！</w:t>
            </w:r>
          </w:p>
          <w:p w14:paraId="3226DB5E">
            <w:pPr>
              <w:spacing w:before="156" w:beforeLines="50" w:after="156" w:afterLines="50" w:line="360" w:lineRule="auto"/>
              <w:ind w:firstLine="482" w:firstLineChars="200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2、请问公司上半年的出口情况及主要集中区域？</w:t>
            </w:r>
          </w:p>
          <w:p w14:paraId="3FB7AFF5">
            <w:pPr>
              <w:spacing w:before="156" w:beforeLines="50" w:after="156" w:afterLines="50" w:line="360" w:lineRule="auto"/>
              <w:ind w:firstLine="480" w:firstLineChars="200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答：2024年上半年，公司实现国外销售收入4.21亿元，与上年同期相比增长8.5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6%。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得益于公司产品品质的高稳定性，公司在国外市场的市场占有率逐步提升。公司装饰原纸目前主要出口区域有欧洲、东南亚等市场。未来公司会继续深耕国外市场，进一步提升国外市场份额。谢谢！</w:t>
            </w:r>
          </w:p>
          <w:p w14:paraId="7BE03250">
            <w:pPr>
              <w:spacing w:before="156" w:beforeLines="50" w:after="156" w:afterLines="50" w:line="360" w:lineRule="auto"/>
              <w:ind w:firstLine="482" w:firstLineChars="200"/>
              <w:rPr>
                <w:rFonts w:hint="eastAsia" w:ascii="宋体" w:hAnsi="宋体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4"/>
                <w:szCs w:val="24"/>
                <w:lang w:val="en-US" w:eastAsia="zh-CN"/>
              </w:rPr>
              <w:t>3、请问公司如何看待目前消费降级的趋势？</w:t>
            </w:r>
          </w:p>
          <w:p w14:paraId="5CBCFF84">
            <w:pPr>
              <w:spacing w:before="156" w:beforeLines="50" w:after="156" w:afterLines="50" w:line="360" w:lineRule="auto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答：从目前行业观察到的情况看，消费者对于产品“性价比”的重视程度逐步提升，关注度更多地转向“平替”与更具性价比的产品。</w:t>
            </w:r>
          </w:p>
          <w:p w14:paraId="7520CB13">
            <w:pPr>
              <w:spacing w:before="156" w:beforeLines="50" w:after="156" w:afterLines="50" w:line="360" w:lineRule="auto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伴随产业链整体技术的提升迭代，装饰原纸作为各类板材的贴面材料，为消费者提供了更具多样化、个性化的产品选择，同时兼具高性价比的特性，更好地契合了当前消费者需求。谢谢！</w:t>
            </w:r>
          </w:p>
          <w:p w14:paraId="3ACB69B6">
            <w:pPr>
              <w:spacing w:before="156" w:beforeLines="50" w:after="156" w:afterLines="50" w:line="360" w:lineRule="auto"/>
              <w:ind w:firstLine="482" w:firstLineChars="200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4、请问公司成本管控的</w:t>
            </w:r>
            <w:bookmarkStart w:id="0" w:name="OLE_LINK1"/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优势体现在哪些</w:t>
            </w:r>
            <w:bookmarkEnd w:id="0"/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方面？</w:t>
            </w:r>
          </w:p>
          <w:p w14:paraId="5CC55356">
            <w:pPr>
              <w:spacing w:before="156" w:beforeLines="50" w:after="156" w:afterLines="50" w:line="360" w:lineRule="auto"/>
              <w:ind w:firstLine="480" w:firstLineChars="200"/>
              <w:rPr>
                <w:rFonts w:hint="default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bookmarkStart w:id="1" w:name="OLE_LINK2"/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答：</w:t>
            </w:r>
            <w:bookmarkEnd w:id="1"/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公司作为国内主要的装饰原纸生产企业之一，长期致力于装饰原纸的研发、生产和销售，是行业内扎根较深、生产经验较为丰富的企业之一。公司依托先进的生产工艺技术及二十余年的生产经验积累，构建起对装饰原纸全生产周期的成本管控体系。在生产环节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公司将规模化的生产与丰富的管理经验相结合，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</w:t>
            </w:r>
            <w:r>
              <w:rPr>
                <w:rFonts w:ascii="宋体" w:hAnsi="宋体" w:eastAsia="宋体" w:cs="宋体"/>
                <w:sz w:val="24"/>
                <w:szCs w:val="24"/>
              </w:rPr>
              <w:t>减少原材料与能源的损耗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的同时进一步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保证了产品质量的稳定；在采购环节，公司借助规模化优势提升公司原材料采购的整体议价能力，降低公司采购成本。谢谢！</w:t>
            </w:r>
          </w:p>
          <w:p w14:paraId="7522721C">
            <w:pPr>
              <w:spacing w:before="156" w:beforeLines="50" w:after="156" w:afterLines="50" w:line="360" w:lineRule="auto"/>
              <w:ind w:firstLine="482" w:firstLineChars="200"/>
              <w:rPr>
                <w:rFonts w:hint="eastAsia" w:ascii="宋体" w:hAnsi="宋体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4"/>
                <w:szCs w:val="24"/>
                <w:lang w:val="en-US" w:eastAsia="zh-CN"/>
              </w:rPr>
              <w:t>5、装饰原纸行业未来发展的驱动因素？</w:t>
            </w:r>
          </w:p>
          <w:p w14:paraId="5E731CFA">
            <w:pPr>
              <w:spacing w:before="156" w:beforeLines="50" w:after="156" w:afterLines="50" w:line="360" w:lineRule="auto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bookmarkStart w:id="2" w:name="OLE_LINK7"/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答：根据中国林产工业协会的数据显示，2023年中国装饰原纸销量141.07万吨，同比增长33.48%，中国装饰原纸需求量持续保持稳定增长。</w:t>
            </w:r>
          </w:p>
          <w:p w14:paraId="3BF66B91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从国内市场来看，装饰原纸结构优化和应用领域拓展将支撑行业的中长期市场需求。一方面，中国装饰原纸结构优化仍具有较大空间，欧美等发达国家装饰原纸基本为中高端产品。随着产业链的不断成熟和消费者对产品品质要求的不断提高，装饰原</w:t>
            </w:r>
            <w:bookmarkStart w:id="3" w:name="OLE_LINK6"/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纸有望持续中高端化，技术</w:t>
            </w:r>
            <w:bookmarkStart w:id="4" w:name="OLE_LINK5"/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及工</w:t>
            </w:r>
            <w:bookmarkEnd w:id="4"/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艺水平较</w:t>
            </w:r>
            <w:bookmarkEnd w:id="3"/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低的中低端产能或逐步退出市场；</w:t>
            </w:r>
            <w:bookmarkStart w:id="5" w:name="OLE_LINK4"/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另一方面，装饰原纸下</w:t>
            </w:r>
            <w:bookmarkStart w:id="6" w:name="OLE_LINK3"/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游终端应用为定制家居领域和公共装修领域。目前装饰原纸系列产品以其强大的印刷表现力、环保的生产工艺、优质的性价比，不仅已成为天</w:t>
            </w:r>
            <w:r>
              <w:rPr>
                <w:rFonts w:hint="default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然薄木的最佳代替品，还逐步替代天然石材、皮革、布艺、PVC等一系列其他装饰材料，应用领域大幅拓展，已逐步成为装饰材料行业中应用最广泛的材料之一</w:t>
            </w:r>
            <w:bookmarkEnd w:id="6"/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。谢谢！</w:t>
            </w:r>
            <w:bookmarkEnd w:id="2"/>
            <w:bookmarkEnd w:id="5"/>
          </w:p>
        </w:tc>
      </w:tr>
      <w:tr w14:paraId="0A18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  <w:vAlign w:val="center"/>
          </w:tcPr>
          <w:p w14:paraId="0F9BA3F5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附件清单</w:t>
            </w:r>
          </w:p>
        </w:tc>
        <w:tc>
          <w:tcPr>
            <w:tcW w:w="5930" w:type="dxa"/>
            <w:shd w:val="clear" w:color="auto" w:fill="auto"/>
          </w:tcPr>
          <w:p w14:paraId="78757D5B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无</w:t>
            </w:r>
          </w:p>
        </w:tc>
      </w:tr>
      <w:tr w14:paraId="1AB9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  <w:vAlign w:val="center"/>
          </w:tcPr>
          <w:p w14:paraId="4DF2DDAD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314E0449">
            <w:pPr>
              <w:spacing w:line="360" w:lineRule="auto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8月19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highlight w:val="none"/>
              </w:rPr>
              <w:t>日</w:t>
            </w:r>
          </w:p>
        </w:tc>
      </w:tr>
    </w:tbl>
    <w:p w14:paraId="6EDCEECC"/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zY1ODc2ZjdjMmIzMTNmM2Y0MGM5MDU0YzAxMmMifQ=="/>
  </w:docVars>
  <w:rsids>
    <w:rsidRoot w:val="05741DF2"/>
    <w:rsid w:val="000B715C"/>
    <w:rsid w:val="00106E63"/>
    <w:rsid w:val="0015768F"/>
    <w:rsid w:val="001E03D3"/>
    <w:rsid w:val="001F2E4C"/>
    <w:rsid w:val="002675FA"/>
    <w:rsid w:val="0050324B"/>
    <w:rsid w:val="007A5CBB"/>
    <w:rsid w:val="008670FD"/>
    <w:rsid w:val="00D0011A"/>
    <w:rsid w:val="00E272D3"/>
    <w:rsid w:val="00F17ABA"/>
    <w:rsid w:val="00FF1CE8"/>
    <w:rsid w:val="010F1DA1"/>
    <w:rsid w:val="012E3E6C"/>
    <w:rsid w:val="023D0B8F"/>
    <w:rsid w:val="02962529"/>
    <w:rsid w:val="02D768EE"/>
    <w:rsid w:val="0305345B"/>
    <w:rsid w:val="03676D57"/>
    <w:rsid w:val="038500F8"/>
    <w:rsid w:val="03CA6453"/>
    <w:rsid w:val="03CB3347"/>
    <w:rsid w:val="04267B2D"/>
    <w:rsid w:val="053C0609"/>
    <w:rsid w:val="05741DF2"/>
    <w:rsid w:val="0581354D"/>
    <w:rsid w:val="058735DE"/>
    <w:rsid w:val="059A67BA"/>
    <w:rsid w:val="05B11678"/>
    <w:rsid w:val="05E57BDF"/>
    <w:rsid w:val="05FD0E91"/>
    <w:rsid w:val="065F10D4"/>
    <w:rsid w:val="067B3A34"/>
    <w:rsid w:val="067B433B"/>
    <w:rsid w:val="06B8720F"/>
    <w:rsid w:val="074F1149"/>
    <w:rsid w:val="076C78D3"/>
    <w:rsid w:val="07C03DF5"/>
    <w:rsid w:val="080A5070"/>
    <w:rsid w:val="0858227F"/>
    <w:rsid w:val="08591B53"/>
    <w:rsid w:val="09244DB9"/>
    <w:rsid w:val="0926237D"/>
    <w:rsid w:val="09C94AB7"/>
    <w:rsid w:val="09EB2C7F"/>
    <w:rsid w:val="09FC4E8C"/>
    <w:rsid w:val="0A32423D"/>
    <w:rsid w:val="0A975CBF"/>
    <w:rsid w:val="0A9D041D"/>
    <w:rsid w:val="0AF344E1"/>
    <w:rsid w:val="0B0623A6"/>
    <w:rsid w:val="0BE36304"/>
    <w:rsid w:val="0C1116EC"/>
    <w:rsid w:val="0C3B1C9C"/>
    <w:rsid w:val="0C9E222B"/>
    <w:rsid w:val="0CA648B1"/>
    <w:rsid w:val="0D464D9C"/>
    <w:rsid w:val="0D465BC9"/>
    <w:rsid w:val="0D5345DB"/>
    <w:rsid w:val="0DA11FD2"/>
    <w:rsid w:val="0DBE08FD"/>
    <w:rsid w:val="0DE620DB"/>
    <w:rsid w:val="0E0F054E"/>
    <w:rsid w:val="0ED04ACD"/>
    <w:rsid w:val="0F2067C7"/>
    <w:rsid w:val="0F247C71"/>
    <w:rsid w:val="0F3F7CF5"/>
    <w:rsid w:val="0F5320C7"/>
    <w:rsid w:val="0F9A3AC1"/>
    <w:rsid w:val="0FDA5C70"/>
    <w:rsid w:val="0FFA1E6E"/>
    <w:rsid w:val="102B64CB"/>
    <w:rsid w:val="10303AE2"/>
    <w:rsid w:val="10F81C18"/>
    <w:rsid w:val="11961FED"/>
    <w:rsid w:val="126229BB"/>
    <w:rsid w:val="126A12AD"/>
    <w:rsid w:val="12C02EFB"/>
    <w:rsid w:val="13240AF6"/>
    <w:rsid w:val="134578A4"/>
    <w:rsid w:val="134A2B3B"/>
    <w:rsid w:val="13567813"/>
    <w:rsid w:val="13682914"/>
    <w:rsid w:val="13833F28"/>
    <w:rsid w:val="13E811F4"/>
    <w:rsid w:val="14AB7BDB"/>
    <w:rsid w:val="1500148C"/>
    <w:rsid w:val="152F25BA"/>
    <w:rsid w:val="15F1786F"/>
    <w:rsid w:val="15F76D1A"/>
    <w:rsid w:val="167504A0"/>
    <w:rsid w:val="169278C0"/>
    <w:rsid w:val="177270DF"/>
    <w:rsid w:val="178F6075"/>
    <w:rsid w:val="1876405C"/>
    <w:rsid w:val="199232F7"/>
    <w:rsid w:val="1A050D21"/>
    <w:rsid w:val="1A3059AD"/>
    <w:rsid w:val="1A91517D"/>
    <w:rsid w:val="1B105864"/>
    <w:rsid w:val="1B14711D"/>
    <w:rsid w:val="1BB4508E"/>
    <w:rsid w:val="1BF9747E"/>
    <w:rsid w:val="1C2B1F69"/>
    <w:rsid w:val="1D0D31E0"/>
    <w:rsid w:val="1D81597C"/>
    <w:rsid w:val="1E000135"/>
    <w:rsid w:val="1F71326E"/>
    <w:rsid w:val="1FA47700"/>
    <w:rsid w:val="1FBB3F7E"/>
    <w:rsid w:val="2063580D"/>
    <w:rsid w:val="20AA343C"/>
    <w:rsid w:val="21197107"/>
    <w:rsid w:val="217C0935"/>
    <w:rsid w:val="217C335E"/>
    <w:rsid w:val="21DF3067"/>
    <w:rsid w:val="21F20BF7"/>
    <w:rsid w:val="224D22D1"/>
    <w:rsid w:val="226C3675"/>
    <w:rsid w:val="22FC3FCE"/>
    <w:rsid w:val="231D6147"/>
    <w:rsid w:val="231E7CDE"/>
    <w:rsid w:val="23294AEC"/>
    <w:rsid w:val="236B0C61"/>
    <w:rsid w:val="2480724F"/>
    <w:rsid w:val="24935FA1"/>
    <w:rsid w:val="24BB659B"/>
    <w:rsid w:val="25472BFA"/>
    <w:rsid w:val="25675458"/>
    <w:rsid w:val="25AF557F"/>
    <w:rsid w:val="25C1725E"/>
    <w:rsid w:val="269154D1"/>
    <w:rsid w:val="2740425A"/>
    <w:rsid w:val="275D2FB6"/>
    <w:rsid w:val="27AE55C0"/>
    <w:rsid w:val="2823423B"/>
    <w:rsid w:val="282D214E"/>
    <w:rsid w:val="284B18E0"/>
    <w:rsid w:val="286D547B"/>
    <w:rsid w:val="28C3509B"/>
    <w:rsid w:val="29146EAC"/>
    <w:rsid w:val="294066EC"/>
    <w:rsid w:val="296C5733"/>
    <w:rsid w:val="29B37026"/>
    <w:rsid w:val="29E975B1"/>
    <w:rsid w:val="2A952A67"/>
    <w:rsid w:val="2AA35184"/>
    <w:rsid w:val="2ACE41EB"/>
    <w:rsid w:val="2B23227F"/>
    <w:rsid w:val="2B964019"/>
    <w:rsid w:val="2BB65EE6"/>
    <w:rsid w:val="2C7A55D4"/>
    <w:rsid w:val="2D0C1AF6"/>
    <w:rsid w:val="2D3B5B48"/>
    <w:rsid w:val="2DC07DFB"/>
    <w:rsid w:val="2E165C6D"/>
    <w:rsid w:val="2E487B3C"/>
    <w:rsid w:val="2E7D4CEC"/>
    <w:rsid w:val="2E950B13"/>
    <w:rsid w:val="2F584B71"/>
    <w:rsid w:val="2F8D01B1"/>
    <w:rsid w:val="3050294D"/>
    <w:rsid w:val="30CB3432"/>
    <w:rsid w:val="30D1259E"/>
    <w:rsid w:val="31C05E8E"/>
    <w:rsid w:val="31F0278E"/>
    <w:rsid w:val="32180206"/>
    <w:rsid w:val="325C500C"/>
    <w:rsid w:val="327420BB"/>
    <w:rsid w:val="32981347"/>
    <w:rsid w:val="32A82BA2"/>
    <w:rsid w:val="32B06690"/>
    <w:rsid w:val="3355548A"/>
    <w:rsid w:val="335C4122"/>
    <w:rsid w:val="33974B3E"/>
    <w:rsid w:val="33C56354"/>
    <w:rsid w:val="34500D79"/>
    <w:rsid w:val="34527396"/>
    <w:rsid w:val="34C43BA2"/>
    <w:rsid w:val="354E5CEC"/>
    <w:rsid w:val="355A1F7F"/>
    <w:rsid w:val="37004062"/>
    <w:rsid w:val="381B1477"/>
    <w:rsid w:val="38C742B4"/>
    <w:rsid w:val="38CD0925"/>
    <w:rsid w:val="38CF35E8"/>
    <w:rsid w:val="38E8632E"/>
    <w:rsid w:val="39C058FE"/>
    <w:rsid w:val="39DA374F"/>
    <w:rsid w:val="3A0B0650"/>
    <w:rsid w:val="3A210922"/>
    <w:rsid w:val="3A326229"/>
    <w:rsid w:val="3A4D7224"/>
    <w:rsid w:val="3A595859"/>
    <w:rsid w:val="3AC70A1B"/>
    <w:rsid w:val="3B366FEE"/>
    <w:rsid w:val="3B5853CD"/>
    <w:rsid w:val="3B620744"/>
    <w:rsid w:val="3B64251B"/>
    <w:rsid w:val="3B9E7FB0"/>
    <w:rsid w:val="3BEE1FCA"/>
    <w:rsid w:val="3C181743"/>
    <w:rsid w:val="3D475E43"/>
    <w:rsid w:val="3D9C3B02"/>
    <w:rsid w:val="3DBB413B"/>
    <w:rsid w:val="3DC70D32"/>
    <w:rsid w:val="3DD31485"/>
    <w:rsid w:val="3E067AAC"/>
    <w:rsid w:val="3E0E181C"/>
    <w:rsid w:val="3E3E7D93"/>
    <w:rsid w:val="3E4C3027"/>
    <w:rsid w:val="3EDE3635"/>
    <w:rsid w:val="3F1D10D5"/>
    <w:rsid w:val="3F542A99"/>
    <w:rsid w:val="3FDA11F0"/>
    <w:rsid w:val="408220D7"/>
    <w:rsid w:val="409C46F8"/>
    <w:rsid w:val="40A31A50"/>
    <w:rsid w:val="410D40CE"/>
    <w:rsid w:val="412D70FE"/>
    <w:rsid w:val="41517290"/>
    <w:rsid w:val="417853DA"/>
    <w:rsid w:val="421373A6"/>
    <w:rsid w:val="421A32B5"/>
    <w:rsid w:val="4269685C"/>
    <w:rsid w:val="429C6ABF"/>
    <w:rsid w:val="42A20F87"/>
    <w:rsid w:val="42B20202"/>
    <w:rsid w:val="42D061F2"/>
    <w:rsid w:val="42D63ED4"/>
    <w:rsid w:val="43A85162"/>
    <w:rsid w:val="43F959BD"/>
    <w:rsid w:val="44BA3973"/>
    <w:rsid w:val="44D1233D"/>
    <w:rsid w:val="44E421C9"/>
    <w:rsid w:val="44EC107E"/>
    <w:rsid w:val="46054AED"/>
    <w:rsid w:val="46243F13"/>
    <w:rsid w:val="464A0752"/>
    <w:rsid w:val="46BD5A14"/>
    <w:rsid w:val="46FB609D"/>
    <w:rsid w:val="4799373F"/>
    <w:rsid w:val="48C02CB0"/>
    <w:rsid w:val="48E94252"/>
    <w:rsid w:val="49920446"/>
    <w:rsid w:val="49AA7857"/>
    <w:rsid w:val="49CD147E"/>
    <w:rsid w:val="4A027B35"/>
    <w:rsid w:val="4A9401EE"/>
    <w:rsid w:val="4AB04CCC"/>
    <w:rsid w:val="4AE54E3F"/>
    <w:rsid w:val="4B0B5CC5"/>
    <w:rsid w:val="4B1449AA"/>
    <w:rsid w:val="4B9D1856"/>
    <w:rsid w:val="4C96024D"/>
    <w:rsid w:val="4CAE4EF5"/>
    <w:rsid w:val="4D3A38A1"/>
    <w:rsid w:val="4D5A49E5"/>
    <w:rsid w:val="4D64442E"/>
    <w:rsid w:val="4D673998"/>
    <w:rsid w:val="4DE66FB2"/>
    <w:rsid w:val="4E465CA3"/>
    <w:rsid w:val="4EBD5CF7"/>
    <w:rsid w:val="4ED432AF"/>
    <w:rsid w:val="4EFE20DA"/>
    <w:rsid w:val="4F495A4B"/>
    <w:rsid w:val="4FCB6460"/>
    <w:rsid w:val="50106568"/>
    <w:rsid w:val="50110297"/>
    <w:rsid w:val="50212524"/>
    <w:rsid w:val="508830FB"/>
    <w:rsid w:val="51275918"/>
    <w:rsid w:val="519136D9"/>
    <w:rsid w:val="519158C2"/>
    <w:rsid w:val="52616BAE"/>
    <w:rsid w:val="52B06F57"/>
    <w:rsid w:val="52B62781"/>
    <w:rsid w:val="52D46D0A"/>
    <w:rsid w:val="5350253F"/>
    <w:rsid w:val="53A56FC8"/>
    <w:rsid w:val="53B523DF"/>
    <w:rsid w:val="53E65938"/>
    <w:rsid w:val="54232158"/>
    <w:rsid w:val="542B3971"/>
    <w:rsid w:val="54754BEC"/>
    <w:rsid w:val="54C8301F"/>
    <w:rsid w:val="54ED0C26"/>
    <w:rsid w:val="54F71B6A"/>
    <w:rsid w:val="55106EF8"/>
    <w:rsid w:val="5587288C"/>
    <w:rsid w:val="55CC707D"/>
    <w:rsid w:val="561223C3"/>
    <w:rsid w:val="569C1B1F"/>
    <w:rsid w:val="56EB6EE9"/>
    <w:rsid w:val="56F23156"/>
    <w:rsid w:val="587517BA"/>
    <w:rsid w:val="58B97B5C"/>
    <w:rsid w:val="58E93DFA"/>
    <w:rsid w:val="59001004"/>
    <w:rsid w:val="591C1ADA"/>
    <w:rsid w:val="592C30B9"/>
    <w:rsid w:val="59DF76D7"/>
    <w:rsid w:val="59E06FAB"/>
    <w:rsid w:val="5A316DF7"/>
    <w:rsid w:val="5A8770DA"/>
    <w:rsid w:val="5B13515F"/>
    <w:rsid w:val="5B7A12CC"/>
    <w:rsid w:val="5B9F4B3C"/>
    <w:rsid w:val="5D6176EC"/>
    <w:rsid w:val="5D9F7A08"/>
    <w:rsid w:val="5DC77EE3"/>
    <w:rsid w:val="5DCA1E0E"/>
    <w:rsid w:val="5EB804F7"/>
    <w:rsid w:val="5F9461B5"/>
    <w:rsid w:val="60B8051E"/>
    <w:rsid w:val="612B49A3"/>
    <w:rsid w:val="613701CE"/>
    <w:rsid w:val="616F4D1B"/>
    <w:rsid w:val="617C45D8"/>
    <w:rsid w:val="61903065"/>
    <w:rsid w:val="61AE55C9"/>
    <w:rsid w:val="620852F1"/>
    <w:rsid w:val="620D372E"/>
    <w:rsid w:val="62726C0F"/>
    <w:rsid w:val="62BC1820"/>
    <w:rsid w:val="639D7CBB"/>
    <w:rsid w:val="63A20318"/>
    <w:rsid w:val="640E2967"/>
    <w:rsid w:val="642437FD"/>
    <w:rsid w:val="643E5925"/>
    <w:rsid w:val="6460128F"/>
    <w:rsid w:val="64D37E39"/>
    <w:rsid w:val="65661738"/>
    <w:rsid w:val="660E4EA0"/>
    <w:rsid w:val="67006EDF"/>
    <w:rsid w:val="674A395A"/>
    <w:rsid w:val="68A72DCA"/>
    <w:rsid w:val="68E048D2"/>
    <w:rsid w:val="68EC2E32"/>
    <w:rsid w:val="691D122F"/>
    <w:rsid w:val="694D6B91"/>
    <w:rsid w:val="69D10F2A"/>
    <w:rsid w:val="69F17CCC"/>
    <w:rsid w:val="6A13729C"/>
    <w:rsid w:val="6BA47E5E"/>
    <w:rsid w:val="6BD457FB"/>
    <w:rsid w:val="6BE81DD6"/>
    <w:rsid w:val="6C24043A"/>
    <w:rsid w:val="6C5C6966"/>
    <w:rsid w:val="6C6677E4"/>
    <w:rsid w:val="6C7041BF"/>
    <w:rsid w:val="6CCF3057"/>
    <w:rsid w:val="6DC42A14"/>
    <w:rsid w:val="6DEC77AE"/>
    <w:rsid w:val="6E9F2B3A"/>
    <w:rsid w:val="6ED83C2A"/>
    <w:rsid w:val="6F8F00AC"/>
    <w:rsid w:val="6FA7439C"/>
    <w:rsid w:val="70054765"/>
    <w:rsid w:val="70166E7D"/>
    <w:rsid w:val="70624ACA"/>
    <w:rsid w:val="71245578"/>
    <w:rsid w:val="71324139"/>
    <w:rsid w:val="716A5681"/>
    <w:rsid w:val="71754026"/>
    <w:rsid w:val="718C6CAF"/>
    <w:rsid w:val="71B52674"/>
    <w:rsid w:val="72EF0B40"/>
    <w:rsid w:val="73D84601"/>
    <w:rsid w:val="74337932"/>
    <w:rsid w:val="7463285B"/>
    <w:rsid w:val="74F160B9"/>
    <w:rsid w:val="762229CE"/>
    <w:rsid w:val="76890E4B"/>
    <w:rsid w:val="76997C7E"/>
    <w:rsid w:val="76F02BF4"/>
    <w:rsid w:val="77D500B3"/>
    <w:rsid w:val="780A649E"/>
    <w:rsid w:val="781857FA"/>
    <w:rsid w:val="78965C43"/>
    <w:rsid w:val="78BE4504"/>
    <w:rsid w:val="78C53AE4"/>
    <w:rsid w:val="794A5D98"/>
    <w:rsid w:val="794D2C00"/>
    <w:rsid w:val="79654980"/>
    <w:rsid w:val="79812BAF"/>
    <w:rsid w:val="798870FF"/>
    <w:rsid w:val="79E1494E"/>
    <w:rsid w:val="79E41D48"/>
    <w:rsid w:val="7A68035F"/>
    <w:rsid w:val="7A737D6F"/>
    <w:rsid w:val="7AAA11E4"/>
    <w:rsid w:val="7AC558F8"/>
    <w:rsid w:val="7B4F1306"/>
    <w:rsid w:val="7BA45E3C"/>
    <w:rsid w:val="7BE73D72"/>
    <w:rsid w:val="7C8A307B"/>
    <w:rsid w:val="7C973F23"/>
    <w:rsid w:val="7CE502B1"/>
    <w:rsid w:val="7D0E37CD"/>
    <w:rsid w:val="7D393C95"/>
    <w:rsid w:val="7D9C1C50"/>
    <w:rsid w:val="7DAC3CA8"/>
    <w:rsid w:val="7ED00AED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1"/>
    <w:pPr>
      <w:ind w:left="602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bidi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1"/>
    <w:pPr>
      <w:spacing w:before="161"/>
      <w:ind w:left="120"/>
    </w:pPr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5"/>
    <w:autoRedefine/>
    <w:qFormat/>
    <w:uiPriority w:val="0"/>
    <w:rPr>
      <w:b/>
      <w:bCs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4">
    <w:name w:val="批注文字 字符"/>
    <w:basedOn w:val="11"/>
    <w:link w:val="3"/>
    <w:autoRedefine/>
    <w:qFormat/>
    <w:uiPriority w:val="0"/>
    <w:rPr>
      <w:kern w:val="2"/>
      <w:sz w:val="21"/>
      <w:szCs w:val="22"/>
    </w:rPr>
  </w:style>
  <w:style w:type="character" w:customStyle="1" w:styleId="15">
    <w:name w:val="批注主题 字符"/>
    <w:basedOn w:val="14"/>
    <w:link w:val="9"/>
    <w:autoRedefine/>
    <w:qFormat/>
    <w:uiPriority w:val="0"/>
    <w:rPr>
      <w:b/>
      <w:bCs/>
      <w:kern w:val="2"/>
      <w:sz w:val="21"/>
      <w:szCs w:val="22"/>
    </w:rPr>
  </w:style>
  <w:style w:type="character" w:customStyle="1" w:styleId="16">
    <w:name w:val="批注框文本 字符"/>
    <w:basedOn w:val="11"/>
    <w:link w:val="5"/>
    <w:autoRedefine/>
    <w:qFormat/>
    <w:uiPriority w:val="0"/>
    <w:rPr>
      <w:kern w:val="2"/>
      <w:sz w:val="18"/>
      <w:szCs w:val="18"/>
    </w:rPr>
  </w:style>
  <w:style w:type="character" w:customStyle="1" w:styleId="17">
    <w:name w:val="页眉 字符"/>
    <w:basedOn w:val="11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1"/>
    <w:link w:val="6"/>
    <w:autoRedefine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2068</Words>
  <Characters>2298</Characters>
  <Lines>19</Lines>
  <Paragraphs>5</Paragraphs>
  <TotalTime>3</TotalTime>
  <ScaleCrop>false</ScaleCrop>
  <LinksUpToDate>false</LinksUpToDate>
  <CharactersWithSpaces>2389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2021-07-06T09:10:00Z</dcterms:created>
  <dc:creator>陈蕾</dc:creator>
  <cp:lastModifiedBy>江莎莎</cp:lastModifiedBy>
  <cp:lastPrinted>2024-06-18T08:27:00Z</cp:lastPrinted>
  <dcterms:modified xsi:type="dcterms:W3CDTF">2024-08-19T09:36:32Z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386034986992456A8433EAC10A257106_13</vt:lpwstr>
  </property>
</Properties>
</file>