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9EE7C" w14:textId="77777777" w:rsidR="00E25146" w:rsidRPr="00B33DA0" w:rsidRDefault="0022633D">
      <w:pPr>
        <w:spacing w:beforeLines="50" w:before="156" w:afterLines="50" w:after="156" w:line="400" w:lineRule="exact"/>
        <w:jc w:val="center"/>
        <w:rPr>
          <w:rFonts w:eastAsia="黑体"/>
          <w:b/>
          <w:bCs/>
          <w:iCs/>
          <w:color w:val="000000"/>
          <w:sz w:val="36"/>
          <w:szCs w:val="36"/>
        </w:rPr>
      </w:pPr>
      <w:r w:rsidRPr="00B33DA0">
        <w:rPr>
          <w:bCs/>
          <w:iCs/>
          <w:color w:val="000000"/>
          <w:sz w:val="24"/>
        </w:rPr>
        <w:t>证券代码：山大地纬</w:t>
      </w:r>
      <w:r w:rsidRPr="00B33DA0">
        <w:rPr>
          <w:bCs/>
          <w:iCs/>
          <w:color w:val="000000"/>
          <w:sz w:val="24"/>
        </w:rPr>
        <w:t xml:space="preserve">                                   </w:t>
      </w:r>
      <w:r w:rsidRPr="00B33DA0">
        <w:rPr>
          <w:bCs/>
          <w:iCs/>
          <w:color w:val="000000"/>
          <w:sz w:val="24"/>
        </w:rPr>
        <w:t>证券简称：</w:t>
      </w:r>
      <w:r w:rsidRPr="00B33DA0">
        <w:rPr>
          <w:bCs/>
          <w:iCs/>
          <w:color w:val="000000"/>
          <w:sz w:val="24"/>
        </w:rPr>
        <w:t>688579</w:t>
      </w:r>
    </w:p>
    <w:p w14:paraId="400EF512" w14:textId="77777777" w:rsidR="00E25146" w:rsidRPr="00B33DA0" w:rsidRDefault="00E25146">
      <w:pPr>
        <w:spacing w:beforeLines="50" w:before="156" w:afterLines="50" w:after="156" w:line="400" w:lineRule="exact"/>
        <w:jc w:val="center"/>
        <w:rPr>
          <w:rFonts w:eastAsia="黑体"/>
          <w:b/>
          <w:bCs/>
          <w:iCs/>
          <w:color w:val="000000"/>
          <w:sz w:val="36"/>
          <w:szCs w:val="36"/>
        </w:rPr>
      </w:pPr>
    </w:p>
    <w:p w14:paraId="18DC8E34" w14:textId="77777777" w:rsidR="00E25146" w:rsidRPr="00B33DA0" w:rsidRDefault="0022633D">
      <w:pPr>
        <w:spacing w:beforeLines="50" w:before="156" w:afterLines="50" w:after="156" w:line="400" w:lineRule="exact"/>
        <w:jc w:val="center"/>
        <w:rPr>
          <w:rFonts w:eastAsia="黑体"/>
          <w:b/>
          <w:bCs/>
          <w:iCs/>
          <w:color w:val="000000"/>
          <w:sz w:val="36"/>
          <w:szCs w:val="36"/>
        </w:rPr>
      </w:pPr>
      <w:r w:rsidRPr="00B33DA0">
        <w:rPr>
          <w:rFonts w:eastAsia="黑体"/>
          <w:b/>
          <w:bCs/>
          <w:iCs/>
          <w:color w:val="000000"/>
          <w:sz w:val="36"/>
          <w:szCs w:val="36"/>
        </w:rPr>
        <w:t>山大地纬软件股份有限公司</w:t>
      </w:r>
    </w:p>
    <w:p w14:paraId="6048327C" w14:textId="77777777" w:rsidR="00E25146" w:rsidRPr="00B33DA0" w:rsidRDefault="0022633D">
      <w:pPr>
        <w:spacing w:beforeLines="50" w:before="156" w:afterLines="50" w:after="156" w:line="400" w:lineRule="exact"/>
        <w:jc w:val="center"/>
        <w:rPr>
          <w:rFonts w:eastAsia="黑体"/>
          <w:b/>
          <w:bCs/>
          <w:iCs/>
          <w:color w:val="000000"/>
          <w:sz w:val="36"/>
          <w:szCs w:val="36"/>
        </w:rPr>
      </w:pPr>
      <w:r w:rsidRPr="00B33DA0">
        <w:rPr>
          <w:rFonts w:eastAsia="黑体"/>
          <w:b/>
          <w:bCs/>
          <w:iCs/>
          <w:color w:val="000000"/>
          <w:sz w:val="36"/>
          <w:szCs w:val="36"/>
        </w:rPr>
        <w:t>投资者关系活动记录表</w:t>
      </w:r>
    </w:p>
    <w:p w14:paraId="4CC5B7D5" w14:textId="77777777" w:rsidR="00E25146" w:rsidRPr="00B33DA0" w:rsidRDefault="00E25146">
      <w:pPr>
        <w:spacing w:beforeLines="50" w:before="156" w:afterLines="50" w:after="156" w:line="400" w:lineRule="exact"/>
        <w:jc w:val="center"/>
        <w:rPr>
          <w:rFonts w:eastAsia="黑体"/>
          <w:b/>
          <w:bCs/>
          <w:iC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854"/>
      </w:tblGrid>
      <w:tr w:rsidR="00E25146" w:rsidRPr="00B33DA0" w14:paraId="61192DB0" w14:textId="77777777" w:rsidTr="005B0D4F">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582A38B9" w14:textId="77777777" w:rsidR="00E25146" w:rsidRPr="00B33DA0" w:rsidRDefault="0022633D">
            <w:pPr>
              <w:spacing w:line="480" w:lineRule="atLeast"/>
              <w:rPr>
                <w:b/>
                <w:bCs/>
                <w:iCs/>
                <w:color w:val="000000"/>
                <w:sz w:val="24"/>
              </w:rPr>
            </w:pPr>
            <w:r w:rsidRPr="00B33DA0">
              <w:rPr>
                <w:b/>
                <w:bCs/>
                <w:iCs/>
                <w:color w:val="000000"/>
                <w:sz w:val="24"/>
              </w:rPr>
              <w:t>投资者关系活动类别</w:t>
            </w:r>
          </w:p>
          <w:p w14:paraId="66CF02F2" w14:textId="77777777" w:rsidR="00E25146" w:rsidRPr="00B33DA0" w:rsidRDefault="00E25146">
            <w:pPr>
              <w:spacing w:line="480" w:lineRule="atLeast"/>
              <w:rPr>
                <w:b/>
                <w:bCs/>
                <w:iCs/>
                <w:color w:val="000000"/>
                <w:sz w:val="24"/>
              </w:rPr>
            </w:pPr>
          </w:p>
        </w:tc>
        <w:tc>
          <w:tcPr>
            <w:tcW w:w="6854" w:type="dxa"/>
            <w:tcBorders>
              <w:top w:val="single" w:sz="4" w:space="0" w:color="auto"/>
              <w:left w:val="single" w:sz="4" w:space="0" w:color="auto"/>
              <w:bottom w:val="single" w:sz="4" w:space="0" w:color="auto"/>
              <w:right w:val="single" w:sz="4" w:space="0" w:color="auto"/>
            </w:tcBorders>
            <w:shd w:val="clear" w:color="auto" w:fill="auto"/>
          </w:tcPr>
          <w:p w14:paraId="2EB0F3C7" w14:textId="77777777" w:rsidR="00E25146" w:rsidRPr="00B33DA0" w:rsidRDefault="0022633D">
            <w:pPr>
              <w:spacing w:line="480" w:lineRule="atLeast"/>
              <w:rPr>
                <w:bCs/>
                <w:iCs/>
                <w:color w:val="000000"/>
                <w:sz w:val="24"/>
              </w:rPr>
            </w:pPr>
            <w:r w:rsidRPr="00B33DA0">
              <w:rPr>
                <w:bCs/>
                <w:iCs/>
                <w:color w:val="000000"/>
                <w:sz w:val="24"/>
              </w:rPr>
              <w:sym w:font="Wingdings 2" w:char="F0A3"/>
            </w:r>
            <w:r w:rsidRPr="00B33DA0">
              <w:rPr>
                <w:sz w:val="24"/>
              </w:rPr>
              <w:t>特定对象调研</w:t>
            </w:r>
            <w:r w:rsidRPr="00B33DA0">
              <w:rPr>
                <w:sz w:val="24"/>
              </w:rPr>
              <w:t xml:space="preserve">        </w:t>
            </w:r>
            <w:r w:rsidRPr="00B33DA0">
              <w:rPr>
                <w:bCs/>
                <w:iCs/>
                <w:color w:val="000000"/>
                <w:sz w:val="24"/>
              </w:rPr>
              <w:sym w:font="Wingdings 2" w:char="F0A3"/>
            </w:r>
            <w:r w:rsidRPr="00B33DA0">
              <w:rPr>
                <w:sz w:val="24"/>
              </w:rPr>
              <w:t>分析师会议</w:t>
            </w:r>
          </w:p>
          <w:p w14:paraId="5584E86B" w14:textId="318E6923" w:rsidR="00E25146" w:rsidRPr="00B33DA0" w:rsidRDefault="0022633D">
            <w:pPr>
              <w:spacing w:line="480" w:lineRule="atLeast"/>
              <w:rPr>
                <w:bCs/>
                <w:iCs/>
                <w:color w:val="000000"/>
                <w:sz w:val="24"/>
              </w:rPr>
            </w:pPr>
            <w:r w:rsidRPr="00B33DA0">
              <w:rPr>
                <w:bCs/>
                <w:iCs/>
                <w:color w:val="000000"/>
                <w:sz w:val="24"/>
              </w:rPr>
              <w:sym w:font="Wingdings 2" w:char="F0A3"/>
            </w:r>
            <w:r w:rsidRPr="00B33DA0">
              <w:rPr>
                <w:sz w:val="24"/>
              </w:rPr>
              <w:t>媒体采访</w:t>
            </w:r>
            <w:r w:rsidRPr="00B33DA0">
              <w:rPr>
                <w:sz w:val="24"/>
              </w:rPr>
              <w:t xml:space="preserve">            </w:t>
            </w:r>
            <w:r w:rsidR="00C274B1" w:rsidRPr="00B33DA0">
              <w:rPr>
                <w:bCs/>
                <w:iCs/>
                <w:color w:val="000000"/>
                <w:sz w:val="24"/>
              </w:rPr>
              <w:sym w:font="Wingdings 2" w:char="F052"/>
            </w:r>
            <w:r w:rsidRPr="00B33DA0">
              <w:rPr>
                <w:sz w:val="24"/>
              </w:rPr>
              <w:t>业绩说明会</w:t>
            </w:r>
          </w:p>
          <w:p w14:paraId="66D52384" w14:textId="77777777" w:rsidR="00E25146" w:rsidRPr="00B33DA0" w:rsidRDefault="0022633D">
            <w:pPr>
              <w:spacing w:line="480" w:lineRule="atLeast"/>
              <w:rPr>
                <w:bCs/>
                <w:iCs/>
                <w:color w:val="000000"/>
                <w:sz w:val="24"/>
              </w:rPr>
            </w:pPr>
            <w:r w:rsidRPr="00B33DA0">
              <w:rPr>
                <w:bCs/>
                <w:iCs/>
                <w:color w:val="000000"/>
                <w:sz w:val="24"/>
              </w:rPr>
              <w:sym w:font="Wingdings 2" w:char="F0A3"/>
            </w:r>
            <w:r w:rsidRPr="00B33DA0">
              <w:rPr>
                <w:sz w:val="24"/>
              </w:rPr>
              <w:t>新闻发布会</w:t>
            </w:r>
            <w:r w:rsidRPr="00B33DA0">
              <w:rPr>
                <w:sz w:val="24"/>
              </w:rPr>
              <w:t xml:space="preserve">          </w:t>
            </w:r>
            <w:r w:rsidRPr="00B33DA0">
              <w:rPr>
                <w:bCs/>
                <w:iCs/>
                <w:color w:val="000000"/>
                <w:sz w:val="24"/>
              </w:rPr>
              <w:sym w:font="Wingdings 2" w:char="F0A3"/>
            </w:r>
            <w:r w:rsidRPr="00B33DA0">
              <w:rPr>
                <w:sz w:val="24"/>
              </w:rPr>
              <w:t>路演活动</w:t>
            </w:r>
          </w:p>
          <w:p w14:paraId="19C06635" w14:textId="77777777" w:rsidR="00E25146" w:rsidRPr="00B33DA0" w:rsidRDefault="0022633D">
            <w:pPr>
              <w:spacing w:line="480" w:lineRule="atLeast"/>
              <w:rPr>
                <w:bCs/>
                <w:iCs/>
                <w:color w:val="000000"/>
                <w:sz w:val="24"/>
              </w:rPr>
            </w:pPr>
            <w:r w:rsidRPr="00B33DA0">
              <w:rPr>
                <w:bCs/>
                <w:iCs/>
                <w:color w:val="000000"/>
                <w:sz w:val="24"/>
              </w:rPr>
              <w:sym w:font="Wingdings 2" w:char="F0A3"/>
            </w:r>
            <w:r w:rsidRPr="00B33DA0">
              <w:rPr>
                <w:sz w:val="24"/>
              </w:rPr>
              <w:t>现场参观</w:t>
            </w:r>
            <w:r w:rsidRPr="00B33DA0">
              <w:rPr>
                <w:sz w:val="24"/>
              </w:rPr>
              <w:t xml:space="preserve">            </w:t>
            </w:r>
          </w:p>
          <w:p w14:paraId="051DBE46" w14:textId="663B5823" w:rsidR="00E25146" w:rsidRPr="00B33DA0" w:rsidRDefault="00C274B1" w:rsidP="00C274B1">
            <w:pPr>
              <w:tabs>
                <w:tab w:val="center" w:pos="3199"/>
              </w:tabs>
              <w:spacing w:line="480" w:lineRule="atLeast"/>
              <w:rPr>
                <w:bCs/>
                <w:iCs/>
                <w:color w:val="000000"/>
                <w:sz w:val="24"/>
                <w:u w:val="single"/>
              </w:rPr>
            </w:pPr>
            <w:r w:rsidRPr="00B33DA0">
              <w:rPr>
                <w:bCs/>
                <w:iCs/>
                <w:color w:val="000000"/>
                <w:sz w:val="24"/>
              </w:rPr>
              <w:sym w:font="Wingdings 2" w:char="F0A3"/>
            </w:r>
            <w:r w:rsidR="0022633D" w:rsidRPr="00B33DA0">
              <w:rPr>
                <w:sz w:val="24"/>
              </w:rPr>
              <w:t>其他</w:t>
            </w:r>
            <w:r w:rsidR="0022633D" w:rsidRPr="00B33DA0">
              <w:rPr>
                <w:sz w:val="24"/>
              </w:rPr>
              <w:t xml:space="preserve"> </w:t>
            </w:r>
            <w:r w:rsidR="0022633D" w:rsidRPr="00B33DA0">
              <w:rPr>
                <w:sz w:val="24"/>
                <w:u w:val="single"/>
              </w:rPr>
              <w:t xml:space="preserve">                                        </w:t>
            </w:r>
          </w:p>
        </w:tc>
      </w:tr>
      <w:tr w:rsidR="00E25146" w:rsidRPr="00B33DA0" w14:paraId="7A1E0530" w14:textId="77777777" w:rsidTr="005B0D4F">
        <w:trPr>
          <w:trHeight w:val="590"/>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1DFAA3DD" w14:textId="77777777" w:rsidR="00E25146" w:rsidRPr="00B33DA0" w:rsidRDefault="0022633D">
            <w:pPr>
              <w:spacing w:line="480" w:lineRule="atLeast"/>
              <w:rPr>
                <w:b/>
                <w:bCs/>
                <w:iCs/>
                <w:color w:val="000000"/>
                <w:sz w:val="24"/>
              </w:rPr>
            </w:pPr>
            <w:r w:rsidRPr="00B33DA0">
              <w:rPr>
                <w:b/>
                <w:bCs/>
                <w:iCs/>
                <w:color w:val="000000"/>
                <w:sz w:val="24"/>
              </w:rPr>
              <w:t>参与单位名称及人员姓名</w:t>
            </w:r>
          </w:p>
        </w:tc>
        <w:tc>
          <w:tcPr>
            <w:tcW w:w="6854" w:type="dxa"/>
            <w:tcBorders>
              <w:top w:val="single" w:sz="4" w:space="0" w:color="auto"/>
              <w:left w:val="single" w:sz="4" w:space="0" w:color="auto"/>
              <w:bottom w:val="single" w:sz="4" w:space="0" w:color="auto"/>
              <w:right w:val="single" w:sz="4" w:space="0" w:color="auto"/>
            </w:tcBorders>
            <w:shd w:val="clear" w:color="auto" w:fill="auto"/>
            <w:vAlign w:val="center"/>
          </w:tcPr>
          <w:p w14:paraId="336D107B" w14:textId="2454AA5D" w:rsidR="00D26F5D" w:rsidRPr="00F73330" w:rsidRDefault="00154A67" w:rsidP="005B0D4F">
            <w:pPr>
              <w:spacing w:line="480" w:lineRule="atLeast"/>
              <w:rPr>
                <w:bCs/>
                <w:iCs/>
                <w:color w:val="000000"/>
                <w:sz w:val="24"/>
              </w:rPr>
            </w:pPr>
            <w:r w:rsidRPr="00154A67">
              <w:rPr>
                <w:rFonts w:hint="eastAsia"/>
                <w:bCs/>
                <w:iCs/>
                <w:color w:val="000000"/>
                <w:sz w:val="24"/>
              </w:rPr>
              <w:t>广大投资者与公司通过网络文字互动问答的形式进行交流</w:t>
            </w:r>
            <w:r w:rsidR="005B0D4F">
              <w:rPr>
                <w:rFonts w:hint="eastAsia"/>
                <w:bCs/>
                <w:iCs/>
                <w:color w:val="000000"/>
                <w:sz w:val="24"/>
              </w:rPr>
              <w:tab/>
            </w:r>
          </w:p>
        </w:tc>
      </w:tr>
      <w:tr w:rsidR="00E25146" w:rsidRPr="00B33DA0" w14:paraId="677591FA" w14:textId="77777777" w:rsidTr="005B0D4F">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6CB9FFB7" w14:textId="77777777" w:rsidR="00E25146" w:rsidRPr="00B33DA0" w:rsidRDefault="0022633D">
            <w:pPr>
              <w:spacing w:line="480" w:lineRule="atLeast"/>
              <w:rPr>
                <w:b/>
                <w:bCs/>
                <w:iCs/>
                <w:color w:val="000000"/>
                <w:sz w:val="24"/>
              </w:rPr>
            </w:pPr>
            <w:r w:rsidRPr="00B33DA0">
              <w:rPr>
                <w:b/>
                <w:bCs/>
                <w:iCs/>
                <w:color w:val="000000"/>
                <w:sz w:val="24"/>
              </w:rPr>
              <w:t>时间</w:t>
            </w:r>
          </w:p>
        </w:tc>
        <w:tc>
          <w:tcPr>
            <w:tcW w:w="6854" w:type="dxa"/>
            <w:tcBorders>
              <w:top w:val="single" w:sz="4" w:space="0" w:color="auto"/>
              <w:left w:val="single" w:sz="4" w:space="0" w:color="auto"/>
              <w:bottom w:val="single" w:sz="4" w:space="0" w:color="auto"/>
              <w:right w:val="single" w:sz="4" w:space="0" w:color="auto"/>
            </w:tcBorders>
            <w:shd w:val="clear" w:color="auto" w:fill="auto"/>
            <w:vAlign w:val="center"/>
          </w:tcPr>
          <w:p w14:paraId="3694044B" w14:textId="79E7B07C" w:rsidR="0035185E" w:rsidRPr="00B33DA0" w:rsidRDefault="005066C0" w:rsidP="00651E2E">
            <w:pPr>
              <w:spacing w:line="480" w:lineRule="atLeast"/>
              <w:rPr>
                <w:bCs/>
                <w:iCs/>
                <w:color w:val="000000"/>
                <w:sz w:val="24"/>
              </w:rPr>
            </w:pPr>
            <w:r w:rsidRPr="00B33DA0">
              <w:rPr>
                <w:bCs/>
                <w:iCs/>
                <w:color w:val="000000"/>
                <w:sz w:val="24"/>
              </w:rPr>
              <w:t>202</w:t>
            </w:r>
            <w:r w:rsidR="005B0D4F">
              <w:rPr>
                <w:rFonts w:hint="eastAsia"/>
                <w:bCs/>
                <w:iCs/>
                <w:color w:val="000000"/>
                <w:sz w:val="24"/>
              </w:rPr>
              <w:t>4</w:t>
            </w:r>
            <w:r w:rsidRPr="00B33DA0">
              <w:rPr>
                <w:bCs/>
                <w:iCs/>
                <w:color w:val="000000"/>
                <w:sz w:val="24"/>
              </w:rPr>
              <w:t>年</w:t>
            </w:r>
            <w:r w:rsidR="00651E2E">
              <w:rPr>
                <w:bCs/>
                <w:iCs/>
                <w:color w:val="000000"/>
                <w:sz w:val="24"/>
              </w:rPr>
              <w:t>8</w:t>
            </w:r>
            <w:r w:rsidRPr="00B33DA0">
              <w:rPr>
                <w:bCs/>
                <w:iCs/>
                <w:color w:val="000000"/>
                <w:sz w:val="24"/>
              </w:rPr>
              <w:t>月</w:t>
            </w:r>
            <w:r w:rsidR="00651E2E">
              <w:rPr>
                <w:bCs/>
                <w:iCs/>
                <w:color w:val="000000"/>
                <w:sz w:val="24"/>
              </w:rPr>
              <w:t>19</w:t>
            </w:r>
            <w:r w:rsidRPr="00B33DA0">
              <w:rPr>
                <w:bCs/>
                <w:iCs/>
                <w:color w:val="000000"/>
                <w:sz w:val="24"/>
              </w:rPr>
              <w:t>日</w:t>
            </w:r>
            <w:r w:rsidR="00651E2E">
              <w:rPr>
                <w:rFonts w:hint="eastAsia"/>
                <w:bCs/>
                <w:iCs/>
                <w:color w:val="000000"/>
                <w:sz w:val="24"/>
              </w:rPr>
              <w:t>1</w:t>
            </w:r>
            <w:r w:rsidR="00651E2E">
              <w:rPr>
                <w:bCs/>
                <w:iCs/>
                <w:color w:val="000000"/>
                <w:sz w:val="24"/>
              </w:rPr>
              <w:t>1</w:t>
            </w:r>
            <w:r w:rsidR="007F6A89">
              <w:rPr>
                <w:rFonts w:hint="eastAsia"/>
                <w:bCs/>
                <w:iCs/>
                <w:color w:val="000000"/>
                <w:sz w:val="24"/>
              </w:rPr>
              <w:t>:00-</w:t>
            </w:r>
            <w:r w:rsidR="00C274B1">
              <w:rPr>
                <w:bCs/>
                <w:iCs/>
                <w:color w:val="000000"/>
                <w:sz w:val="24"/>
              </w:rPr>
              <w:t>1</w:t>
            </w:r>
            <w:r w:rsidR="00651E2E">
              <w:rPr>
                <w:bCs/>
                <w:iCs/>
                <w:color w:val="000000"/>
                <w:sz w:val="24"/>
              </w:rPr>
              <w:t>2</w:t>
            </w:r>
            <w:r w:rsidR="005B0D4F">
              <w:rPr>
                <w:rFonts w:hint="eastAsia"/>
                <w:bCs/>
                <w:iCs/>
                <w:color w:val="000000"/>
                <w:sz w:val="24"/>
              </w:rPr>
              <w:t>:00</w:t>
            </w:r>
          </w:p>
        </w:tc>
      </w:tr>
      <w:tr w:rsidR="00E25146" w:rsidRPr="00B33DA0" w14:paraId="0AB0F5B0" w14:textId="77777777" w:rsidTr="005B0D4F">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246E10C5" w14:textId="77777777" w:rsidR="00E25146" w:rsidRPr="00B33DA0" w:rsidRDefault="0022633D">
            <w:pPr>
              <w:spacing w:line="480" w:lineRule="atLeast"/>
              <w:rPr>
                <w:b/>
                <w:bCs/>
                <w:iCs/>
                <w:color w:val="000000"/>
                <w:sz w:val="24"/>
              </w:rPr>
            </w:pPr>
            <w:r w:rsidRPr="00B33DA0">
              <w:rPr>
                <w:b/>
                <w:bCs/>
                <w:iCs/>
                <w:color w:val="000000"/>
                <w:sz w:val="24"/>
              </w:rPr>
              <w:t>地点</w:t>
            </w:r>
          </w:p>
        </w:tc>
        <w:tc>
          <w:tcPr>
            <w:tcW w:w="6854" w:type="dxa"/>
            <w:tcBorders>
              <w:top w:val="single" w:sz="4" w:space="0" w:color="auto"/>
              <w:left w:val="single" w:sz="4" w:space="0" w:color="auto"/>
              <w:bottom w:val="single" w:sz="4" w:space="0" w:color="auto"/>
              <w:right w:val="single" w:sz="4" w:space="0" w:color="auto"/>
            </w:tcBorders>
            <w:shd w:val="clear" w:color="auto" w:fill="auto"/>
          </w:tcPr>
          <w:p w14:paraId="2D860D17" w14:textId="7CC9A8D5" w:rsidR="00E25146" w:rsidRPr="00B33DA0" w:rsidRDefault="00964511" w:rsidP="00540FB6">
            <w:pPr>
              <w:spacing w:line="480" w:lineRule="atLeast"/>
              <w:rPr>
                <w:bCs/>
                <w:iCs/>
                <w:color w:val="000000"/>
                <w:sz w:val="24"/>
              </w:rPr>
            </w:pPr>
            <w:r w:rsidRPr="00964511">
              <w:rPr>
                <w:bCs/>
                <w:iCs/>
                <w:color w:val="000000"/>
                <w:sz w:val="24"/>
              </w:rPr>
              <w:t>https://roadshow.sseinfo.com/</w:t>
            </w:r>
          </w:p>
        </w:tc>
      </w:tr>
      <w:tr w:rsidR="00E25146" w:rsidRPr="00B33DA0" w14:paraId="4D328B9B" w14:textId="77777777" w:rsidTr="005B0D4F">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41CE1B9B" w14:textId="77777777" w:rsidR="00E25146" w:rsidRPr="00B33DA0" w:rsidRDefault="0022633D">
            <w:pPr>
              <w:spacing w:line="480" w:lineRule="atLeast"/>
              <w:rPr>
                <w:b/>
                <w:bCs/>
                <w:iCs/>
                <w:color w:val="000000"/>
                <w:sz w:val="24"/>
              </w:rPr>
            </w:pPr>
            <w:r w:rsidRPr="00B33DA0">
              <w:rPr>
                <w:b/>
                <w:bCs/>
                <w:iCs/>
                <w:color w:val="000000"/>
                <w:sz w:val="24"/>
              </w:rPr>
              <w:t>公司接待人员</w:t>
            </w:r>
          </w:p>
        </w:tc>
        <w:tc>
          <w:tcPr>
            <w:tcW w:w="6854" w:type="dxa"/>
            <w:tcBorders>
              <w:top w:val="single" w:sz="4" w:space="0" w:color="auto"/>
              <w:left w:val="single" w:sz="4" w:space="0" w:color="auto"/>
              <w:bottom w:val="single" w:sz="4" w:space="0" w:color="auto"/>
              <w:right w:val="single" w:sz="4" w:space="0" w:color="auto"/>
            </w:tcBorders>
            <w:shd w:val="clear" w:color="auto" w:fill="auto"/>
            <w:vAlign w:val="center"/>
          </w:tcPr>
          <w:p w14:paraId="5F101833" w14:textId="723AD971" w:rsidR="00C274B1" w:rsidRDefault="00C274B1">
            <w:pPr>
              <w:spacing w:line="480" w:lineRule="atLeast"/>
              <w:rPr>
                <w:bCs/>
                <w:iCs/>
                <w:color w:val="000000"/>
                <w:sz w:val="24"/>
              </w:rPr>
            </w:pPr>
            <w:r>
              <w:rPr>
                <w:rFonts w:hint="eastAsia"/>
                <w:bCs/>
                <w:iCs/>
                <w:color w:val="000000"/>
                <w:sz w:val="24"/>
              </w:rPr>
              <w:t>董事长：郑永清先生</w:t>
            </w:r>
          </w:p>
          <w:p w14:paraId="017A7844" w14:textId="7CEC1419" w:rsidR="00032E4D" w:rsidRDefault="00073A91">
            <w:pPr>
              <w:spacing w:line="480" w:lineRule="atLeast"/>
              <w:rPr>
                <w:bCs/>
                <w:iCs/>
                <w:color w:val="000000"/>
                <w:sz w:val="24"/>
              </w:rPr>
            </w:pPr>
            <w:r w:rsidRPr="00B33DA0">
              <w:rPr>
                <w:bCs/>
                <w:iCs/>
                <w:color w:val="000000"/>
                <w:sz w:val="24"/>
              </w:rPr>
              <w:t>董事会秘书</w:t>
            </w:r>
            <w:r w:rsidR="0022633D" w:rsidRPr="00B33DA0">
              <w:rPr>
                <w:bCs/>
                <w:iCs/>
                <w:color w:val="000000"/>
                <w:sz w:val="24"/>
              </w:rPr>
              <w:t>：</w:t>
            </w:r>
            <w:r w:rsidRPr="00B33DA0">
              <w:rPr>
                <w:bCs/>
                <w:iCs/>
                <w:color w:val="000000"/>
                <w:sz w:val="24"/>
              </w:rPr>
              <w:t>张</w:t>
            </w:r>
            <w:r w:rsidR="005B0D4F">
              <w:rPr>
                <w:rFonts w:hint="eastAsia"/>
                <w:bCs/>
                <w:iCs/>
                <w:color w:val="000000"/>
                <w:sz w:val="24"/>
              </w:rPr>
              <w:t>晖</w:t>
            </w:r>
            <w:r w:rsidRPr="00B33DA0">
              <w:rPr>
                <w:bCs/>
                <w:iCs/>
                <w:color w:val="000000"/>
                <w:sz w:val="24"/>
              </w:rPr>
              <w:t>先生</w:t>
            </w:r>
          </w:p>
          <w:p w14:paraId="5D95A8B0" w14:textId="61F7062A" w:rsidR="00C274B1" w:rsidRDefault="00C274B1">
            <w:pPr>
              <w:spacing w:line="480" w:lineRule="atLeast"/>
              <w:rPr>
                <w:bCs/>
                <w:iCs/>
                <w:color w:val="000000"/>
                <w:sz w:val="24"/>
              </w:rPr>
            </w:pPr>
            <w:r>
              <w:rPr>
                <w:rFonts w:hint="eastAsia"/>
                <w:bCs/>
                <w:iCs/>
                <w:color w:val="000000"/>
                <w:sz w:val="24"/>
              </w:rPr>
              <w:t>财务总监：</w:t>
            </w:r>
            <w:r w:rsidR="005B0D4F">
              <w:rPr>
                <w:rFonts w:hint="eastAsia"/>
                <w:bCs/>
                <w:iCs/>
                <w:color w:val="000000"/>
                <w:sz w:val="24"/>
              </w:rPr>
              <w:t>孙明先生</w:t>
            </w:r>
          </w:p>
          <w:p w14:paraId="1B05EBC4" w14:textId="11D29EFC" w:rsidR="00C274B1" w:rsidRPr="00032E4D" w:rsidRDefault="00C274B1" w:rsidP="005B0D4F">
            <w:pPr>
              <w:spacing w:line="480" w:lineRule="atLeast"/>
              <w:rPr>
                <w:bCs/>
                <w:iCs/>
                <w:color w:val="000000"/>
                <w:sz w:val="24"/>
              </w:rPr>
            </w:pPr>
            <w:r>
              <w:rPr>
                <w:rFonts w:hint="eastAsia"/>
                <w:bCs/>
                <w:iCs/>
                <w:color w:val="000000"/>
                <w:sz w:val="24"/>
              </w:rPr>
              <w:t>独立董事：</w:t>
            </w:r>
            <w:r w:rsidR="005B0D4F">
              <w:rPr>
                <w:rFonts w:hint="eastAsia"/>
                <w:bCs/>
                <w:iCs/>
                <w:color w:val="000000"/>
                <w:sz w:val="24"/>
              </w:rPr>
              <w:t>李文峰</w:t>
            </w:r>
            <w:r>
              <w:rPr>
                <w:rFonts w:hint="eastAsia"/>
                <w:bCs/>
                <w:iCs/>
                <w:color w:val="000000"/>
                <w:sz w:val="24"/>
              </w:rPr>
              <w:t>先生</w:t>
            </w:r>
          </w:p>
        </w:tc>
      </w:tr>
      <w:tr w:rsidR="00E25146" w:rsidRPr="00651E2E" w14:paraId="4ECB644A" w14:textId="77777777" w:rsidTr="005B0D4F">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27228523" w14:textId="77777777" w:rsidR="00E25146" w:rsidRPr="00651E2E" w:rsidRDefault="0022633D">
            <w:pPr>
              <w:spacing w:line="480" w:lineRule="atLeast"/>
              <w:rPr>
                <w:b/>
                <w:bCs/>
                <w:iCs/>
                <w:color w:val="000000"/>
                <w:sz w:val="24"/>
              </w:rPr>
            </w:pPr>
            <w:r w:rsidRPr="00651E2E">
              <w:rPr>
                <w:b/>
                <w:bCs/>
                <w:iCs/>
                <w:color w:val="000000"/>
                <w:sz w:val="24"/>
              </w:rPr>
              <w:t>投资者关系活动主要内容介绍</w:t>
            </w:r>
          </w:p>
        </w:tc>
        <w:tc>
          <w:tcPr>
            <w:tcW w:w="6854" w:type="dxa"/>
            <w:tcBorders>
              <w:top w:val="single" w:sz="4" w:space="0" w:color="auto"/>
              <w:left w:val="single" w:sz="4" w:space="0" w:color="auto"/>
              <w:bottom w:val="single" w:sz="4" w:space="0" w:color="auto"/>
              <w:right w:val="single" w:sz="4" w:space="0" w:color="auto"/>
            </w:tcBorders>
            <w:shd w:val="clear" w:color="auto" w:fill="auto"/>
            <w:vAlign w:val="center"/>
          </w:tcPr>
          <w:p w14:paraId="051C3A4B" w14:textId="77777777" w:rsidR="00651E2E" w:rsidRPr="00651E2E" w:rsidRDefault="00651E2E" w:rsidP="00651E2E">
            <w:pPr>
              <w:rPr>
                <w:b/>
                <w:bCs/>
                <w:iCs/>
                <w:color w:val="000000"/>
                <w:sz w:val="24"/>
              </w:rPr>
            </w:pPr>
            <w:r w:rsidRPr="00651E2E">
              <w:rPr>
                <w:b/>
                <w:bCs/>
                <w:iCs/>
                <w:color w:val="000000"/>
                <w:sz w:val="24"/>
              </w:rPr>
              <w:t>交流的主要问题及回复</w:t>
            </w:r>
            <w:r w:rsidRPr="00651E2E">
              <w:rPr>
                <w:rFonts w:hint="eastAsia"/>
                <w:b/>
                <w:bCs/>
                <w:iCs/>
                <w:color w:val="000000"/>
                <w:sz w:val="24"/>
              </w:rPr>
              <w:t>如下：</w:t>
            </w:r>
          </w:p>
          <w:p w14:paraId="2DAAF6EC" w14:textId="04716976" w:rsidR="00651E2E" w:rsidRPr="00651E2E" w:rsidRDefault="00651E2E" w:rsidP="00651E2E">
            <w:pPr>
              <w:widowControl/>
              <w:jc w:val="left"/>
              <w:rPr>
                <w:b/>
                <w:kern w:val="0"/>
                <w:szCs w:val="21"/>
              </w:rPr>
            </w:pPr>
            <w:r w:rsidRPr="00651E2E">
              <w:rPr>
                <w:rFonts w:hint="eastAsia"/>
                <w:b/>
                <w:kern w:val="0"/>
                <w:szCs w:val="21"/>
              </w:rPr>
              <w:t>1.</w:t>
            </w:r>
            <w:r w:rsidRPr="00651E2E">
              <w:rPr>
                <w:rFonts w:hint="eastAsia"/>
                <w:b/>
                <w:kern w:val="0"/>
                <w:szCs w:val="21"/>
              </w:rPr>
              <w:t>公司经营情况及全国化战略进展如何？</w:t>
            </w:r>
          </w:p>
          <w:p w14:paraId="12CF83E5" w14:textId="211A942A" w:rsidR="00651E2E" w:rsidRPr="00651E2E" w:rsidRDefault="00651E2E" w:rsidP="00651E2E">
            <w:pPr>
              <w:widowControl/>
              <w:jc w:val="left"/>
              <w:rPr>
                <w:kern w:val="0"/>
                <w:szCs w:val="21"/>
              </w:rPr>
            </w:pPr>
            <w:r w:rsidRPr="00651E2E">
              <w:rPr>
                <w:rFonts w:hint="eastAsia"/>
                <w:kern w:val="0"/>
                <w:szCs w:val="21"/>
              </w:rPr>
              <w:t>答：您好</w:t>
            </w:r>
            <w:r w:rsidR="002D567A">
              <w:rPr>
                <w:rFonts w:hint="eastAsia"/>
                <w:kern w:val="0"/>
                <w:szCs w:val="21"/>
              </w:rPr>
              <w:t>，</w:t>
            </w:r>
            <w:r w:rsidRPr="00651E2E">
              <w:rPr>
                <w:rFonts w:hint="eastAsia"/>
                <w:kern w:val="0"/>
                <w:szCs w:val="21"/>
              </w:rPr>
              <w:t>2024</w:t>
            </w:r>
            <w:r w:rsidRPr="00651E2E">
              <w:rPr>
                <w:rFonts w:hint="eastAsia"/>
                <w:kern w:val="0"/>
                <w:szCs w:val="21"/>
              </w:rPr>
              <w:t>年上半年，公司坚持以科技创新推动业务发展，持续提升产品核心竞争力，积极践行全国化市场战略，同时不断提升服务水平，增强客户满意度，稳步推进项目交付，公司整体经营保持稳健增长态势。上半年共实现营业收入</w:t>
            </w:r>
            <w:r w:rsidRPr="00651E2E">
              <w:rPr>
                <w:rFonts w:hint="eastAsia"/>
                <w:kern w:val="0"/>
                <w:szCs w:val="21"/>
              </w:rPr>
              <w:t>2.08</w:t>
            </w:r>
            <w:r w:rsidRPr="00651E2E">
              <w:rPr>
                <w:rFonts w:hint="eastAsia"/>
                <w:kern w:val="0"/>
                <w:szCs w:val="21"/>
              </w:rPr>
              <w:t>亿元，较上年同期增长</w:t>
            </w:r>
            <w:r w:rsidRPr="00651E2E">
              <w:rPr>
                <w:rFonts w:hint="eastAsia"/>
                <w:kern w:val="0"/>
                <w:szCs w:val="21"/>
              </w:rPr>
              <w:t>3.15%</w:t>
            </w:r>
            <w:r w:rsidRPr="00651E2E">
              <w:rPr>
                <w:rFonts w:hint="eastAsia"/>
                <w:kern w:val="0"/>
                <w:szCs w:val="21"/>
              </w:rPr>
              <w:t>；实现归属于上市公司股东的净利润</w:t>
            </w:r>
            <w:r w:rsidRPr="00651E2E">
              <w:rPr>
                <w:rFonts w:hint="eastAsia"/>
                <w:kern w:val="0"/>
                <w:szCs w:val="21"/>
              </w:rPr>
              <w:t>2,085.54</w:t>
            </w:r>
            <w:r w:rsidRPr="00651E2E">
              <w:rPr>
                <w:rFonts w:hint="eastAsia"/>
                <w:kern w:val="0"/>
                <w:szCs w:val="21"/>
              </w:rPr>
              <w:t>万元，较上年同期增长</w:t>
            </w:r>
            <w:r w:rsidRPr="00651E2E">
              <w:rPr>
                <w:rFonts w:hint="eastAsia"/>
                <w:kern w:val="0"/>
                <w:szCs w:val="21"/>
              </w:rPr>
              <w:t>3.23%</w:t>
            </w:r>
            <w:r w:rsidRPr="00651E2E">
              <w:rPr>
                <w:rFonts w:hint="eastAsia"/>
                <w:kern w:val="0"/>
                <w:szCs w:val="21"/>
              </w:rPr>
              <w:t>，均保持稳定增长。</w:t>
            </w:r>
          </w:p>
          <w:p w14:paraId="3E039898" w14:textId="77777777" w:rsidR="00651E2E" w:rsidRPr="00651E2E" w:rsidRDefault="00651E2E" w:rsidP="00651E2E">
            <w:pPr>
              <w:widowControl/>
              <w:jc w:val="left"/>
              <w:rPr>
                <w:kern w:val="0"/>
                <w:szCs w:val="21"/>
              </w:rPr>
            </w:pPr>
            <w:r w:rsidRPr="00651E2E">
              <w:rPr>
                <w:rFonts w:hint="eastAsia"/>
                <w:kern w:val="0"/>
                <w:szCs w:val="21"/>
              </w:rPr>
              <w:t>全国化战略推进方面，</w:t>
            </w:r>
            <w:r w:rsidRPr="00651E2E">
              <w:rPr>
                <w:rFonts w:hint="eastAsia"/>
                <w:kern w:val="0"/>
                <w:szCs w:val="21"/>
              </w:rPr>
              <w:t>2024</w:t>
            </w:r>
            <w:r w:rsidRPr="00651E2E">
              <w:rPr>
                <w:rFonts w:hint="eastAsia"/>
                <w:kern w:val="0"/>
                <w:szCs w:val="21"/>
              </w:rPr>
              <w:t>年上半年，公司新拓展山西、福建、河南、湖南等省业务，市场份额不断扩大。省外市场收入、新签订合同金额较上年分别增长</w:t>
            </w:r>
            <w:r w:rsidRPr="00651E2E">
              <w:rPr>
                <w:rFonts w:hint="eastAsia"/>
                <w:kern w:val="0"/>
                <w:szCs w:val="21"/>
              </w:rPr>
              <w:t>62.37%</w:t>
            </w:r>
            <w:r w:rsidRPr="00651E2E">
              <w:rPr>
                <w:rFonts w:hint="eastAsia"/>
                <w:kern w:val="0"/>
                <w:szCs w:val="21"/>
              </w:rPr>
              <w:t>、</w:t>
            </w:r>
            <w:r w:rsidRPr="00651E2E">
              <w:rPr>
                <w:rFonts w:hint="eastAsia"/>
                <w:kern w:val="0"/>
                <w:szCs w:val="21"/>
              </w:rPr>
              <w:t>10.07%</w:t>
            </w:r>
            <w:r w:rsidRPr="00651E2E">
              <w:rPr>
                <w:rFonts w:hint="eastAsia"/>
                <w:kern w:val="0"/>
                <w:szCs w:val="21"/>
              </w:rPr>
              <w:t>。目前，公司市场已覆盖全国</w:t>
            </w:r>
            <w:r w:rsidRPr="00651E2E">
              <w:rPr>
                <w:rFonts w:hint="eastAsia"/>
                <w:kern w:val="0"/>
                <w:szCs w:val="21"/>
              </w:rPr>
              <w:t>20</w:t>
            </w:r>
            <w:r w:rsidRPr="00651E2E">
              <w:rPr>
                <w:rFonts w:hint="eastAsia"/>
                <w:kern w:val="0"/>
                <w:szCs w:val="21"/>
              </w:rPr>
              <w:t>余个省份，</w:t>
            </w:r>
            <w:r w:rsidRPr="00651E2E">
              <w:rPr>
                <w:rFonts w:hint="eastAsia"/>
                <w:kern w:val="0"/>
                <w:szCs w:val="21"/>
              </w:rPr>
              <w:t>100</w:t>
            </w:r>
            <w:r w:rsidRPr="00651E2E">
              <w:rPr>
                <w:rFonts w:hint="eastAsia"/>
                <w:kern w:val="0"/>
                <w:szCs w:val="21"/>
              </w:rPr>
              <w:t>多座城市，为全国近</w:t>
            </w:r>
            <w:r w:rsidRPr="00651E2E">
              <w:rPr>
                <w:rFonts w:hint="eastAsia"/>
                <w:kern w:val="0"/>
                <w:szCs w:val="21"/>
              </w:rPr>
              <w:t>5</w:t>
            </w:r>
            <w:r w:rsidRPr="00651E2E">
              <w:rPr>
                <w:rFonts w:hint="eastAsia"/>
                <w:kern w:val="0"/>
                <w:szCs w:val="21"/>
              </w:rPr>
              <w:t>亿人口提供数字化服务。感谢您的关注！</w:t>
            </w:r>
          </w:p>
          <w:p w14:paraId="02E50F9F" w14:textId="0DE79954" w:rsidR="00651E2E" w:rsidRPr="00651E2E" w:rsidRDefault="00651E2E" w:rsidP="00651E2E">
            <w:pPr>
              <w:widowControl/>
              <w:jc w:val="left"/>
              <w:rPr>
                <w:b/>
                <w:kern w:val="0"/>
                <w:szCs w:val="21"/>
              </w:rPr>
            </w:pPr>
            <w:r w:rsidRPr="00651E2E">
              <w:rPr>
                <w:rFonts w:hint="eastAsia"/>
                <w:b/>
                <w:kern w:val="0"/>
                <w:szCs w:val="21"/>
              </w:rPr>
              <w:t>2.</w:t>
            </w:r>
            <w:r w:rsidRPr="00651E2E">
              <w:rPr>
                <w:rFonts w:hint="eastAsia"/>
                <w:b/>
                <w:kern w:val="0"/>
                <w:szCs w:val="21"/>
              </w:rPr>
              <w:t>上半年公司智慧人社业务营收大涨，这部分业务有哪些新突破？</w:t>
            </w:r>
          </w:p>
          <w:p w14:paraId="289505A1" w14:textId="77777777" w:rsidR="00651E2E" w:rsidRPr="00651E2E" w:rsidRDefault="00651E2E" w:rsidP="00651E2E">
            <w:pPr>
              <w:widowControl/>
              <w:jc w:val="left"/>
              <w:rPr>
                <w:kern w:val="0"/>
                <w:szCs w:val="21"/>
              </w:rPr>
            </w:pPr>
            <w:r w:rsidRPr="00651E2E">
              <w:rPr>
                <w:rFonts w:hint="eastAsia"/>
                <w:kern w:val="0"/>
                <w:szCs w:val="21"/>
              </w:rPr>
              <w:t>答：您好，公司在人社、医保医疗、电力等领域均拥有三十余年的从业经验，竞争优势明显。今年上半年，面对人社一体化建设等方面的升级迭代</w:t>
            </w:r>
            <w:r w:rsidRPr="00651E2E">
              <w:rPr>
                <w:rFonts w:hint="eastAsia"/>
                <w:kern w:val="0"/>
                <w:szCs w:val="21"/>
              </w:rPr>
              <w:lastRenderedPageBreak/>
              <w:t>需求，公司抢抓发展机遇，持续深化业务应用，践行全国化市场战略，巩固并提升市场优势，在人才人事、社保、就业创业、劳动关系等各领域都实现稳步发展。</w:t>
            </w:r>
          </w:p>
          <w:p w14:paraId="7805B42C" w14:textId="77777777" w:rsidR="00651E2E" w:rsidRPr="00651E2E" w:rsidRDefault="00651E2E" w:rsidP="00651E2E">
            <w:pPr>
              <w:widowControl/>
              <w:jc w:val="left"/>
              <w:rPr>
                <w:kern w:val="0"/>
                <w:szCs w:val="21"/>
              </w:rPr>
            </w:pPr>
            <w:r w:rsidRPr="00651E2E">
              <w:rPr>
                <w:rFonts w:hint="eastAsia"/>
                <w:kern w:val="0"/>
                <w:szCs w:val="21"/>
              </w:rPr>
              <w:t>在人才人事领域，公司新拓展山西人才人事业务领域，同时，研发智能人才监管云平台，填补了在人才领域的智能监管空白，在四川等地进行推广。在社保领域，公司重点打造工伤医疗行为智能监管、定点医疗机构视频监管、大数据辅助劳动能力鉴定、社保基金全流程管理的业务生态体系，实现对一体化核心业务的丰富和补充，并在各地进行推广。在就业创业领域，公司新拓展南京市智慧就业大数据项目，实现就业领域在江苏的突破。在劳动关系领域，山东省电子劳动合同签订平台项目建设完成，并在济南、青岛、淄博等多地市试运行，后续将在山东其他地市及全国进行推广。感谢您的关注！</w:t>
            </w:r>
          </w:p>
          <w:p w14:paraId="199EDDE9" w14:textId="4282D0FC" w:rsidR="00651E2E" w:rsidRPr="00651E2E" w:rsidRDefault="00651E2E" w:rsidP="00651E2E">
            <w:pPr>
              <w:widowControl/>
              <w:jc w:val="left"/>
              <w:rPr>
                <w:b/>
                <w:kern w:val="0"/>
                <w:szCs w:val="21"/>
              </w:rPr>
            </w:pPr>
            <w:r w:rsidRPr="00651E2E">
              <w:rPr>
                <w:rFonts w:hint="eastAsia"/>
                <w:b/>
                <w:kern w:val="0"/>
                <w:szCs w:val="21"/>
              </w:rPr>
              <w:t>3.</w:t>
            </w:r>
            <w:r w:rsidRPr="00651E2E">
              <w:rPr>
                <w:rFonts w:hint="eastAsia"/>
                <w:b/>
                <w:kern w:val="0"/>
                <w:szCs w:val="21"/>
              </w:rPr>
              <w:t>公司上半年研发创新上取得了哪些新成果？</w:t>
            </w:r>
          </w:p>
          <w:p w14:paraId="7EB40204" w14:textId="0F647D39" w:rsidR="00651E2E" w:rsidRPr="00651E2E" w:rsidRDefault="00651E2E" w:rsidP="00651E2E">
            <w:pPr>
              <w:widowControl/>
              <w:jc w:val="left"/>
              <w:rPr>
                <w:kern w:val="0"/>
                <w:szCs w:val="21"/>
              </w:rPr>
            </w:pPr>
            <w:r w:rsidRPr="00651E2E">
              <w:rPr>
                <w:rFonts w:hint="eastAsia"/>
                <w:kern w:val="0"/>
                <w:szCs w:val="21"/>
              </w:rPr>
              <w:t>答：</w:t>
            </w:r>
            <w:r>
              <w:rPr>
                <w:rFonts w:hint="eastAsia"/>
                <w:kern w:val="0"/>
                <w:szCs w:val="21"/>
              </w:rPr>
              <w:t>您好</w:t>
            </w:r>
            <w:r w:rsidR="002D567A">
              <w:rPr>
                <w:rFonts w:hint="eastAsia"/>
                <w:kern w:val="0"/>
                <w:szCs w:val="21"/>
              </w:rPr>
              <w:t>，</w:t>
            </w:r>
            <w:r w:rsidRPr="00651E2E">
              <w:rPr>
                <w:rFonts w:hint="eastAsia"/>
                <w:kern w:val="0"/>
                <w:szCs w:val="21"/>
              </w:rPr>
              <w:t>公司积极按照人社、医保医疗、电力等行业数字化转型、智能化升级及服务、模式创新等方面的发展要求，持续推进研发创新工作，在数据治理与数据底座、数据应用、数据智能决策、</w:t>
            </w:r>
            <w:r w:rsidRPr="00651E2E">
              <w:rPr>
                <w:rFonts w:hint="eastAsia"/>
                <w:kern w:val="0"/>
                <w:szCs w:val="21"/>
              </w:rPr>
              <w:t>AI</w:t>
            </w:r>
            <w:r w:rsidRPr="00651E2E">
              <w:rPr>
                <w:rFonts w:hint="eastAsia"/>
                <w:kern w:val="0"/>
                <w:szCs w:val="21"/>
              </w:rPr>
              <w:t>创新应用等方面推出一系列创新产品，强化产品市场竞争力。</w:t>
            </w:r>
          </w:p>
          <w:p w14:paraId="5ABE5381" w14:textId="77777777" w:rsidR="00651E2E" w:rsidRPr="00651E2E" w:rsidRDefault="00651E2E" w:rsidP="00651E2E">
            <w:pPr>
              <w:widowControl/>
              <w:jc w:val="left"/>
              <w:rPr>
                <w:kern w:val="0"/>
                <w:szCs w:val="21"/>
              </w:rPr>
            </w:pPr>
            <w:r w:rsidRPr="00651E2E">
              <w:rPr>
                <w:rFonts w:hint="eastAsia"/>
                <w:kern w:val="0"/>
                <w:szCs w:val="21"/>
              </w:rPr>
              <w:t>2024</w:t>
            </w:r>
            <w:r w:rsidRPr="00651E2E">
              <w:rPr>
                <w:rFonts w:hint="eastAsia"/>
                <w:kern w:val="0"/>
                <w:szCs w:val="21"/>
              </w:rPr>
              <w:t>年上半年，公司持续推进人工智能、区块链、大数据、隐私计算等领域技术研发工作，将先进技术与各业务体系深度融合，创新研发“人才会客厅”、数智人社大厅、数字人、医保指标中心、医保基金精算分析、</w:t>
            </w:r>
            <w:r w:rsidRPr="00651E2E">
              <w:rPr>
                <w:rFonts w:hint="eastAsia"/>
                <w:kern w:val="0"/>
                <w:szCs w:val="21"/>
              </w:rPr>
              <w:t>APG</w:t>
            </w:r>
            <w:r w:rsidRPr="00651E2E">
              <w:rPr>
                <w:rFonts w:hint="eastAsia"/>
                <w:kern w:val="0"/>
                <w:szCs w:val="21"/>
              </w:rPr>
              <w:t>支付管理、分布式电源群调群控、“源网荷”可调潜力评估等创新应用产品，多维度赋能业务发展。创新产品及关键技术荣获</w:t>
            </w:r>
            <w:r w:rsidRPr="00651E2E">
              <w:rPr>
                <w:rFonts w:hint="eastAsia"/>
                <w:kern w:val="0"/>
                <w:szCs w:val="21"/>
              </w:rPr>
              <w:t>AAAI</w:t>
            </w:r>
            <w:r w:rsidRPr="00651E2E">
              <w:rPr>
                <w:rFonts w:hint="eastAsia"/>
                <w:kern w:val="0"/>
                <w:szCs w:val="21"/>
              </w:rPr>
              <w:t>人工智能创新应用奖、吴文俊人工智能科学技术奖、山东省科学技术进步奖等众多奖项；上半年新增发明专利</w:t>
            </w:r>
            <w:r w:rsidRPr="00651E2E">
              <w:rPr>
                <w:rFonts w:hint="eastAsia"/>
                <w:kern w:val="0"/>
                <w:szCs w:val="21"/>
              </w:rPr>
              <w:t>2</w:t>
            </w:r>
            <w:r w:rsidRPr="00651E2E">
              <w:rPr>
                <w:rFonts w:hint="eastAsia"/>
                <w:kern w:val="0"/>
                <w:szCs w:val="21"/>
              </w:rPr>
              <w:t>项、软件著作权</w:t>
            </w:r>
            <w:r w:rsidRPr="00651E2E">
              <w:rPr>
                <w:rFonts w:hint="eastAsia"/>
                <w:kern w:val="0"/>
                <w:szCs w:val="21"/>
              </w:rPr>
              <w:t>13</w:t>
            </w:r>
            <w:r w:rsidRPr="00651E2E">
              <w:rPr>
                <w:rFonts w:hint="eastAsia"/>
                <w:kern w:val="0"/>
                <w:szCs w:val="21"/>
              </w:rPr>
              <w:t>项，共拥有授权专利</w:t>
            </w:r>
            <w:r w:rsidRPr="00651E2E">
              <w:rPr>
                <w:rFonts w:hint="eastAsia"/>
                <w:kern w:val="0"/>
                <w:szCs w:val="21"/>
              </w:rPr>
              <w:t>55</w:t>
            </w:r>
            <w:r w:rsidRPr="00651E2E">
              <w:rPr>
                <w:rFonts w:hint="eastAsia"/>
                <w:kern w:val="0"/>
                <w:szCs w:val="21"/>
              </w:rPr>
              <w:t>项，其中</w:t>
            </w:r>
            <w:r w:rsidRPr="00651E2E">
              <w:rPr>
                <w:rFonts w:hint="eastAsia"/>
                <w:kern w:val="0"/>
                <w:szCs w:val="21"/>
              </w:rPr>
              <w:t>50</w:t>
            </w:r>
            <w:r w:rsidRPr="00651E2E">
              <w:rPr>
                <w:rFonts w:hint="eastAsia"/>
                <w:kern w:val="0"/>
                <w:szCs w:val="21"/>
              </w:rPr>
              <w:t>项为发明专利，软件著作权</w:t>
            </w:r>
            <w:r w:rsidRPr="00651E2E">
              <w:rPr>
                <w:rFonts w:hint="eastAsia"/>
                <w:kern w:val="0"/>
                <w:szCs w:val="21"/>
              </w:rPr>
              <w:t>456</w:t>
            </w:r>
            <w:r w:rsidRPr="00651E2E">
              <w:rPr>
                <w:rFonts w:hint="eastAsia"/>
                <w:kern w:val="0"/>
                <w:szCs w:val="21"/>
              </w:rPr>
              <w:t>项，参与编制并发布标准</w:t>
            </w:r>
            <w:r w:rsidRPr="00651E2E">
              <w:rPr>
                <w:rFonts w:hint="eastAsia"/>
                <w:kern w:val="0"/>
                <w:szCs w:val="21"/>
              </w:rPr>
              <w:t>2</w:t>
            </w:r>
            <w:r w:rsidRPr="00651E2E">
              <w:rPr>
                <w:rFonts w:hint="eastAsia"/>
                <w:kern w:val="0"/>
                <w:szCs w:val="21"/>
              </w:rPr>
              <w:t>项，不断夯实核心技术优势。感谢您的关注！</w:t>
            </w:r>
          </w:p>
          <w:p w14:paraId="6ED54FDE" w14:textId="2F981E1A" w:rsidR="00651E2E" w:rsidRPr="00651E2E" w:rsidRDefault="00651E2E" w:rsidP="00651E2E">
            <w:pPr>
              <w:widowControl/>
              <w:jc w:val="left"/>
              <w:rPr>
                <w:b/>
                <w:kern w:val="0"/>
                <w:szCs w:val="21"/>
              </w:rPr>
            </w:pPr>
            <w:r w:rsidRPr="00651E2E">
              <w:rPr>
                <w:rFonts w:hint="eastAsia"/>
                <w:b/>
                <w:kern w:val="0"/>
                <w:szCs w:val="21"/>
              </w:rPr>
              <w:t>4.</w:t>
            </w:r>
            <w:r w:rsidRPr="00651E2E">
              <w:rPr>
                <w:rFonts w:hint="eastAsia"/>
                <w:b/>
                <w:kern w:val="0"/>
                <w:szCs w:val="21"/>
              </w:rPr>
              <w:t>在</w:t>
            </w:r>
            <w:r w:rsidRPr="00651E2E">
              <w:rPr>
                <w:rFonts w:hint="eastAsia"/>
                <w:b/>
                <w:kern w:val="0"/>
                <w:szCs w:val="21"/>
              </w:rPr>
              <w:t>DRG/DIP</w:t>
            </w:r>
            <w:r w:rsidRPr="00651E2E">
              <w:rPr>
                <w:rFonts w:hint="eastAsia"/>
                <w:b/>
                <w:kern w:val="0"/>
                <w:szCs w:val="21"/>
              </w:rPr>
              <w:t>医保支付改革背景下，公司有哪些优势？</w:t>
            </w:r>
          </w:p>
          <w:p w14:paraId="0865E75F" w14:textId="77777777" w:rsidR="00651E2E" w:rsidRPr="00651E2E" w:rsidRDefault="00651E2E" w:rsidP="00651E2E">
            <w:pPr>
              <w:widowControl/>
              <w:jc w:val="left"/>
              <w:rPr>
                <w:kern w:val="0"/>
                <w:szCs w:val="21"/>
              </w:rPr>
            </w:pPr>
            <w:r w:rsidRPr="00651E2E">
              <w:rPr>
                <w:rFonts w:hint="eastAsia"/>
                <w:kern w:val="0"/>
                <w:szCs w:val="21"/>
              </w:rPr>
              <w:t>答：您好，公司在医保医疗领域拥有三十余年的从业经验，竞争优势明显。在医保支付方式改革方面，公司拥有完整的</w:t>
            </w:r>
            <w:r w:rsidRPr="00651E2E">
              <w:rPr>
                <w:rFonts w:hint="eastAsia"/>
                <w:kern w:val="0"/>
                <w:szCs w:val="21"/>
              </w:rPr>
              <w:t>DRG/DIP</w:t>
            </w:r>
            <w:r w:rsidRPr="00651E2E">
              <w:rPr>
                <w:rFonts w:hint="eastAsia"/>
                <w:kern w:val="0"/>
                <w:szCs w:val="21"/>
              </w:rPr>
              <w:t>解决方案，包括数据采集质控、分组计算、基金结算、考核评价、费用监管等，自主研发的</w:t>
            </w:r>
            <w:r w:rsidRPr="00651E2E">
              <w:rPr>
                <w:rFonts w:hint="eastAsia"/>
                <w:kern w:val="0"/>
                <w:szCs w:val="21"/>
              </w:rPr>
              <w:t>DRG/DIP</w:t>
            </w:r>
            <w:r w:rsidRPr="00651E2E">
              <w:rPr>
                <w:rFonts w:hint="eastAsia"/>
                <w:kern w:val="0"/>
                <w:szCs w:val="21"/>
              </w:rPr>
              <w:t>结算全流程一站式支撑产品，全力支撑多地</w:t>
            </w:r>
            <w:r w:rsidRPr="00651E2E">
              <w:rPr>
                <w:rFonts w:hint="eastAsia"/>
                <w:kern w:val="0"/>
                <w:szCs w:val="21"/>
              </w:rPr>
              <w:t>DRG/DIP</w:t>
            </w:r>
            <w:r w:rsidRPr="00651E2E">
              <w:rPr>
                <w:rFonts w:hint="eastAsia"/>
                <w:kern w:val="0"/>
                <w:szCs w:val="21"/>
              </w:rPr>
              <w:t>支付方式改革应用。同时，公司持续推进医院端医保</w:t>
            </w:r>
            <w:r w:rsidRPr="00651E2E">
              <w:rPr>
                <w:rFonts w:hint="eastAsia"/>
                <w:kern w:val="0"/>
                <w:szCs w:val="21"/>
              </w:rPr>
              <w:t>DRG</w:t>
            </w:r>
            <w:r w:rsidRPr="00651E2E">
              <w:rPr>
                <w:rFonts w:hint="eastAsia"/>
                <w:kern w:val="0"/>
                <w:szCs w:val="21"/>
              </w:rPr>
              <w:t>和</w:t>
            </w:r>
            <w:r w:rsidRPr="00651E2E">
              <w:rPr>
                <w:rFonts w:hint="eastAsia"/>
                <w:kern w:val="0"/>
                <w:szCs w:val="21"/>
              </w:rPr>
              <w:t>DIP</w:t>
            </w:r>
            <w:r w:rsidRPr="00651E2E">
              <w:rPr>
                <w:rFonts w:hint="eastAsia"/>
                <w:kern w:val="0"/>
                <w:szCs w:val="21"/>
              </w:rPr>
              <w:t>支付方式改革的落地和深化应用，研发</w:t>
            </w:r>
            <w:r w:rsidRPr="00651E2E">
              <w:rPr>
                <w:rFonts w:hint="eastAsia"/>
                <w:kern w:val="0"/>
                <w:szCs w:val="21"/>
              </w:rPr>
              <w:t>DRG/DIP</w:t>
            </w:r>
            <w:r w:rsidRPr="00651E2E">
              <w:rPr>
                <w:rFonts w:hint="eastAsia"/>
                <w:kern w:val="0"/>
                <w:szCs w:val="21"/>
              </w:rPr>
              <w:t>综合管理系统，正在济南、淄博等地市多家医院落地实施。感谢您的关注！</w:t>
            </w:r>
          </w:p>
          <w:p w14:paraId="1F05F8F7" w14:textId="79C79B04" w:rsidR="00651E2E" w:rsidRPr="00651E2E" w:rsidRDefault="00651E2E" w:rsidP="00651E2E">
            <w:pPr>
              <w:widowControl/>
              <w:jc w:val="left"/>
              <w:rPr>
                <w:b/>
                <w:kern w:val="0"/>
                <w:szCs w:val="21"/>
              </w:rPr>
            </w:pPr>
            <w:r w:rsidRPr="00651E2E">
              <w:rPr>
                <w:rFonts w:hint="eastAsia"/>
                <w:b/>
                <w:kern w:val="0"/>
                <w:szCs w:val="21"/>
              </w:rPr>
              <w:t>5.</w:t>
            </w:r>
            <w:r w:rsidRPr="00651E2E">
              <w:rPr>
                <w:rFonts w:hint="eastAsia"/>
                <w:b/>
                <w:kern w:val="0"/>
                <w:szCs w:val="21"/>
              </w:rPr>
              <w:t>公司公共数据授权运营业务目前的推进情况怎样？</w:t>
            </w:r>
          </w:p>
          <w:p w14:paraId="432CE024" w14:textId="77777777" w:rsidR="00651E2E" w:rsidRPr="00651E2E" w:rsidRDefault="00651E2E" w:rsidP="00651E2E">
            <w:pPr>
              <w:widowControl/>
              <w:jc w:val="left"/>
              <w:rPr>
                <w:kern w:val="0"/>
                <w:szCs w:val="21"/>
              </w:rPr>
            </w:pPr>
            <w:r w:rsidRPr="00651E2E">
              <w:rPr>
                <w:rFonts w:hint="eastAsia"/>
                <w:kern w:val="0"/>
                <w:szCs w:val="21"/>
              </w:rPr>
              <w:t>答：您好，公司致力于构建系统、完整、可持续的公共数据授权运营体系。今年上半年，公司承建的济南市公共数据授权运营平台建设项目上线试运行，已有</w:t>
            </w:r>
            <w:r w:rsidRPr="00651E2E">
              <w:rPr>
                <w:rFonts w:hint="eastAsia"/>
                <w:kern w:val="0"/>
                <w:szCs w:val="21"/>
              </w:rPr>
              <w:t>9</w:t>
            </w:r>
            <w:r w:rsidRPr="00651E2E">
              <w:rPr>
                <w:rFonts w:hint="eastAsia"/>
                <w:kern w:val="0"/>
                <w:szCs w:val="21"/>
              </w:rPr>
              <w:t>家数据运营商入驻，申请数据资源</w:t>
            </w:r>
            <w:r w:rsidRPr="00651E2E">
              <w:rPr>
                <w:rFonts w:hint="eastAsia"/>
                <w:kern w:val="0"/>
                <w:szCs w:val="21"/>
              </w:rPr>
              <w:t>142</w:t>
            </w:r>
            <w:r w:rsidRPr="00651E2E">
              <w:rPr>
                <w:rFonts w:hint="eastAsia"/>
                <w:kern w:val="0"/>
                <w:szCs w:val="21"/>
              </w:rPr>
              <w:t>类，上架</w:t>
            </w:r>
            <w:r w:rsidRPr="00651E2E">
              <w:rPr>
                <w:rFonts w:hint="eastAsia"/>
                <w:kern w:val="0"/>
                <w:szCs w:val="21"/>
              </w:rPr>
              <w:t>495</w:t>
            </w:r>
            <w:r w:rsidRPr="00651E2E">
              <w:rPr>
                <w:rFonts w:hint="eastAsia"/>
                <w:kern w:val="0"/>
                <w:szCs w:val="21"/>
              </w:rPr>
              <w:t>款通用数据产品，在金融服务、医疗健康、商业保险等场景开展授权运营试点工作，达成交易</w:t>
            </w:r>
            <w:r w:rsidRPr="00651E2E">
              <w:rPr>
                <w:rFonts w:hint="eastAsia"/>
                <w:kern w:val="0"/>
                <w:szCs w:val="21"/>
              </w:rPr>
              <w:t>24</w:t>
            </w:r>
            <w:r w:rsidRPr="00651E2E">
              <w:rPr>
                <w:rFonts w:hint="eastAsia"/>
                <w:kern w:val="0"/>
                <w:szCs w:val="21"/>
              </w:rPr>
              <w:t>笔，数据产品交付量超</w:t>
            </w:r>
            <w:r w:rsidRPr="00651E2E">
              <w:rPr>
                <w:rFonts w:hint="eastAsia"/>
                <w:kern w:val="0"/>
                <w:szCs w:val="21"/>
              </w:rPr>
              <w:t>311.2</w:t>
            </w:r>
            <w:r w:rsidRPr="00651E2E">
              <w:rPr>
                <w:rFonts w:hint="eastAsia"/>
                <w:kern w:val="0"/>
                <w:szCs w:val="21"/>
              </w:rPr>
              <w:t>万个。此外，东营市公共数据授权运营平台已经开始建设，其他区域有序推进。感谢您的关注！</w:t>
            </w:r>
          </w:p>
          <w:p w14:paraId="24B1D9C7" w14:textId="7992E4E8" w:rsidR="00651E2E" w:rsidRPr="00651E2E" w:rsidRDefault="00651E2E" w:rsidP="00651E2E">
            <w:pPr>
              <w:widowControl/>
              <w:jc w:val="left"/>
              <w:rPr>
                <w:b/>
                <w:kern w:val="0"/>
                <w:szCs w:val="21"/>
              </w:rPr>
            </w:pPr>
            <w:r w:rsidRPr="00651E2E">
              <w:rPr>
                <w:rFonts w:hint="eastAsia"/>
                <w:b/>
                <w:kern w:val="0"/>
                <w:szCs w:val="21"/>
              </w:rPr>
              <w:t>6.</w:t>
            </w:r>
            <w:r w:rsidRPr="00651E2E">
              <w:rPr>
                <w:rFonts w:hint="eastAsia"/>
                <w:b/>
                <w:kern w:val="0"/>
                <w:szCs w:val="21"/>
              </w:rPr>
              <w:t>公司人工智能业务领域上半年有哪些突破或者业务贡献？</w:t>
            </w:r>
          </w:p>
          <w:p w14:paraId="55FC7D76" w14:textId="77777777" w:rsidR="00651E2E" w:rsidRPr="00651E2E" w:rsidRDefault="00651E2E" w:rsidP="00651E2E">
            <w:pPr>
              <w:widowControl/>
              <w:jc w:val="left"/>
              <w:rPr>
                <w:kern w:val="0"/>
                <w:szCs w:val="21"/>
              </w:rPr>
            </w:pPr>
            <w:r w:rsidRPr="00651E2E">
              <w:rPr>
                <w:rFonts w:hint="eastAsia"/>
                <w:kern w:val="0"/>
                <w:szCs w:val="21"/>
              </w:rPr>
              <w:t>答：您好，公司积极探索将人工智能、区块链、大数据、隐私计算、虚拟现实等技术与业务进行深度融合，并快速应用于产品研发，不断创新产品，</w:t>
            </w:r>
            <w:r w:rsidRPr="00651E2E">
              <w:rPr>
                <w:rFonts w:hint="eastAsia"/>
                <w:kern w:val="0"/>
                <w:szCs w:val="21"/>
              </w:rPr>
              <w:lastRenderedPageBreak/>
              <w:t>积极研发和布局适用于各级客户、具备业务引领作用的新产品、新应用，以满足智慧人社、智慧医保医疗、智能用电等领域的客户需求，不断拓展新的业务场景，为持续扩大技术和业务创新的领先优势，推动业务快速发展奠定良好基础。</w:t>
            </w:r>
          </w:p>
          <w:p w14:paraId="5265ED5C" w14:textId="77777777" w:rsidR="00651E2E" w:rsidRPr="00651E2E" w:rsidRDefault="00651E2E" w:rsidP="00651E2E">
            <w:pPr>
              <w:widowControl/>
              <w:jc w:val="left"/>
              <w:rPr>
                <w:kern w:val="0"/>
                <w:szCs w:val="21"/>
              </w:rPr>
            </w:pPr>
            <w:r w:rsidRPr="00651E2E">
              <w:rPr>
                <w:rFonts w:hint="eastAsia"/>
                <w:kern w:val="0"/>
                <w:szCs w:val="21"/>
              </w:rPr>
              <w:t>上半年，在智慧人社领域，探索虚拟现实技术在人社领域的创新应用，自主研发基于虚拟现实技术的“人才会客厅”、数智人社大厅、数字人等智能产品，创新</w:t>
            </w:r>
            <w:r w:rsidRPr="00651E2E">
              <w:rPr>
                <w:rFonts w:hint="eastAsia"/>
                <w:kern w:val="0"/>
                <w:szCs w:val="21"/>
              </w:rPr>
              <w:t>AI</w:t>
            </w:r>
            <w:r w:rsidRPr="00651E2E">
              <w:rPr>
                <w:rFonts w:hint="eastAsia"/>
                <w:kern w:val="0"/>
                <w:szCs w:val="21"/>
              </w:rPr>
              <w:t>智能化服务新模式；待遇资格认证平台攻克生存智能认证模型构建及可靠性评估机制等关键技术，在第</w:t>
            </w:r>
            <w:r w:rsidRPr="00651E2E">
              <w:rPr>
                <w:rFonts w:hint="eastAsia"/>
                <w:kern w:val="0"/>
                <w:szCs w:val="21"/>
              </w:rPr>
              <w:t>38</w:t>
            </w:r>
            <w:r w:rsidRPr="00651E2E">
              <w:rPr>
                <w:rFonts w:hint="eastAsia"/>
                <w:kern w:val="0"/>
                <w:szCs w:val="21"/>
              </w:rPr>
              <w:t>届国际顶级人工智能学术组织</w:t>
            </w:r>
            <w:r w:rsidRPr="00651E2E">
              <w:rPr>
                <w:rFonts w:hint="eastAsia"/>
                <w:kern w:val="0"/>
                <w:szCs w:val="21"/>
              </w:rPr>
              <w:t>AAAI 2024</w:t>
            </w:r>
            <w:r w:rsidRPr="00651E2E">
              <w:rPr>
                <w:rFonts w:hint="eastAsia"/>
                <w:kern w:val="0"/>
                <w:szCs w:val="21"/>
              </w:rPr>
              <w:t>年会上荣获</w:t>
            </w:r>
            <w:r w:rsidRPr="00651E2E">
              <w:rPr>
                <w:rFonts w:hint="eastAsia"/>
                <w:kern w:val="0"/>
                <w:szCs w:val="21"/>
              </w:rPr>
              <w:t>AAAI</w:t>
            </w:r>
            <w:r w:rsidRPr="00651E2E">
              <w:rPr>
                <w:rFonts w:hint="eastAsia"/>
                <w:kern w:val="0"/>
                <w:szCs w:val="21"/>
              </w:rPr>
              <w:t>创新应用奖。在智慧医保领域，创新医保数据模型构建和大规模数据分析技术，研发医保智能运行决策平台、医保指标中心、医保基金精算分析、</w:t>
            </w:r>
            <w:r w:rsidRPr="00651E2E">
              <w:rPr>
                <w:rFonts w:hint="eastAsia"/>
                <w:kern w:val="0"/>
                <w:szCs w:val="21"/>
              </w:rPr>
              <w:t>APG</w:t>
            </w:r>
            <w:r w:rsidRPr="00651E2E">
              <w:rPr>
                <w:rFonts w:hint="eastAsia"/>
                <w:kern w:val="0"/>
                <w:szCs w:val="21"/>
              </w:rPr>
              <w:t>支付管理等创新应用产品，有效提升数据分析的全面性、准确性和深入性，为医保管理、服务、决策提供技术支撑。在智能用电领域，推进支撑新型电力系统的量测数据融合应用建设，拓展充电桩远程校准、分布式电源群调群控、“源网荷”可调潜力评估等创新应用产品，有效支撑电力量测数据在业务开展方面的价值变现。感谢您的关注！</w:t>
            </w:r>
          </w:p>
          <w:p w14:paraId="2E68F754" w14:textId="13648D3F" w:rsidR="00651E2E" w:rsidRPr="00651E2E" w:rsidRDefault="00651E2E" w:rsidP="00651E2E">
            <w:pPr>
              <w:widowControl/>
              <w:jc w:val="left"/>
              <w:rPr>
                <w:b/>
                <w:kern w:val="0"/>
                <w:szCs w:val="21"/>
              </w:rPr>
            </w:pPr>
            <w:r w:rsidRPr="00651E2E">
              <w:rPr>
                <w:rFonts w:hint="eastAsia"/>
                <w:b/>
                <w:kern w:val="0"/>
                <w:szCs w:val="21"/>
              </w:rPr>
              <w:t>7.</w:t>
            </w:r>
            <w:r w:rsidRPr="00651E2E">
              <w:rPr>
                <w:rFonts w:hint="eastAsia"/>
                <w:b/>
                <w:kern w:val="0"/>
                <w:szCs w:val="21"/>
              </w:rPr>
              <w:t>在电力体制改革背景下，公司智能用电业务下半年如何布局？</w:t>
            </w:r>
          </w:p>
          <w:p w14:paraId="0BE53061" w14:textId="77777777" w:rsidR="00651E2E" w:rsidRPr="00651E2E" w:rsidRDefault="00651E2E" w:rsidP="00651E2E">
            <w:pPr>
              <w:widowControl/>
              <w:jc w:val="left"/>
              <w:rPr>
                <w:kern w:val="0"/>
                <w:szCs w:val="21"/>
              </w:rPr>
            </w:pPr>
            <w:r w:rsidRPr="00651E2E">
              <w:rPr>
                <w:rFonts w:hint="eastAsia"/>
                <w:kern w:val="0"/>
                <w:szCs w:val="21"/>
              </w:rPr>
              <w:t>答：您好，在智能用电领域，公司深耕电力业务三十余年，具有深厚的业务积累与行业经验，具备完整的电力能源互联网体系构建能力，全面支撑新型电力系统建设工作。公司将紧跟发改委、能源局、国网总部及各网省公司发展要求，积极提前布局相关业务线，除持续深耕用电信息采集业务之外，加大在新型电力负荷管理相关业务领域的规划和开拓，初步形成“用电信息采集</w:t>
            </w:r>
            <w:r w:rsidRPr="00651E2E">
              <w:rPr>
                <w:rFonts w:hint="eastAsia"/>
                <w:kern w:val="0"/>
                <w:szCs w:val="21"/>
              </w:rPr>
              <w:t>+</w:t>
            </w:r>
            <w:r w:rsidRPr="00651E2E">
              <w:rPr>
                <w:rFonts w:hint="eastAsia"/>
                <w:kern w:val="0"/>
                <w:szCs w:val="21"/>
              </w:rPr>
              <w:t>新型电力负荷管理”双业务结构，保障公司智能用电业务稳定发展。感谢您的关注！</w:t>
            </w:r>
          </w:p>
          <w:p w14:paraId="788029F6" w14:textId="138B7232" w:rsidR="00651E2E" w:rsidRPr="00651E2E" w:rsidRDefault="00651E2E" w:rsidP="00651E2E">
            <w:pPr>
              <w:widowControl/>
              <w:jc w:val="left"/>
              <w:rPr>
                <w:b/>
                <w:kern w:val="0"/>
                <w:szCs w:val="21"/>
              </w:rPr>
            </w:pPr>
            <w:r w:rsidRPr="00651E2E">
              <w:rPr>
                <w:rFonts w:hint="eastAsia"/>
                <w:b/>
                <w:kern w:val="0"/>
                <w:szCs w:val="21"/>
              </w:rPr>
              <w:t>8.</w:t>
            </w:r>
            <w:r w:rsidRPr="00651E2E">
              <w:rPr>
                <w:rFonts w:hint="eastAsia"/>
                <w:b/>
                <w:kern w:val="0"/>
                <w:szCs w:val="21"/>
              </w:rPr>
              <w:t>对于股价一直低于发行价，有什么评价？</w:t>
            </w:r>
          </w:p>
          <w:p w14:paraId="67D6AEB6" w14:textId="1B04A716" w:rsidR="00651E2E" w:rsidRPr="00651E2E" w:rsidRDefault="00651E2E" w:rsidP="00651E2E">
            <w:pPr>
              <w:widowControl/>
              <w:jc w:val="left"/>
              <w:rPr>
                <w:kern w:val="0"/>
                <w:szCs w:val="21"/>
              </w:rPr>
            </w:pPr>
            <w:r w:rsidRPr="00651E2E">
              <w:rPr>
                <w:rFonts w:hint="eastAsia"/>
                <w:kern w:val="0"/>
                <w:szCs w:val="21"/>
              </w:rPr>
              <w:t>答：您好，股价走势受宏观经济形势、国家政策、行业发展、市场情绪和板块行情等多种因素影响。公司一直致力于竞争力的持续提升和内在价值的长期增长，努力提升经营业绩，同时注重市值管理工作，也非常关注股价走势，并保持与投资者和研究机构的友好沟通。公司对自身及行业的未来发展充满信心，将继续把做好企业经营作为管理的核心，加强与投资者的沟通交流，为投资者创造长期可持续的回报。感谢您的关注！</w:t>
            </w:r>
          </w:p>
          <w:p w14:paraId="49293E39" w14:textId="7D5CCEC8" w:rsidR="00651E2E" w:rsidRPr="00651E2E" w:rsidRDefault="00651E2E" w:rsidP="00651E2E">
            <w:pPr>
              <w:widowControl/>
              <w:jc w:val="left"/>
              <w:rPr>
                <w:b/>
                <w:kern w:val="0"/>
                <w:szCs w:val="21"/>
              </w:rPr>
            </w:pPr>
            <w:r w:rsidRPr="00651E2E">
              <w:rPr>
                <w:rFonts w:hint="eastAsia"/>
                <w:b/>
                <w:kern w:val="0"/>
                <w:szCs w:val="21"/>
              </w:rPr>
              <w:t>9.</w:t>
            </w:r>
            <w:r w:rsidRPr="00651E2E">
              <w:rPr>
                <w:rFonts w:hint="eastAsia"/>
                <w:b/>
                <w:kern w:val="0"/>
                <w:szCs w:val="21"/>
              </w:rPr>
              <w:t>孙总您好，能否简单介绍一下今年半年度整体业绩如何呢？您对于未来业绩展望乐观吗？</w:t>
            </w:r>
          </w:p>
          <w:p w14:paraId="4E44E680" w14:textId="011F2AA0" w:rsidR="00651E2E" w:rsidRPr="00651E2E" w:rsidRDefault="00651E2E" w:rsidP="00651E2E">
            <w:pPr>
              <w:widowControl/>
              <w:jc w:val="left"/>
              <w:rPr>
                <w:kern w:val="0"/>
                <w:szCs w:val="21"/>
              </w:rPr>
            </w:pPr>
            <w:r w:rsidRPr="00651E2E">
              <w:rPr>
                <w:rFonts w:hint="eastAsia"/>
                <w:kern w:val="0"/>
                <w:szCs w:val="21"/>
              </w:rPr>
              <w:t>答：您好</w:t>
            </w:r>
            <w:r>
              <w:rPr>
                <w:rFonts w:hint="eastAsia"/>
                <w:kern w:val="0"/>
                <w:szCs w:val="21"/>
              </w:rPr>
              <w:t>，</w:t>
            </w:r>
            <w:r w:rsidRPr="00651E2E">
              <w:rPr>
                <w:rFonts w:hint="eastAsia"/>
                <w:kern w:val="0"/>
                <w:szCs w:val="21"/>
              </w:rPr>
              <w:t>2024</w:t>
            </w:r>
            <w:r w:rsidRPr="00651E2E">
              <w:rPr>
                <w:rFonts w:hint="eastAsia"/>
                <w:kern w:val="0"/>
                <w:szCs w:val="21"/>
              </w:rPr>
              <w:t>年上半年，公司坚持以科技创新推动业务发展，持续提升产品核心竞争力，积极践行全国化市场战略，同时不断提升服务水平，增强客户满意度，稳步推进项目交付，公司整体经营保持稳健增长态势。上半年共实现营业收入</w:t>
            </w:r>
            <w:r w:rsidRPr="00651E2E">
              <w:rPr>
                <w:rFonts w:hint="eastAsia"/>
                <w:kern w:val="0"/>
                <w:szCs w:val="21"/>
              </w:rPr>
              <w:t>2.08</w:t>
            </w:r>
            <w:r w:rsidRPr="00651E2E">
              <w:rPr>
                <w:rFonts w:hint="eastAsia"/>
                <w:kern w:val="0"/>
                <w:szCs w:val="21"/>
              </w:rPr>
              <w:t>亿元，较上年同期增长</w:t>
            </w:r>
            <w:r w:rsidRPr="00651E2E">
              <w:rPr>
                <w:rFonts w:hint="eastAsia"/>
                <w:kern w:val="0"/>
                <w:szCs w:val="21"/>
              </w:rPr>
              <w:t>3.15%</w:t>
            </w:r>
            <w:r w:rsidRPr="00651E2E">
              <w:rPr>
                <w:rFonts w:hint="eastAsia"/>
                <w:kern w:val="0"/>
                <w:szCs w:val="21"/>
              </w:rPr>
              <w:t>；实现归属于上市公司股东的净利润</w:t>
            </w:r>
            <w:r w:rsidRPr="00651E2E">
              <w:rPr>
                <w:rFonts w:hint="eastAsia"/>
                <w:kern w:val="0"/>
                <w:szCs w:val="21"/>
              </w:rPr>
              <w:t>2,085.54</w:t>
            </w:r>
            <w:r w:rsidRPr="00651E2E">
              <w:rPr>
                <w:rFonts w:hint="eastAsia"/>
                <w:kern w:val="0"/>
                <w:szCs w:val="21"/>
              </w:rPr>
              <w:t>万元，较上年同期增长</w:t>
            </w:r>
            <w:r w:rsidRPr="00651E2E">
              <w:rPr>
                <w:rFonts w:hint="eastAsia"/>
                <w:kern w:val="0"/>
                <w:szCs w:val="21"/>
              </w:rPr>
              <w:t>3.23%</w:t>
            </w:r>
            <w:r w:rsidRPr="00651E2E">
              <w:rPr>
                <w:rFonts w:hint="eastAsia"/>
                <w:kern w:val="0"/>
                <w:szCs w:val="21"/>
              </w:rPr>
              <w:t>，公司业绩在去年上半年高基数的基础上整体经营业绩依旧实现</w:t>
            </w:r>
            <w:r w:rsidR="00122C62">
              <w:rPr>
                <w:rFonts w:hint="eastAsia"/>
                <w:kern w:val="0"/>
                <w:szCs w:val="21"/>
              </w:rPr>
              <w:t>稳定</w:t>
            </w:r>
            <w:r w:rsidRPr="00651E2E">
              <w:rPr>
                <w:rFonts w:hint="eastAsia"/>
                <w:kern w:val="0"/>
                <w:szCs w:val="21"/>
              </w:rPr>
              <w:t>增长，整体经营保持了稳定增长态势。目前来看，公司在手订单充足，人社、医保医疗、电力等传统业务板块保持良好的发展态势，数据要素业务和</w:t>
            </w:r>
            <w:r w:rsidRPr="00651E2E">
              <w:rPr>
                <w:rFonts w:hint="eastAsia"/>
                <w:kern w:val="0"/>
                <w:szCs w:val="21"/>
              </w:rPr>
              <w:t>AI</w:t>
            </w:r>
            <w:r w:rsidRPr="00651E2E">
              <w:rPr>
                <w:rFonts w:hint="eastAsia"/>
                <w:kern w:val="0"/>
                <w:szCs w:val="21"/>
              </w:rPr>
              <w:t>创新业务发展势头强劲，全国化战略稳步推进，公司对全年业绩展望充满信心，感谢您的关注！</w:t>
            </w:r>
          </w:p>
          <w:p w14:paraId="22B3BAB4" w14:textId="3404C56B" w:rsidR="00651E2E" w:rsidRPr="00651E2E" w:rsidRDefault="00651E2E" w:rsidP="00651E2E">
            <w:pPr>
              <w:widowControl/>
              <w:jc w:val="left"/>
              <w:rPr>
                <w:b/>
                <w:kern w:val="0"/>
                <w:szCs w:val="21"/>
              </w:rPr>
            </w:pPr>
            <w:r w:rsidRPr="00651E2E">
              <w:rPr>
                <w:rFonts w:hint="eastAsia"/>
                <w:b/>
                <w:kern w:val="0"/>
                <w:szCs w:val="21"/>
              </w:rPr>
              <w:t>10.</w:t>
            </w:r>
            <w:r w:rsidRPr="00651E2E">
              <w:rPr>
                <w:rFonts w:hint="eastAsia"/>
                <w:b/>
                <w:kern w:val="0"/>
                <w:szCs w:val="21"/>
              </w:rPr>
              <w:t>公司目前在互联网医疗和智慧政务两方面有哪些优势呢？</w:t>
            </w:r>
          </w:p>
          <w:p w14:paraId="640E4562" w14:textId="2CBC03EA" w:rsidR="00651E2E" w:rsidRPr="00651E2E" w:rsidRDefault="00651E2E" w:rsidP="00651E2E">
            <w:pPr>
              <w:widowControl/>
              <w:jc w:val="left"/>
              <w:rPr>
                <w:kern w:val="0"/>
                <w:szCs w:val="21"/>
              </w:rPr>
            </w:pPr>
            <w:r w:rsidRPr="00651E2E">
              <w:rPr>
                <w:rFonts w:hint="eastAsia"/>
                <w:kern w:val="0"/>
                <w:szCs w:val="21"/>
              </w:rPr>
              <w:lastRenderedPageBreak/>
              <w:t>答：</w:t>
            </w:r>
            <w:r>
              <w:rPr>
                <w:rFonts w:hint="eastAsia"/>
                <w:kern w:val="0"/>
                <w:szCs w:val="21"/>
              </w:rPr>
              <w:t>您好，</w:t>
            </w:r>
            <w:r w:rsidRPr="00651E2E">
              <w:rPr>
                <w:rFonts w:hint="eastAsia"/>
                <w:kern w:val="0"/>
                <w:szCs w:val="21"/>
              </w:rPr>
              <w:t>公司以“</w:t>
            </w:r>
            <w:r w:rsidRPr="00651E2E">
              <w:rPr>
                <w:rFonts w:hint="eastAsia"/>
                <w:kern w:val="0"/>
                <w:szCs w:val="21"/>
              </w:rPr>
              <w:t>AI+</w:t>
            </w:r>
            <w:r w:rsidRPr="00651E2E">
              <w:rPr>
                <w:rFonts w:hint="eastAsia"/>
                <w:kern w:val="0"/>
                <w:szCs w:val="21"/>
              </w:rPr>
              <w:t>区块链”为核心驱动力，赋能智慧人社、智慧医保医疗、智能用电、数据要素等业务，位居行业重要地位，部分细分领域居行业第一梯队。公司大力发展</w:t>
            </w:r>
            <w:r w:rsidRPr="00651E2E">
              <w:rPr>
                <w:rFonts w:hint="eastAsia"/>
                <w:kern w:val="0"/>
                <w:szCs w:val="21"/>
              </w:rPr>
              <w:t>AI</w:t>
            </w:r>
            <w:r w:rsidRPr="00651E2E">
              <w:rPr>
                <w:rFonts w:hint="eastAsia"/>
                <w:kern w:val="0"/>
                <w:szCs w:val="21"/>
              </w:rPr>
              <w:t>创新业务，积极抢抓数字经济发展机遇。创新研发人工智能产品及应用，将人工智能、大数据、隐私计算等技术与业务深度融合，在数据治理与数据底座、数据应用、数据智能决策、</w:t>
            </w:r>
            <w:r w:rsidRPr="00651E2E">
              <w:rPr>
                <w:rFonts w:hint="eastAsia"/>
                <w:kern w:val="0"/>
                <w:szCs w:val="21"/>
              </w:rPr>
              <w:t>AI</w:t>
            </w:r>
            <w:r w:rsidRPr="00651E2E">
              <w:rPr>
                <w:rFonts w:hint="eastAsia"/>
                <w:kern w:val="0"/>
                <w:szCs w:val="21"/>
              </w:rPr>
              <w:t>创新应用等方面推出一系列创新产品，多维度赋能业务发展，打造民生数字化服务新形态。感谢您的关注！</w:t>
            </w:r>
          </w:p>
          <w:p w14:paraId="20FDCBAB" w14:textId="4B677222" w:rsidR="00651E2E" w:rsidRPr="00651E2E" w:rsidRDefault="00651E2E" w:rsidP="00651E2E">
            <w:pPr>
              <w:widowControl/>
              <w:jc w:val="left"/>
              <w:rPr>
                <w:b/>
                <w:kern w:val="0"/>
                <w:szCs w:val="21"/>
              </w:rPr>
            </w:pPr>
            <w:r w:rsidRPr="00651E2E">
              <w:rPr>
                <w:rFonts w:hint="eastAsia"/>
                <w:b/>
                <w:kern w:val="0"/>
                <w:szCs w:val="21"/>
              </w:rPr>
              <w:t>11.</w:t>
            </w:r>
            <w:r w:rsidRPr="00651E2E">
              <w:rPr>
                <w:rFonts w:hint="eastAsia"/>
                <w:b/>
                <w:kern w:val="0"/>
                <w:szCs w:val="21"/>
              </w:rPr>
              <w:t>之前看公司有相关大模型，但目前进展到哪一步了呢？今年有什么新的好消息么？</w:t>
            </w:r>
          </w:p>
          <w:p w14:paraId="0610D516" w14:textId="53F46EC7" w:rsidR="00964511" w:rsidRPr="00651E2E" w:rsidRDefault="00651E2E" w:rsidP="00CF0937">
            <w:pPr>
              <w:widowControl/>
              <w:jc w:val="left"/>
              <w:rPr>
                <w:kern w:val="0"/>
                <w:szCs w:val="21"/>
              </w:rPr>
            </w:pPr>
            <w:r w:rsidRPr="00651E2E">
              <w:rPr>
                <w:rFonts w:hint="eastAsia"/>
                <w:kern w:val="0"/>
                <w:szCs w:val="21"/>
              </w:rPr>
              <w:t>答：</w:t>
            </w:r>
            <w:r>
              <w:rPr>
                <w:rFonts w:hint="eastAsia"/>
                <w:kern w:val="0"/>
                <w:szCs w:val="21"/>
              </w:rPr>
              <w:t>您好，</w:t>
            </w:r>
            <w:r w:rsidRPr="00651E2E">
              <w:rPr>
                <w:rFonts w:hint="eastAsia"/>
                <w:kern w:val="0"/>
                <w:szCs w:val="21"/>
              </w:rPr>
              <w:t>公司正在积极布局大模型基座研发和相关产品应用，在大模型构建、微调、优化、适配等方面投入科研力量，探索出了一条“数据集成</w:t>
            </w:r>
            <w:r w:rsidRPr="00651E2E">
              <w:rPr>
                <w:rFonts w:hint="eastAsia"/>
                <w:kern w:val="0"/>
                <w:szCs w:val="21"/>
              </w:rPr>
              <w:t>-</w:t>
            </w:r>
            <w:r w:rsidRPr="00651E2E">
              <w:rPr>
                <w:rFonts w:hint="eastAsia"/>
                <w:kern w:val="0"/>
                <w:szCs w:val="21"/>
              </w:rPr>
              <w:t>通用大模型基座构建</w:t>
            </w:r>
            <w:r w:rsidRPr="00651E2E">
              <w:rPr>
                <w:rFonts w:hint="eastAsia"/>
                <w:kern w:val="0"/>
                <w:szCs w:val="21"/>
              </w:rPr>
              <w:t>-</w:t>
            </w:r>
            <w:r w:rsidRPr="00651E2E">
              <w:rPr>
                <w:rFonts w:hint="eastAsia"/>
                <w:kern w:val="0"/>
                <w:szCs w:val="21"/>
              </w:rPr>
              <w:t>行业大模型微调</w:t>
            </w:r>
            <w:r w:rsidRPr="00651E2E">
              <w:rPr>
                <w:rFonts w:hint="eastAsia"/>
                <w:kern w:val="0"/>
                <w:szCs w:val="21"/>
              </w:rPr>
              <w:t>-</w:t>
            </w:r>
            <w:r w:rsidRPr="00651E2E">
              <w:rPr>
                <w:rFonts w:hint="eastAsia"/>
                <w:kern w:val="0"/>
                <w:szCs w:val="21"/>
              </w:rPr>
              <w:t>领域应用”的创新研发道路，形成了以大模型为技术底座的智能问答、智能推荐、需求分析等领域创新应用，赋能业务发展。自主研发的需求感知人社政策问答平台、</w:t>
            </w:r>
            <w:r w:rsidRPr="00651E2E">
              <w:rPr>
                <w:rFonts w:hint="eastAsia"/>
                <w:kern w:val="0"/>
                <w:szCs w:val="21"/>
              </w:rPr>
              <w:t>RPA+AI</w:t>
            </w:r>
            <w:r w:rsidRPr="00651E2E">
              <w:rPr>
                <w:rFonts w:hint="eastAsia"/>
                <w:kern w:val="0"/>
                <w:szCs w:val="21"/>
              </w:rPr>
              <w:t>数字柜员、电力有序审计管理助手等产品，已应用于虚拟营业厅、虚拟数字人、电力审计等项目；基于就业推荐大模型打造的智慧就业平台，为用人单位和求职者提供精准的匹配服务，可显著提升求职效率。</w:t>
            </w:r>
            <w:r w:rsidR="00122C62" w:rsidRPr="00080BA6">
              <w:rPr>
                <w:kern w:val="0"/>
                <w:szCs w:val="21"/>
              </w:rPr>
              <w:t>2024</w:t>
            </w:r>
            <w:r w:rsidR="00122C62" w:rsidRPr="00080BA6">
              <w:rPr>
                <w:rFonts w:hint="eastAsia"/>
                <w:kern w:val="0"/>
                <w:szCs w:val="21"/>
              </w:rPr>
              <w:t>年</w:t>
            </w:r>
            <w:r w:rsidR="007801E6" w:rsidRPr="00080BA6">
              <w:rPr>
                <w:rFonts w:hint="eastAsia"/>
                <w:kern w:val="0"/>
                <w:szCs w:val="21"/>
              </w:rPr>
              <w:t>上半年</w:t>
            </w:r>
            <w:r w:rsidR="00122C62" w:rsidRPr="00080BA6">
              <w:rPr>
                <w:rFonts w:hint="eastAsia"/>
                <w:kern w:val="0"/>
                <w:szCs w:val="21"/>
              </w:rPr>
              <w:t>，公司研发的“社会保险待遇资格智能认证分析平台（</w:t>
            </w:r>
            <w:r w:rsidR="00122C62" w:rsidRPr="00080BA6">
              <w:rPr>
                <w:kern w:val="0"/>
                <w:szCs w:val="21"/>
              </w:rPr>
              <w:t>IBCA</w:t>
            </w:r>
            <w:r w:rsidR="00122C62" w:rsidRPr="00080BA6">
              <w:rPr>
                <w:rFonts w:hint="eastAsia"/>
                <w:kern w:val="0"/>
                <w:szCs w:val="21"/>
              </w:rPr>
              <w:t>）”荣获</w:t>
            </w:r>
            <w:r w:rsidR="00122C62" w:rsidRPr="00080BA6">
              <w:rPr>
                <w:kern w:val="0"/>
                <w:szCs w:val="21"/>
              </w:rPr>
              <w:t>AAAI</w:t>
            </w:r>
            <w:r w:rsidR="00122C62" w:rsidRPr="00080BA6">
              <w:rPr>
                <w:rFonts w:hint="eastAsia"/>
                <w:kern w:val="0"/>
                <w:szCs w:val="21"/>
              </w:rPr>
              <w:t>人工智能创新应用大奖，是继</w:t>
            </w:r>
            <w:r w:rsidR="00122C62" w:rsidRPr="00080BA6">
              <w:rPr>
                <w:kern w:val="0"/>
                <w:szCs w:val="21"/>
              </w:rPr>
              <w:t>AAAI2018</w:t>
            </w:r>
            <w:r w:rsidR="00122C62" w:rsidRPr="00080BA6">
              <w:rPr>
                <w:rFonts w:hint="eastAsia"/>
                <w:kern w:val="0"/>
                <w:szCs w:val="21"/>
              </w:rPr>
              <w:t>“</w:t>
            </w:r>
            <w:r w:rsidR="005649B8">
              <w:rPr>
                <w:kern w:val="0"/>
                <w:szCs w:val="21"/>
              </w:rPr>
              <w:t>SmartHS:</w:t>
            </w:r>
            <w:bookmarkStart w:id="0" w:name="_GoBack"/>
            <w:bookmarkEnd w:id="0"/>
            <w:r w:rsidR="00122C62" w:rsidRPr="00080BA6">
              <w:rPr>
                <w:rFonts w:hint="eastAsia"/>
                <w:kern w:val="0"/>
                <w:szCs w:val="21"/>
              </w:rPr>
              <w:t>改进政府服务的</w:t>
            </w:r>
            <w:r w:rsidR="00122C62" w:rsidRPr="00080BA6">
              <w:rPr>
                <w:kern w:val="0"/>
                <w:szCs w:val="21"/>
              </w:rPr>
              <w:t>AI</w:t>
            </w:r>
            <w:r w:rsidR="00122C62" w:rsidRPr="00080BA6">
              <w:rPr>
                <w:rFonts w:hint="eastAsia"/>
                <w:kern w:val="0"/>
                <w:szCs w:val="21"/>
              </w:rPr>
              <w:t>平台”、</w:t>
            </w:r>
            <w:r w:rsidR="00122C62" w:rsidRPr="00080BA6">
              <w:rPr>
                <w:kern w:val="0"/>
                <w:szCs w:val="21"/>
              </w:rPr>
              <w:t>AAAI2020</w:t>
            </w:r>
            <w:r w:rsidR="00122C62" w:rsidRPr="00080BA6">
              <w:rPr>
                <w:rFonts w:hint="eastAsia"/>
                <w:kern w:val="0"/>
                <w:szCs w:val="21"/>
              </w:rPr>
              <w:t>“智能用电管理平台”后，第三次获得</w:t>
            </w:r>
            <w:r w:rsidR="00122C62" w:rsidRPr="00080BA6">
              <w:rPr>
                <w:kern w:val="0"/>
                <w:szCs w:val="21"/>
              </w:rPr>
              <w:t>AAAI</w:t>
            </w:r>
            <w:r w:rsidR="00122C62" w:rsidRPr="00080BA6">
              <w:rPr>
                <w:rFonts w:hint="eastAsia"/>
                <w:kern w:val="0"/>
                <w:szCs w:val="21"/>
              </w:rPr>
              <w:t>创新应用大奖，对人工智能在政务服务、公共电力服务、社会保险基金等领域创新应用起到了积极的推动和借鉴意义；“支持应用敏捷自适应的智能大数据分析支撑平台关键技术及应用”获得</w:t>
            </w:r>
            <w:r w:rsidR="00122C62" w:rsidRPr="00080BA6">
              <w:rPr>
                <w:kern w:val="0"/>
                <w:szCs w:val="21"/>
              </w:rPr>
              <w:t>2023</w:t>
            </w:r>
            <w:r w:rsidR="00122C62" w:rsidRPr="00080BA6">
              <w:rPr>
                <w:rFonts w:hint="eastAsia"/>
                <w:kern w:val="0"/>
                <w:szCs w:val="21"/>
              </w:rPr>
              <w:t>年吴文俊人工智能科学技术奖三等奖；</w:t>
            </w:r>
            <w:r w:rsidR="00CF0937" w:rsidRPr="00080BA6">
              <w:rPr>
                <w:rFonts w:hint="eastAsia"/>
                <w:kern w:val="0"/>
                <w:szCs w:val="21"/>
              </w:rPr>
              <w:t>“智链融合的公共数据要素可信共享与流通服务关键技术及应用”获得</w:t>
            </w:r>
            <w:r w:rsidR="00CF0937" w:rsidRPr="00080BA6">
              <w:rPr>
                <w:kern w:val="0"/>
                <w:szCs w:val="21"/>
              </w:rPr>
              <w:t>2023</w:t>
            </w:r>
            <w:r w:rsidR="00CF0937" w:rsidRPr="00080BA6">
              <w:rPr>
                <w:rFonts w:hint="eastAsia"/>
                <w:kern w:val="0"/>
                <w:szCs w:val="21"/>
              </w:rPr>
              <w:t>年度山东省科学技术进步一等奖；“客户侧智慧用能服务管理平台关键技术及其应用”获得中国电子学会科技进步二等奖等</w:t>
            </w:r>
            <w:r w:rsidR="00122C62" w:rsidRPr="00080BA6">
              <w:rPr>
                <w:rFonts w:hint="eastAsia"/>
                <w:kern w:val="0"/>
                <w:szCs w:val="21"/>
              </w:rPr>
              <w:t>。</w:t>
            </w:r>
            <w:r w:rsidRPr="00651E2E">
              <w:rPr>
                <w:rFonts w:hint="eastAsia"/>
                <w:kern w:val="0"/>
                <w:szCs w:val="21"/>
              </w:rPr>
              <w:t>公司“山东省民生服务人工智能应用重点实验室”通过山东省重点实验室重组（第一批）拟批复筹建结果公示，为持续扩大技术和业务创新的领先优势，推动业务快速发展奠定良好基础</w:t>
            </w:r>
            <w:r w:rsidR="00114A9B">
              <w:rPr>
                <w:rFonts w:hint="eastAsia"/>
                <w:kern w:val="0"/>
                <w:szCs w:val="21"/>
              </w:rPr>
              <w:t>。</w:t>
            </w:r>
            <w:r w:rsidRPr="00651E2E">
              <w:rPr>
                <w:rFonts w:hint="eastAsia"/>
                <w:kern w:val="0"/>
                <w:szCs w:val="21"/>
              </w:rPr>
              <w:t>后续进展情况请持续</w:t>
            </w:r>
            <w:r w:rsidR="00572DD9">
              <w:rPr>
                <w:rFonts w:hint="eastAsia"/>
                <w:kern w:val="0"/>
                <w:szCs w:val="21"/>
              </w:rPr>
              <w:t>关注</w:t>
            </w:r>
            <w:r w:rsidRPr="00651E2E">
              <w:rPr>
                <w:rFonts w:hint="eastAsia"/>
                <w:kern w:val="0"/>
                <w:szCs w:val="21"/>
              </w:rPr>
              <w:t>公司发布的定期报告。感谢您的关注！</w:t>
            </w:r>
          </w:p>
        </w:tc>
      </w:tr>
      <w:tr w:rsidR="00E25146" w:rsidRPr="00B33DA0" w14:paraId="0E9FD84A" w14:textId="77777777" w:rsidTr="005B0D4F">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6BD346AB" w14:textId="77777777" w:rsidR="00E25146" w:rsidRPr="00B33DA0" w:rsidRDefault="0022633D">
            <w:pPr>
              <w:spacing w:line="480" w:lineRule="atLeast"/>
              <w:rPr>
                <w:b/>
                <w:bCs/>
                <w:iCs/>
                <w:color w:val="000000"/>
                <w:sz w:val="24"/>
              </w:rPr>
            </w:pPr>
            <w:r w:rsidRPr="00B33DA0">
              <w:rPr>
                <w:b/>
                <w:bCs/>
                <w:iCs/>
                <w:color w:val="000000"/>
                <w:sz w:val="24"/>
              </w:rPr>
              <w:lastRenderedPageBreak/>
              <w:t>附件清单（如有）</w:t>
            </w:r>
          </w:p>
        </w:tc>
        <w:tc>
          <w:tcPr>
            <w:tcW w:w="6854" w:type="dxa"/>
            <w:tcBorders>
              <w:top w:val="single" w:sz="4" w:space="0" w:color="auto"/>
              <w:left w:val="single" w:sz="4" w:space="0" w:color="auto"/>
              <w:bottom w:val="single" w:sz="4" w:space="0" w:color="auto"/>
              <w:right w:val="single" w:sz="4" w:space="0" w:color="auto"/>
            </w:tcBorders>
            <w:shd w:val="clear" w:color="auto" w:fill="auto"/>
            <w:vAlign w:val="center"/>
          </w:tcPr>
          <w:p w14:paraId="234AFB85" w14:textId="77777777" w:rsidR="00E25146" w:rsidRPr="00B33DA0" w:rsidRDefault="0022633D">
            <w:pPr>
              <w:spacing w:line="480" w:lineRule="atLeast"/>
              <w:rPr>
                <w:bCs/>
                <w:iCs/>
                <w:color w:val="000000"/>
                <w:sz w:val="24"/>
              </w:rPr>
            </w:pPr>
            <w:r w:rsidRPr="00B33DA0">
              <w:rPr>
                <w:bCs/>
                <w:iCs/>
                <w:color w:val="000000"/>
                <w:sz w:val="24"/>
              </w:rPr>
              <w:t>无</w:t>
            </w:r>
          </w:p>
        </w:tc>
      </w:tr>
      <w:tr w:rsidR="00E25146" w:rsidRPr="00B33DA0" w14:paraId="5F8B3BD7" w14:textId="77777777" w:rsidTr="005B0D4F">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2539407D" w14:textId="77777777" w:rsidR="00E25146" w:rsidRPr="00B33DA0" w:rsidRDefault="0022633D">
            <w:pPr>
              <w:spacing w:line="480" w:lineRule="atLeast"/>
              <w:rPr>
                <w:b/>
                <w:bCs/>
                <w:iCs/>
                <w:color w:val="000000"/>
                <w:sz w:val="24"/>
              </w:rPr>
            </w:pPr>
            <w:r w:rsidRPr="00B33DA0">
              <w:rPr>
                <w:b/>
                <w:bCs/>
                <w:iCs/>
                <w:color w:val="000000"/>
                <w:sz w:val="24"/>
              </w:rPr>
              <w:t>日期</w:t>
            </w:r>
          </w:p>
        </w:tc>
        <w:tc>
          <w:tcPr>
            <w:tcW w:w="6854" w:type="dxa"/>
            <w:tcBorders>
              <w:top w:val="single" w:sz="4" w:space="0" w:color="auto"/>
              <w:left w:val="single" w:sz="4" w:space="0" w:color="auto"/>
              <w:bottom w:val="single" w:sz="4" w:space="0" w:color="auto"/>
              <w:right w:val="single" w:sz="4" w:space="0" w:color="auto"/>
            </w:tcBorders>
            <w:shd w:val="clear" w:color="auto" w:fill="auto"/>
          </w:tcPr>
          <w:p w14:paraId="206BB854" w14:textId="2B6D790A" w:rsidR="00E25146" w:rsidRPr="00B33DA0" w:rsidRDefault="0022633D" w:rsidP="00651E2E">
            <w:pPr>
              <w:spacing w:line="480" w:lineRule="atLeast"/>
              <w:rPr>
                <w:bCs/>
                <w:iCs/>
                <w:color w:val="000000"/>
                <w:sz w:val="24"/>
              </w:rPr>
            </w:pPr>
            <w:r w:rsidRPr="00B33DA0">
              <w:rPr>
                <w:bCs/>
                <w:iCs/>
                <w:color w:val="000000"/>
                <w:sz w:val="24"/>
              </w:rPr>
              <w:t>202</w:t>
            </w:r>
            <w:r w:rsidR="005B0D4F">
              <w:rPr>
                <w:rFonts w:hint="eastAsia"/>
                <w:bCs/>
                <w:iCs/>
                <w:color w:val="000000"/>
                <w:sz w:val="24"/>
              </w:rPr>
              <w:t>4</w:t>
            </w:r>
            <w:r w:rsidRPr="00B33DA0">
              <w:rPr>
                <w:bCs/>
                <w:iCs/>
                <w:color w:val="000000"/>
                <w:sz w:val="24"/>
              </w:rPr>
              <w:t>年</w:t>
            </w:r>
            <w:r w:rsidR="00651E2E">
              <w:rPr>
                <w:bCs/>
                <w:iCs/>
                <w:color w:val="000000"/>
                <w:sz w:val="24"/>
              </w:rPr>
              <w:t>8</w:t>
            </w:r>
            <w:r w:rsidRPr="00B33DA0">
              <w:rPr>
                <w:bCs/>
                <w:iCs/>
                <w:color w:val="000000"/>
                <w:sz w:val="24"/>
              </w:rPr>
              <w:t>月</w:t>
            </w:r>
            <w:r w:rsidR="00651E2E">
              <w:rPr>
                <w:bCs/>
                <w:iCs/>
                <w:color w:val="000000"/>
                <w:sz w:val="24"/>
              </w:rPr>
              <w:t>19</w:t>
            </w:r>
            <w:r w:rsidRPr="00B33DA0">
              <w:rPr>
                <w:bCs/>
                <w:iCs/>
                <w:color w:val="000000"/>
                <w:sz w:val="24"/>
              </w:rPr>
              <w:t>日</w:t>
            </w:r>
          </w:p>
        </w:tc>
      </w:tr>
    </w:tbl>
    <w:p w14:paraId="7B839253" w14:textId="77777777" w:rsidR="00E25146" w:rsidRPr="00B33DA0" w:rsidRDefault="00E25146" w:rsidP="006B131C"/>
    <w:sectPr w:rsidR="00E25146" w:rsidRPr="00B33DA0">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6AE92" w16cex:dateUtc="2023-01-09T0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D2C3C3" w16cid:durableId="2766AE9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E9462" w14:textId="77777777" w:rsidR="00AE5189" w:rsidRDefault="00AE5189" w:rsidP="000659AC">
      <w:r>
        <w:separator/>
      </w:r>
    </w:p>
  </w:endnote>
  <w:endnote w:type="continuationSeparator" w:id="0">
    <w:p w14:paraId="10D3C0E9" w14:textId="77777777" w:rsidR="00AE5189" w:rsidRDefault="00AE5189" w:rsidP="00065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4F1C9" w14:textId="77777777" w:rsidR="00AE5189" w:rsidRDefault="00AE5189" w:rsidP="000659AC">
      <w:r>
        <w:separator/>
      </w:r>
    </w:p>
  </w:footnote>
  <w:footnote w:type="continuationSeparator" w:id="0">
    <w:p w14:paraId="5E0F9C16" w14:textId="77777777" w:rsidR="00AE5189" w:rsidRDefault="00AE5189" w:rsidP="000659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DD73F1"/>
    <w:multiLevelType w:val="hybridMultilevel"/>
    <w:tmpl w:val="A9221AF2"/>
    <w:lvl w:ilvl="0" w:tplc="133078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07D"/>
    <w:rsid w:val="00003F99"/>
    <w:rsid w:val="000054D8"/>
    <w:rsid w:val="00005DB8"/>
    <w:rsid w:val="00012669"/>
    <w:rsid w:val="00012D22"/>
    <w:rsid w:val="00017324"/>
    <w:rsid w:val="000229EE"/>
    <w:rsid w:val="000239FE"/>
    <w:rsid w:val="00032E4D"/>
    <w:rsid w:val="00034344"/>
    <w:rsid w:val="00041659"/>
    <w:rsid w:val="000659AC"/>
    <w:rsid w:val="00073A91"/>
    <w:rsid w:val="00075F96"/>
    <w:rsid w:val="00080BA6"/>
    <w:rsid w:val="00082EEC"/>
    <w:rsid w:val="00085BCA"/>
    <w:rsid w:val="00094451"/>
    <w:rsid w:val="00096C0B"/>
    <w:rsid w:val="00097515"/>
    <w:rsid w:val="000B432E"/>
    <w:rsid w:val="000E59E1"/>
    <w:rsid w:val="000F35C3"/>
    <w:rsid w:val="00107043"/>
    <w:rsid w:val="00111DD6"/>
    <w:rsid w:val="00114A9B"/>
    <w:rsid w:val="001157A9"/>
    <w:rsid w:val="00122C62"/>
    <w:rsid w:val="001417C0"/>
    <w:rsid w:val="00145ED7"/>
    <w:rsid w:val="00147711"/>
    <w:rsid w:val="00154A67"/>
    <w:rsid w:val="00155CEE"/>
    <w:rsid w:val="001607CC"/>
    <w:rsid w:val="00164C2B"/>
    <w:rsid w:val="00172A27"/>
    <w:rsid w:val="001A2E1E"/>
    <w:rsid w:val="001B4328"/>
    <w:rsid w:val="001C4004"/>
    <w:rsid w:val="001C765E"/>
    <w:rsid w:val="001D3B4A"/>
    <w:rsid w:val="0020106C"/>
    <w:rsid w:val="00212CAD"/>
    <w:rsid w:val="002158BA"/>
    <w:rsid w:val="0022633D"/>
    <w:rsid w:val="0023426F"/>
    <w:rsid w:val="00246AF3"/>
    <w:rsid w:val="002526E1"/>
    <w:rsid w:val="00255D6E"/>
    <w:rsid w:val="00260F4B"/>
    <w:rsid w:val="002835F9"/>
    <w:rsid w:val="002903BE"/>
    <w:rsid w:val="00293E36"/>
    <w:rsid w:val="00295CED"/>
    <w:rsid w:val="002A1F6D"/>
    <w:rsid w:val="002A2C74"/>
    <w:rsid w:val="002A356D"/>
    <w:rsid w:val="002B60CD"/>
    <w:rsid w:val="002C54FA"/>
    <w:rsid w:val="002D3BED"/>
    <w:rsid w:val="002D567A"/>
    <w:rsid w:val="002D7C22"/>
    <w:rsid w:val="002E2A0C"/>
    <w:rsid w:val="002F3005"/>
    <w:rsid w:val="002F515A"/>
    <w:rsid w:val="003035EA"/>
    <w:rsid w:val="0030465F"/>
    <w:rsid w:val="00307541"/>
    <w:rsid w:val="00324358"/>
    <w:rsid w:val="00325B15"/>
    <w:rsid w:val="00335B3C"/>
    <w:rsid w:val="0034689D"/>
    <w:rsid w:val="0035185E"/>
    <w:rsid w:val="00357775"/>
    <w:rsid w:val="003609BA"/>
    <w:rsid w:val="003A0B0E"/>
    <w:rsid w:val="003A6432"/>
    <w:rsid w:val="003B5E08"/>
    <w:rsid w:val="003B6C1E"/>
    <w:rsid w:val="003C351B"/>
    <w:rsid w:val="003C69D2"/>
    <w:rsid w:val="003D1E42"/>
    <w:rsid w:val="003D7BCB"/>
    <w:rsid w:val="003E70FC"/>
    <w:rsid w:val="0040228A"/>
    <w:rsid w:val="00405BEA"/>
    <w:rsid w:val="00406783"/>
    <w:rsid w:val="00416C80"/>
    <w:rsid w:val="00427210"/>
    <w:rsid w:val="004314E7"/>
    <w:rsid w:val="0045267B"/>
    <w:rsid w:val="00455B0A"/>
    <w:rsid w:val="00467622"/>
    <w:rsid w:val="00476573"/>
    <w:rsid w:val="004866A6"/>
    <w:rsid w:val="00490B39"/>
    <w:rsid w:val="004B17F1"/>
    <w:rsid w:val="004C29AF"/>
    <w:rsid w:val="004D519E"/>
    <w:rsid w:val="004D6884"/>
    <w:rsid w:val="004E5E76"/>
    <w:rsid w:val="004F357A"/>
    <w:rsid w:val="00502AEF"/>
    <w:rsid w:val="0050543B"/>
    <w:rsid w:val="00505535"/>
    <w:rsid w:val="005066C0"/>
    <w:rsid w:val="005160D5"/>
    <w:rsid w:val="0052015D"/>
    <w:rsid w:val="00534E02"/>
    <w:rsid w:val="00540FB6"/>
    <w:rsid w:val="0055220A"/>
    <w:rsid w:val="005542A1"/>
    <w:rsid w:val="00560897"/>
    <w:rsid w:val="005649B8"/>
    <w:rsid w:val="00571BD9"/>
    <w:rsid w:val="00572DD9"/>
    <w:rsid w:val="00581DD1"/>
    <w:rsid w:val="00583E09"/>
    <w:rsid w:val="00593A82"/>
    <w:rsid w:val="005950F5"/>
    <w:rsid w:val="00595676"/>
    <w:rsid w:val="00596F6A"/>
    <w:rsid w:val="005B07A0"/>
    <w:rsid w:val="005B0D4F"/>
    <w:rsid w:val="005B17A3"/>
    <w:rsid w:val="005C2218"/>
    <w:rsid w:val="005D1BEB"/>
    <w:rsid w:val="005F2733"/>
    <w:rsid w:val="00616197"/>
    <w:rsid w:val="00617D60"/>
    <w:rsid w:val="006266CB"/>
    <w:rsid w:val="00644401"/>
    <w:rsid w:val="00651E2E"/>
    <w:rsid w:val="00652AE8"/>
    <w:rsid w:val="00667163"/>
    <w:rsid w:val="006903D5"/>
    <w:rsid w:val="006A26B0"/>
    <w:rsid w:val="006A3CAC"/>
    <w:rsid w:val="006A7479"/>
    <w:rsid w:val="006A78DE"/>
    <w:rsid w:val="006B131C"/>
    <w:rsid w:val="006B3FC5"/>
    <w:rsid w:val="006C37A2"/>
    <w:rsid w:val="006D24D3"/>
    <w:rsid w:val="00721DC3"/>
    <w:rsid w:val="007321DA"/>
    <w:rsid w:val="0073648C"/>
    <w:rsid w:val="00752966"/>
    <w:rsid w:val="00770038"/>
    <w:rsid w:val="007801E6"/>
    <w:rsid w:val="007C76F1"/>
    <w:rsid w:val="007D2898"/>
    <w:rsid w:val="007D4981"/>
    <w:rsid w:val="007E67EF"/>
    <w:rsid w:val="007F6A89"/>
    <w:rsid w:val="00811CA8"/>
    <w:rsid w:val="00835DFC"/>
    <w:rsid w:val="00840CEA"/>
    <w:rsid w:val="008435BA"/>
    <w:rsid w:val="00847174"/>
    <w:rsid w:val="008576FF"/>
    <w:rsid w:val="0086432C"/>
    <w:rsid w:val="00897056"/>
    <w:rsid w:val="008A0452"/>
    <w:rsid w:val="008B0754"/>
    <w:rsid w:val="008D2C64"/>
    <w:rsid w:val="008E575E"/>
    <w:rsid w:val="0091405D"/>
    <w:rsid w:val="00917FE2"/>
    <w:rsid w:val="00937065"/>
    <w:rsid w:val="00937C87"/>
    <w:rsid w:val="00943D5A"/>
    <w:rsid w:val="00946298"/>
    <w:rsid w:val="0095232E"/>
    <w:rsid w:val="00952CA5"/>
    <w:rsid w:val="00961FE5"/>
    <w:rsid w:val="00964511"/>
    <w:rsid w:val="009871E0"/>
    <w:rsid w:val="00993EED"/>
    <w:rsid w:val="009967E3"/>
    <w:rsid w:val="009A490D"/>
    <w:rsid w:val="009B0B11"/>
    <w:rsid w:val="009B0FCF"/>
    <w:rsid w:val="009C50E9"/>
    <w:rsid w:val="009E5505"/>
    <w:rsid w:val="009E743C"/>
    <w:rsid w:val="00A05500"/>
    <w:rsid w:val="00A11435"/>
    <w:rsid w:val="00A2253D"/>
    <w:rsid w:val="00A23AF5"/>
    <w:rsid w:val="00A326B0"/>
    <w:rsid w:val="00A37453"/>
    <w:rsid w:val="00A42CE5"/>
    <w:rsid w:val="00A4556A"/>
    <w:rsid w:val="00A47FBE"/>
    <w:rsid w:val="00A6539A"/>
    <w:rsid w:val="00A6568B"/>
    <w:rsid w:val="00AB3247"/>
    <w:rsid w:val="00AC7C57"/>
    <w:rsid w:val="00AD4DF3"/>
    <w:rsid w:val="00AD4E41"/>
    <w:rsid w:val="00AE1390"/>
    <w:rsid w:val="00AE4ED3"/>
    <w:rsid w:val="00AE5189"/>
    <w:rsid w:val="00AF45A6"/>
    <w:rsid w:val="00AF466C"/>
    <w:rsid w:val="00B115F6"/>
    <w:rsid w:val="00B226AF"/>
    <w:rsid w:val="00B24B30"/>
    <w:rsid w:val="00B26A5B"/>
    <w:rsid w:val="00B33DA0"/>
    <w:rsid w:val="00B41C88"/>
    <w:rsid w:val="00B75ACD"/>
    <w:rsid w:val="00B81A55"/>
    <w:rsid w:val="00B8594A"/>
    <w:rsid w:val="00B9383B"/>
    <w:rsid w:val="00B96E31"/>
    <w:rsid w:val="00BA5DE2"/>
    <w:rsid w:val="00BD2A0C"/>
    <w:rsid w:val="00BF61B6"/>
    <w:rsid w:val="00C049D3"/>
    <w:rsid w:val="00C04C36"/>
    <w:rsid w:val="00C22C72"/>
    <w:rsid w:val="00C231FB"/>
    <w:rsid w:val="00C274B1"/>
    <w:rsid w:val="00C30236"/>
    <w:rsid w:val="00C554D5"/>
    <w:rsid w:val="00C63756"/>
    <w:rsid w:val="00C844A2"/>
    <w:rsid w:val="00C97369"/>
    <w:rsid w:val="00CA5609"/>
    <w:rsid w:val="00CA6658"/>
    <w:rsid w:val="00CA7286"/>
    <w:rsid w:val="00CB068A"/>
    <w:rsid w:val="00CC0793"/>
    <w:rsid w:val="00CD1D79"/>
    <w:rsid w:val="00CD7A45"/>
    <w:rsid w:val="00CE38FA"/>
    <w:rsid w:val="00CF0937"/>
    <w:rsid w:val="00CF1F10"/>
    <w:rsid w:val="00CF7A77"/>
    <w:rsid w:val="00D039FA"/>
    <w:rsid w:val="00D2001C"/>
    <w:rsid w:val="00D230B9"/>
    <w:rsid w:val="00D24EA8"/>
    <w:rsid w:val="00D26F5D"/>
    <w:rsid w:val="00D318AE"/>
    <w:rsid w:val="00D509D8"/>
    <w:rsid w:val="00D5312E"/>
    <w:rsid w:val="00D818B3"/>
    <w:rsid w:val="00D9310E"/>
    <w:rsid w:val="00D94CD2"/>
    <w:rsid w:val="00DA041C"/>
    <w:rsid w:val="00DA4F8C"/>
    <w:rsid w:val="00DB361F"/>
    <w:rsid w:val="00DB529B"/>
    <w:rsid w:val="00DB554E"/>
    <w:rsid w:val="00DB6F60"/>
    <w:rsid w:val="00DC5B64"/>
    <w:rsid w:val="00DD04AE"/>
    <w:rsid w:val="00DD76C7"/>
    <w:rsid w:val="00DF0628"/>
    <w:rsid w:val="00DF1C03"/>
    <w:rsid w:val="00E14D82"/>
    <w:rsid w:val="00E25146"/>
    <w:rsid w:val="00E32BC0"/>
    <w:rsid w:val="00E348CA"/>
    <w:rsid w:val="00E35638"/>
    <w:rsid w:val="00E36E81"/>
    <w:rsid w:val="00E45E61"/>
    <w:rsid w:val="00E52443"/>
    <w:rsid w:val="00E60A5E"/>
    <w:rsid w:val="00E80C1D"/>
    <w:rsid w:val="00E95E1E"/>
    <w:rsid w:val="00EA0FDF"/>
    <w:rsid w:val="00EA2DFE"/>
    <w:rsid w:val="00EA7A06"/>
    <w:rsid w:val="00EB0D2E"/>
    <w:rsid w:val="00EB2A11"/>
    <w:rsid w:val="00EC3453"/>
    <w:rsid w:val="00EC5BD8"/>
    <w:rsid w:val="00ED2EED"/>
    <w:rsid w:val="00ED430E"/>
    <w:rsid w:val="00EF2BA3"/>
    <w:rsid w:val="00EF4BE3"/>
    <w:rsid w:val="00F06A48"/>
    <w:rsid w:val="00F12FC4"/>
    <w:rsid w:val="00F25901"/>
    <w:rsid w:val="00F36533"/>
    <w:rsid w:val="00F40CB4"/>
    <w:rsid w:val="00F4601E"/>
    <w:rsid w:val="00F46CF9"/>
    <w:rsid w:val="00F514E1"/>
    <w:rsid w:val="00F52578"/>
    <w:rsid w:val="00F65ED0"/>
    <w:rsid w:val="00F73330"/>
    <w:rsid w:val="00F737C6"/>
    <w:rsid w:val="00F75A3A"/>
    <w:rsid w:val="00F83368"/>
    <w:rsid w:val="00F86ABB"/>
    <w:rsid w:val="00F90C2F"/>
    <w:rsid w:val="00F9147D"/>
    <w:rsid w:val="00FC242E"/>
    <w:rsid w:val="00FD4F8D"/>
    <w:rsid w:val="00FF3FC0"/>
    <w:rsid w:val="017C218C"/>
    <w:rsid w:val="02E059CF"/>
    <w:rsid w:val="04DD7874"/>
    <w:rsid w:val="05792092"/>
    <w:rsid w:val="05D54149"/>
    <w:rsid w:val="062F43BA"/>
    <w:rsid w:val="09D348B1"/>
    <w:rsid w:val="0D0A1680"/>
    <w:rsid w:val="0D13590C"/>
    <w:rsid w:val="0E7171E8"/>
    <w:rsid w:val="0EBA4686"/>
    <w:rsid w:val="0F0D5869"/>
    <w:rsid w:val="0F2F043F"/>
    <w:rsid w:val="0F9F6324"/>
    <w:rsid w:val="0FC12AFB"/>
    <w:rsid w:val="105529E7"/>
    <w:rsid w:val="10831533"/>
    <w:rsid w:val="10C1507B"/>
    <w:rsid w:val="11435B03"/>
    <w:rsid w:val="115740BA"/>
    <w:rsid w:val="120F0EA2"/>
    <w:rsid w:val="1A2051BC"/>
    <w:rsid w:val="1B7C4083"/>
    <w:rsid w:val="1CDC20C1"/>
    <w:rsid w:val="1F485402"/>
    <w:rsid w:val="21491A10"/>
    <w:rsid w:val="23747B0C"/>
    <w:rsid w:val="27440C41"/>
    <w:rsid w:val="294540FB"/>
    <w:rsid w:val="2C5B66BA"/>
    <w:rsid w:val="2F972795"/>
    <w:rsid w:val="31001886"/>
    <w:rsid w:val="318110BF"/>
    <w:rsid w:val="33586D8E"/>
    <w:rsid w:val="35200D87"/>
    <w:rsid w:val="36CA6911"/>
    <w:rsid w:val="371074FA"/>
    <w:rsid w:val="39B24207"/>
    <w:rsid w:val="3A192C31"/>
    <w:rsid w:val="3C3C4380"/>
    <w:rsid w:val="3F0C26AE"/>
    <w:rsid w:val="3F3477A7"/>
    <w:rsid w:val="40875240"/>
    <w:rsid w:val="41632A15"/>
    <w:rsid w:val="41A8467E"/>
    <w:rsid w:val="444512F3"/>
    <w:rsid w:val="447503FC"/>
    <w:rsid w:val="44A60C4E"/>
    <w:rsid w:val="453768D9"/>
    <w:rsid w:val="46EB24D5"/>
    <w:rsid w:val="46EF081D"/>
    <w:rsid w:val="48D10FD6"/>
    <w:rsid w:val="4A3D3E7E"/>
    <w:rsid w:val="4BD20151"/>
    <w:rsid w:val="4C197322"/>
    <w:rsid w:val="4CA51217"/>
    <w:rsid w:val="4DA97839"/>
    <w:rsid w:val="50004F42"/>
    <w:rsid w:val="500C4FA4"/>
    <w:rsid w:val="502C5C48"/>
    <w:rsid w:val="52453FF9"/>
    <w:rsid w:val="53F53ABB"/>
    <w:rsid w:val="54634413"/>
    <w:rsid w:val="555346F8"/>
    <w:rsid w:val="56962AF5"/>
    <w:rsid w:val="569A6C70"/>
    <w:rsid w:val="56DB6A72"/>
    <w:rsid w:val="57FE4209"/>
    <w:rsid w:val="58265344"/>
    <w:rsid w:val="58C52D3E"/>
    <w:rsid w:val="5C500B2A"/>
    <w:rsid w:val="5DFE07D9"/>
    <w:rsid w:val="60737435"/>
    <w:rsid w:val="60B66A03"/>
    <w:rsid w:val="639F79B0"/>
    <w:rsid w:val="643F1577"/>
    <w:rsid w:val="64723F99"/>
    <w:rsid w:val="6547744E"/>
    <w:rsid w:val="65E86CED"/>
    <w:rsid w:val="66480F98"/>
    <w:rsid w:val="66DB019B"/>
    <w:rsid w:val="66FD46E6"/>
    <w:rsid w:val="680336F8"/>
    <w:rsid w:val="6A450242"/>
    <w:rsid w:val="6A635436"/>
    <w:rsid w:val="6A7A66D6"/>
    <w:rsid w:val="6C7861D5"/>
    <w:rsid w:val="6D5F0382"/>
    <w:rsid w:val="707462B0"/>
    <w:rsid w:val="70963828"/>
    <w:rsid w:val="70B60EA2"/>
    <w:rsid w:val="71677AC4"/>
    <w:rsid w:val="739B6FBB"/>
    <w:rsid w:val="73B2115E"/>
    <w:rsid w:val="743162AD"/>
    <w:rsid w:val="7437386A"/>
    <w:rsid w:val="7474635F"/>
    <w:rsid w:val="75E40551"/>
    <w:rsid w:val="783A3E62"/>
    <w:rsid w:val="789C31F3"/>
    <w:rsid w:val="7A696044"/>
    <w:rsid w:val="7DF34439"/>
    <w:rsid w:val="7DFF6C1C"/>
    <w:rsid w:val="7E2C0AEF"/>
    <w:rsid w:val="7E5A765A"/>
    <w:rsid w:val="7EEB3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24F01F"/>
  <w15:docId w15:val="{86072BBF-CA50-4CE6-A562-48C14D0E9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Hyperlink"/>
    <w:basedOn w:val="a0"/>
    <w:uiPriority w:val="99"/>
    <w:unhideWhenUsed/>
    <w:qFormat/>
    <w:rPr>
      <w:color w:val="0000FF" w:themeColor="hyperlink"/>
      <w:u w:val="single"/>
    </w:r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a4">
    <w:name w:val="批注文字 字符"/>
    <w:basedOn w:val="a0"/>
    <w:link w:val="a3"/>
    <w:uiPriority w:val="99"/>
    <w:semiHidden/>
    <w:qFormat/>
    <w:rPr>
      <w:rFonts w:ascii="Times New Roman" w:eastAsia="宋体" w:hAnsi="Times New Roman" w:cs="Times New Roman"/>
      <w:szCs w:val="24"/>
    </w:rPr>
  </w:style>
  <w:style w:type="character" w:customStyle="1" w:styleId="ac">
    <w:name w:val="批注主题 字符"/>
    <w:basedOn w:val="a4"/>
    <w:link w:val="ab"/>
    <w:uiPriority w:val="99"/>
    <w:semiHidden/>
    <w:qFormat/>
    <w:rPr>
      <w:rFonts w:ascii="Times New Roman" w:eastAsia="宋体" w:hAnsi="Times New Roman" w:cs="Times New Roman"/>
      <w:b/>
      <w:bCs/>
      <w:szCs w:val="24"/>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styleId="af">
    <w:name w:val="Revision"/>
    <w:hidden/>
    <w:uiPriority w:val="99"/>
    <w:semiHidden/>
    <w:rsid w:val="009E5505"/>
    <w:rPr>
      <w:kern w:val="2"/>
      <w:sz w:val="21"/>
      <w:szCs w:val="24"/>
    </w:rPr>
  </w:style>
  <w:style w:type="paragraph" w:styleId="af0">
    <w:name w:val="List Paragraph"/>
    <w:basedOn w:val="a"/>
    <w:uiPriority w:val="99"/>
    <w:rsid w:val="0035185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E65E52-6B55-4A11-8AAF-4A7BBD942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656</Words>
  <Characters>3741</Characters>
  <Application>Microsoft Office Word</Application>
  <DocSecurity>0</DocSecurity>
  <Lines>31</Lines>
  <Paragraphs>8</Paragraphs>
  <ScaleCrop>false</ScaleCrop>
  <Company>Microsoft</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skd004</dc:creator>
  <cp:lastModifiedBy>Sameen Zhao</cp:lastModifiedBy>
  <cp:revision>17</cp:revision>
  <dcterms:created xsi:type="dcterms:W3CDTF">2023-05-25T06:46:00Z</dcterms:created>
  <dcterms:modified xsi:type="dcterms:W3CDTF">2024-08-20T07:26:00Z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D34BBF9ECE2F432CAD47FD3D878494B2</vt:lpwstr>
  </property>
</Properties>
</file>