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AB0C">
      <w:pPr>
        <w:autoSpaceDE/>
        <w:autoSpaceDN/>
        <w:spacing w:line="360" w:lineRule="auto"/>
        <w:ind w:firstLine="0" w:firstLineChars="0"/>
        <w:jc w:val="both"/>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证券代码：688648                                    证券简称：中邮科技</w:t>
      </w:r>
    </w:p>
    <w:p w14:paraId="18A5E831">
      <w:pPr>
        <w:spacing w:line="360" w:lineRule="auto"/>
        <w:jc w:val="center"/>
        <w:rPr>
          <w:rFonts w:hint="eastAsia" w:ascii="宋体" w:hAnsi="宋体" w:eastAsia="宋体" w:cs="宋体"/>
          <w:b/>
          <w:bCs/>
          <w:sz w:val="28"/>
          <w:szCs w:val="28"/>
        </w:rPr>
      </w:pPr>
    </w:p>
    <w:p w14:paraId="2FC96ACE">
      <w:pPr>
        <w:autoSpaceDE/>
        <w:autoSpaceDN/>
        <w:spacing w:line="360" w:lineRule="auto"/>
        <w:jc w:val="center"/>
        <w:rPr>
          <w:rFonts w:hint="eastAsia" w:ascii="仿宋" w:hAnsi="仿宋" w:eastAsia="仿宋" w:cs="仿宋"/>
          <w:b/>
          <w:bCs/>
          <w:iCs/>
          <w:color w:val="000000"/>
          <w:kern w:val="2"/>
          <w:sz w:val="28"/>
          <w:szCs w:val="28"/>
          <w:lang w:val="en-US" w:eastAsia="zh-CN" w:bidi="ar-SA"/>
        </w:rPr>
      </w:pPr>
      <w:r>
        <w:rPr>
          <w:rFonts w:hint="eastAsia" w:ascii="仿宋" w:hAnsi="仿宋" w:eastAsia="仿宋" w:cs="仿宋"/>
          <w:b/>
          <w:bCs/>
          <w:iCs/>
          <w:color w:val="000000"/>
          <w:kern w:val="2"/>
          <w:sz w:val="28"/>
          <w:szCs w:val="28"/>
          <w:lang w:val="en-US" w:eastAsia="zh-CN" w:bidi="ar-SA"/>
        </w:rPr>
        <w:t>中邮科技股份有限公司</w:t>
      </w:r>
    </w:p>
    <w:p w14:paraId="5D1333DB">
      <w:pPr>
        <w:autoSpaceDE/>
        <w:autoSpaceDN/>
        <w:spacing w:line="360" w:lineRule="auto"/>
        <w:jc w:val="center"/>
        <w:rPr>
          <w:rFonts w:hint="eastAsia" w:ascii="仿宋" w:hAnsi="仿宋" w:eastAsia="仿宋" w:cs="仿宋"/>
          <w:b/>
          <w:bCs/>
          <w:iCs/>
          <w:color w:val="000000"/>
          <w:kern w:val="2"/>
          <w:sz w:val="28"/>
          <w:szCs w:val="28"/>
          <w:lang w:val="en-US" w:eastAsia="zh-CN" w:bidi="ar-SA"/>
        </w:rPr>
      </w:pPr>
      <w:r>
        <w:rPr>
          <w:rFonts w:hint="eastAsia" w:ascii="仿宋" w:hAnsi="仿宋" w:eastAsia="仿宋" w:cs="仿宋"/>
          <w:b/>
          <w:bCs/>
          <w:iCs/>
          <w:color w:val="000000"/>
          <w:kern w:val="2"/>
          <w:sz w:val="28"/>
          <w:szCs w:val="28"/>
          <w:lang w:val="en-US" w:eastAsia="zh-CN" w:bidi="ar-SA"/>
        </w:rPr>
        <w:t>投资者关系活动记录表</w:t>
      </w:r>
    </w:p>
    <w:p w14:paraId="44B93C4A">
      <w:pPr>
        <w:autoSpaceDE/>
        <w:autoSpaceDN/>
        <w:spacing w:line="400" w:lineRule="exact"/>
        <w:ind w:firstLine="480" w:firstLineChars="200"/>
        <w:jc w:val="right"/>
        <w:rPr>
          <w:rFonts w:hint="default" w:ascii="仿宋" w:hAnsi="仿宋" w:eastAsia="仿宋" w:cs="仿宋"/>
          <w:bCs/>
          <w:iCs/>
          <w:color w:val="000000"/>
          <w:kern w:val="2"/>
          <w:sz w:val="24"/>
          <w:szCs w:val="24"/>
          <w:lang w:val="en-US" w:eastAsia="zh-CN" w:bidi="ar-SA"/>
        </w:rPr>
      </w:pPr>
      <w:r>
        <w:rPr>
          <w:rFonts w:hint="eastAsia" w:ascii="仿宋" w:hAnsi="仿宋" w:eastAsia="仿宋" w:cs="仿宋"/>
          <w:bCs/>
          <w:iCs/>
          <w:color w:val="000000"/>
          <w:kern w:val="2"/>
          <w:sz w:val="24"/>
          <w:szCs w:val="24"/>
          <w:lang w:val="en-US" w:bidi="ar-SA"/>
        </w:rPr>
        <w:t>编号：2024-</w:t>
      </w:r>
      <w:r>
        <w:rPr>
          <w:rFonts w:hint="eastAsia" w:ascii="仿宋" w:hAnsi="仿宋" w:eastAsia="仿宋" w:cs="仿宋"/>
          <w:bCs/>
          <w:iCs/>
          <w:color w:val="000000"/>
          <w:kern w:val="2"/>
          <w:sz w:val="24"/>
          <w:szCs w:val="24"/>
          <w:lang w:val="en-US" w:eastAsia="zh-CN" w:bidi="ar-SA"/>
        </w:rPr>
        <w:t>002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1A9E9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055" w:hRule="atLeast"/>
          <w:jc w:val="center"/>
        </w:trPr>
        <w:tc>
          <w:tcPr>
            <w:tcW w:w="2580" w:type="dxa"/>
            <w:vAlign w:val="center"/>
          </w:tcPr>
          <w:p w14:paraId="114AB3A9">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p>
          <w:p w14:paraId="79DB0686">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投资者关系活动类别</w:t>
            </w:r>
          </w:p>
        </w:tc>
        <w:tc>
          <w:tcPr>
            <w:tcW w:w="5945" w:type="dxa"/>
          </w:tcPr>
          <w:p w14:paraId="6296425B">
            <w:pPr>
              <w:pStyle w:val="12"/>
              <w:keepNext w:val="0"/>
              <w:keepLines w:val="0"/>
              <w:pageBreakBefore w:val="0"/>
              <w:widowControl w:val="0"/>
              <w:kinsoku/>
              <w:wordWrap/>
              <w:overflowPunct/>
              <w:topLinePunct w:val="0"/>
              <w:autoSpaceDE w:val="0"/>
              <w:autoSpaceDN w:val="0"/>
              <w:bidi w:val="0"/>
              <w:adjustRightInd/>
              <w:snapToGrid/>
              <w:spacing w:before="7"/>
              <w:textAlignment w:val="auto"/>
              <w:rPr>
                <w:rFonts w:hint="eastAsia" w:ascii="仿宋" w:hAnsi="仿宋" w:eastAsia="仿宋" w:cs="仿宋"/>
                <w:sz w:val="24"/>
                <w:szCs w:val="24"/>
              </w:rPr>
            </w:pPr>
          </w:p>
          <w:p w14:paraId="79E10515">
            <w:pPr>
              <w:pStyle w:val="12"/>
              <w:keepNext w:val="0"/>
              <w:keepLines w:val="0"/>
              <w:pageBreakBefore w:val="0"/>
              <w:widowControl w:val="0"/>
              <w:tabs>
                <w:tab w:val="left" w:pos="2418"/>
              </w:tabs>
              <w:kinsoku/>
              <w:wordWrap/>
              <w:overflowPunct/>
              <w:topLinePunct w:val="0"/>
              <w:autoSpaceDE w:val="0"/>
              <w:autoSpaceDN w:val="0"/>
              <w:bidi w:val="0"/>
              <w:adjustRightInd/>
              <w:snapToGrid/>
              <w:spacing w:before="1" w:line="360" w:lineRule="auto"/>
              <w:ind w:left="107"/>
              <w:textAlignment w:val="auto"/>
              <w:rPr>
                <w:rFonts w:hint="eastAsia" w:ascii="仿宋" w:hAnsi="仿宋" w:eastAsia="仿宋" w:cs="仿宋"/>
                <w:sz w:val="24"/>
                <w:szCs w:val="24"/>
              </w:rPr>
            </w:pPr>
            <w:sdt>
              <w:sdtPr>
                <w:rPr>
                  <w:rFonts w:hint="eastAsia" w:ascii="仿宋" w:hAnsi="仿宋" w:eastAsia="仿宋" w:cs="仿宋"/>
                  <w:sz w:val="24"/>
                  <w:szCs w:val="24"/>
                </w:rPr>
                <w:id w:val="249780449"/>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特</w:t>
            </w:r>
            <w:r>
              <w:rPr>
                <w:rFonts w:hint="eastAsia" w:ascii="仿宋" w:hAnsi="仿宋" w:eastAsia="仿宋" w:cs="仿宋"/>
                <w:spacing w:val="-3"/>
                <w:sz w:val="24"/>
                <w:szCs w:val="24"/>
              </w:rPr>
              <w:t>定</w:t>
            </w:r>
            <w:r>
              <w:rPr>
                <w:rFonts w:hint="eastAsia" w:ascii="仿宋" w:hAnsi="仿宋" w:eastAsia="仿宋" w:cs="仿宋"/>
                <w:sz w:val="24"/>
                <w:szCs w:val="24"/>
              </w:rPr>
              <w:t>对</w:t>
            </w:r>
            <w:r>
              <w:rPr>
                <w:rFonts w:hint="eastAsia" w:ascii="仿宋" w:hAnsi="仿宋" w:eastAsia="仿宋" w:cs="仿宋"/>
                <w:spacing w:val="-3"/>
                <w:sz w:val="24"/>
                <w:szCs w:val="24"/>
              </w:rPr>
              <w:t>象</w:t>
            </w:r>
            <w:r>
              <w:rPr>
                <w:rFonts w:hint="eastAsia" w:ascii="仿宋" w:hAnsi="仿宋" w:eastAsia="仿宋" w:cs="仿宋"/>
                <w:sz w:val="24"/>
                <w:szCs w:val="24"/>
              </w:rPr>
              <w:t>调研</w:t>
            </w:r>
            <w:r>
              <w:rPr>
                <w:rFonts w:hint="eastAsia" w:ascii="仿宋" w:hAnsi="仿宋" w:eastAsia="仿宋" w:cs="仿宋"/>
                <w:sz w:val="24"/>
                <w:szCs w:val="24"/>
              </w:rPr>
              <w:tab/>
            </w:r>
            <w:sdt>
              <w:sdtPr>
                <w:rPr>
                  <w:rFonts w:hint="eastAsia" w:ascii="仿宋" w:hAnsi="仿宋" w:eastAsia="仿宋" w:cs="仿宋"/>
                  <w:sz w:val="24"/>
                  <w:szCs w:val="24"/>
                </w:rPr>
                <w:id w:val="-416875725"/>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分</w:t>
            </w:r>
            <w:r>
              <w:rPr>
                <w:rFonts w:hint="eastAsia" w:ascii="仿宋" w:hAnsi="仿宋" w:eastAsia="仿宋" w:cs="仿宋"/>
                <w:spacing w:val="-3"/>
                <w:sz w:val="24"/>
                <w:szCs w:val="24"/>
              </w:rPr>
              <w:t>析</w:t>
            </w:r>
            <w:r>
              <w:rPr>
                <w:rFonts w:hint="eastAsia" w:ascii="仿宋" w:hAnsi="仿宋" w:eastAsia="仿宋" w:cs="仿宋"/>
                <w:sz w:val="24"/>
                <w:szCs w:val="24"/>
              </w:rPr>
              <w:t>师</w:t>
            </w:r>
            <w:r>
              <w:rPr>
                <w:rFonts w:hint="eastAsia" w:ascii="仿宋" w:hAnsi="仿宋" w:eastAsia="仿宋" w:cs="仿宋"/>
                <w:spacing w:val="-3"/>
                <w:sz w:val="24"/>
                <w:szCs w:val="24"/>
              </w:rPr>
              <w:t>会</w:t>
            </w:r>
            <w:r>
              <w:rPr>
                <w:rFonts w:hint="eastAsia" w:ascii="仿宋" w:hAnsi="仿宋" w:eastAsia="仿宋" w:cs="仿宋"/>
                <w:sz w:val="24"/>
                <w:szCs w:val="24"/>
              </w:rPr>
              <w:t>议</w:t>
            </w:r>
          </w:p>
          <w:p w14:paraId="60C3F3B2">
            <w:pPr>
              <w:pStyle w:val="12"/>
              <w:keepNext w:val="0"/>
              <w:keepLines w:val="0"/>
              <w:pageBreakBefore w:val="0"/>
              <w:widowControl w:val="0"/>
              <w:tabs>
                <w:tab w:val="left" w:pos="2418"/>
              </w:tabs>
              <w:kinsoku/>
              <w:wordWrap/>
              <w:overflowPunct/>
              <w:topLinePunct w:val="0"/>
              <w:autoSpaceDE w:val="0"/>
              <w:autoSpaceDN w:val="0"/>
              <w:bidi w:val="0"/>
              <w:adjustRightInd/>
              <w:snapToGrid/>
              <w:spacing w:line="360" w:lineRule="auto"/>
              <w:ind w:left="107"/>
              <w:textAlignment w:val="auto"/>
              <w:rPr>
                <w:rFonts w:hint="eastAsia" w:ascii="仿宋" w:hAnsi="仿宋" w:eastAsia="仿宋" w:cs="仿宋"/>
                <w:sz w:val="24"/>
                <w:szCs w:val="24"/>
              </w:rPr>
            </w:pPr>
            <w:sdt>
              <w:sdtPr>
                <w:rPr>
                  <w:rFonts w:hint="eastAsia" w:ascii="仿宋" w:hAnsi="仿宋" w:eastAsia="仿宋" w:cs="仿宋"/>
                  <w:sz w:val="24"/>
                  <w:szCs w:val="24"/>
                </w:rPr>
                <w:id w:val="1206906014"/>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媒</w:t>
            </w:r>
            <w:r>
              <w:rPr>
                <w:rFonts w:hint="eastAsia" w:ascii="仿宋" w:hAnsi="仿宋" w:eastAsia="仿宋" w:cs="仿宋"/>
                <w:spacing w:val="-3"/>
                <w:sz w:val="24"/>
                <w:szCs w:val="24"/>
              </w:rPr>
              <w:t>体</w:t>
            </w:r>
            <w:r>
              <w:rPr>
                <w:rFonts w:hint="eastAsia" w:ascii="仿宋" w:hAnsi="仿宋" w:eastAsia="仿宋" w:cs="仿宋"/>
                <w:sz w:val="24"/>
                <w:szCs w:val="24"/>
              </w:rPr>
              <w:t>采访</w:t>
            </w:r>
            <w:r>
              <w:rPr>
                <w:rFonts w:hint="eastAsia" w:ascii="仿宋" w:hAnsi="仿宋" w:eastAsia="仿宋" w:cs="仿宋"/>
                <w:sz w:val="24"/>
                <w:szCs w:val="24"/>
              </w:rPr>
              <w:tab/>
            </w:r>
            <w:sdt>
              <w:sdtPr>
                <w:rPr>
                  <w:rFonts w:hint="eastAsia" w:ascii="仿宋" w:hAnsi="仿宋" w:eastAsia="仿宋" w:cs="仿宋"/>
                  <w:sz w:val="24"/>
                  <w:szCs w:val="24"/>
                </w:rPr>
                <w:id w:val="-66658901"/>
                <w14:checkbox>
                  <w14:checked w14:val="1"/>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Wingdings 2" w:hAnsi="Wingdings 2" w:eastAsia="仿宋" w:cs="仿宋"/>
                    <w:sz w:val="24"/>
                    <w:szCs w:val="24"/>
                    <w:lang w:val="zh-CN" w:eastAsia="zh-CN" w:bidi="zh-CN"/>
                  </w:rPr>
                  <w:t>R</w:t>
                </w:r>
              </w:sdtContent>
            </w:sdt>
            <w:r>
              <w:rPr>
                <w:rFonts w:hint="eastAsia" w:ascii="仿宋" w:hAnsi="仿宋" w:eastAsia="仿宋" w:cs="仿宋"/>
                <w:sz w:val="24"/>
                <w:szCs w:val="24"/>
              </w:rPr>
              <w:t>业</w:t>
            </w:r>
            <w:r>
              <w:rPr>
                <w:rFonts w:hint="eastAsia" w:ascii="仿宋" w:hAnsi="仿宋" w:eastAsia="仿宋" w:cs="仿宋"/>
                <w:spacing w:val="-3"/>
                <w:sz w:val="24"/>
                <w:szCs w:val="24"/>
              </w:rPr>
              <w:t>绩</w:t>
            </w:r>
            <w:r>
              <w:rPr>
                <w:rFonts w:hint="eastAsia" w:ascii="仿宋" w:hAnsi="仿宋" w:eastAsia="仿宋" w:cs="仿宋"/>
                <w:sz w:val="24"/>
                <w:szCs w:val="24"/>
              </w:rPr>
              <w:t>说</w:t>
            </w:r>
            <w:r>
              <w:rPr>
                <w:rFonts w:hint="eastAsia" w:ascii="仿宋" w:hAnsi="仿宋" w:eastAsia="仿宋" w:cs="仿宋"/>
                <w:spacing w:val="-3"/>
                <w:sz w:val="24"/>
                <w:szCs w:val="24"/>
              </w:rPr>
              <w:t>明</w:t>
            </w:r>
            <w:r>
              <w:rPr>
                <w:rFonts w:hint="eastAsia" w:ascii="仿宋" w:hAnsi="仿宋" w:eastAsia="仿宋" w:cs="仿宋"/>
                <w:sz w:val="24"/>
                <w:szCs w:val="24"/>
              </w:rPr>
              <w:t>会</w:t>
            </w:r>
          </w:p>
          <w:p w14:paraId="4AF65920">
            <w:pPr>
              <w:pStyle w:val="12"/>
              <w:keepNext w:val="0"/>
              <w:keepLines w:val="0"/>
              <w:pageBreakBefore w:val="0"/>
              <w:widowControl w:val="0"/>
              <w:tabs>
                <w:tab w:val="left" w:pos="2418"/>
              </w:tabs>
              <w:kinsoku/>
              <w:wordWrap/>
              <w:overflowPunct/>
              <w:topLinePunct w:val="0"/>
              <w:autoSpaceDE w:val="0"/>
              <w:autoSpaceDN w:val="0"/>
              <w:bidi w:val="0"/>
              <w:adjustRightInd/>
              <w:snapToGrid/>
              <w:spacing w:line="360" w:lineRule="auto"/>
              <w:ind w:left="107"/>
              <w:textAlignment w:val="auto"/>
              <w:rPr>
                <w:rFonts w:hint="eastAsia" w:ascii="仿宋" w:hAnsi="仿宋" w:eastAsia="仿宋" w:cs="仿宋"/>
                <w:sz w:val="24"/>
                <w:szCs w:val="24"/>
              </w:rPr>
            </w:pPr>
            <w:sdt>
              <w:sdtPr>
                <w:rPr>
                  <w:rFonts w:hint="eastAsia" w:ascii="仿宋" w:hAnsi="仿宋" w:eastAsia="仿宋" w:cs="仿宋"/>
                  <w:sz w:val="24"/>
                  <w:szCs w:val="24"/>
                </w:rPr>
                <w:id w:val="-1848167434"/>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新</w:t>
            </w:r>
            <w:r>
              <w:rPr>
                <w:rFonts w:hint="eastAsia" w:ascii="仿宋" w:hAnsi="仿宋" w:eastAsia="仿宋" w:cs="仿宋"/>
                <w:spacing w:val="-3"/>
                <w:sz w:val="24"/>
                <w:szCs w:val="24"/>
              </w:rPr>
              <w:t>闻</w:t>
            </w:r>
            <w:r>
              <w:rPr>
                <w:rFonts w:hint="eastAsia" w:ascii="仿宋" w:hAnsi="仿宋" w:eastAsia="仿宋" w:cs="仿宋"/>
                <w:sz w:val="24"/>
                <w:szCs w:val="24"/>
              </w:rPr>
              <w:t>发</w:t>
            </w:r>
            <w:r>
              <w:rPr>
                <w:rFonts w:hint="eastAsia" w:ascii="仿宋" w:hAnsi="仿宋" w:eastAsia="仿宋" w:cs="仿宋"/>
                <w:spacing w:val="-3"/>
                <w:sz w:val="24"/>
                <w:szCs w:val="24"/>
              </w:rPr>
              <w:t>布</w:t>
            </w:r>
            <w:r>
              <w:rPr>
                <w:rFonts w:hint="eastAsia" w:ascii="仿宋" w:hAnsi="仿宋" w:eastAsia="仿宋" w:cs="仿宋"/>
                <w:sz w:val="24"/>
                <w:szCs w:val="24"/>
              </w:rPr>
              <w:t>会</w:t>
            </w:r>
            <w:r>
              <w:rPr>
                <w:rFonts w:hint="eastAsia" w:ascii="仿宋" w:hAnsi="仿宋" w:eastAsia="仿宋" w:cs="仿宋"/>
                <w:sz w:val="24"/>
                <w:szCs w:val="24"/>
              </w:rPr>
              <w:tab/>
            </w:r>
            <w:sdt>
              <w:sdtPr>
                <w:rPr>
                  <w:rFonts w:hint="eastAsia" w:ascii="仿宋" w:hAnsi="仿宋" w:eastAsia="仿宋" w:cs="仿宋"/>
                  <w:sz w:val="24"/>
                  <w:szCs w:val="24"/>
                </w:rPr>
                <w:id w:val="412049691"/>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路</w:t>
            </w:r>
            <w:r>
              <w:rPr>
                <w:rFonts w:hint="eastAsia" w:ascii="仿宋" w:hAnsi="仿宋" w:eastAsia="仿宋" w:cs="仿宋"/>
                <w:spacing w:val="-3"/>
                <w:sz w:val="24"/>
                <w:szCs w:val="24"/>
              </w:rPr>
              <w:t>演</w:t>
            </w:r>
            <w:r>
              <w:rPr>
                <w:rFonts w:hint="eastAsia" w:ascii="仿宋" w:hAnsi="仿宋" w:eastAsia="仿宋" w:cs="仿宋"/>
                <w:sz w:val="24"/>
                <w:szCs w:val="24"/>
              </w:rPr>
              <w:t>活动</w:t>
            </w:r>
          </w:p>
          <w:p w14:paraId="31A21358">
            <w:pPr>
              <w:pStyle w:val="12"/>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rFonts w:hint="eastAsia" w:ascii="仿宋" w:hAnsi="仿宋" w:eastAsia="仿宋" w:cs="仿宋"/>
                <w:sz w:val="24"/>
                <w:szCs w:val="24"/>
              </w:rPr>
            </w:pPr>
            <w:sdt>
              <w:sdtPr>
                <w:rPr>
                  <w:rFonts w:hint="eastAsia" w:ascii="仿宋" w:hAnsi="仿宋" w:eastAsia="仿宋" w:cs="仿宋"/>
                  <w:sz w:val="24"/>
                  <w:szCs w:val="24"/>
                </w:rPr>
                <w:id w:val="-1333366911"/>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现场参观</w:t>
            </w:r>
          </w:p>
          <w:p w14:paraId="31CCD89B">
            <w:pPr>
              <w:pStyle w:val="12"/>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rFonts w:hint="eastAsia" w:ascii="仿宋" w:hAnsi="仿宋" w:eastAsia="仿宋" w:cs="仿宋"/>
                <w:sz w:val="24"/>
                <w:szCs w:val="24"/>
              </w:rPr>
            </w:pPr>
            <w:sdt>
              <w:sdtPr>
                <w:rPr>
                  <w:rFonts w:hint="eastAsia" w:ascii="仿宋" w:hAnsi="仿宋" w:eastAsia="仿宋" w:cs="仿宋"/>
                  <w:sz w:val="24"/>
                  <w:szCs w:val="24"/>
                </w:rPr>
                <w:id w:val="400885218"/>
                <w14:checkbox>
                  <w14:checked w14:val="0"/>
                  <w14:checkedState w14:val="0052" w14:font="Wingdings 2"/>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其他（</w:t>
            </w:r>
            <w:r>
              <w:rPr>
                <w:rFonts w:hint="eastAsia" w:ascii="仿宋" w:hAnsi="仿宋" w:eastAsia="仿宋" w:cs="仿宋"/>
                <w:sz w:val="24"/>
                <w:szCs w:val="24"/>
                <w:u w:val="single"/>
              </w:rPr>
              <w:t>请文字说明其他活动内容）</w:t>
            </w:r>
          </w:p>
        </w:tc>
      </w:tr>
      <w:tr w14:paraId="49F87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20D0D9B8">
            <w:pPr>
              <w:autoSpaceDE/>
              <w:autoSpaceDN/>
              <w:spacing w:line="24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参与单位名称</w:t>
            </w:r>
          </w:p>
          <w:p w14:paraId="501FD7B7">
            <w:pPr>
              <w:autoSpaceDE/>
              <w:autoSpaceDN/>
              <w:spacing w:line="24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及人员姓名</w:t>
            </w:r>
          </w:p>
        </w:tc>
        <w:tc>
          <w:tcPr>
            <w:tcW w:w="5945" w:type="dxa"/>
            <w:vAlign w:val="center"/>
          </w:tcPr>
          <w:p w14:paraId="70A37626">
            <w:pPr>
              <w:pStyle w:val="12"/>
              <w:spacing w:before="100" w:beforeAutospacing="1" w:line="360" w:lineRule="auto"/>
              <w:rPr>
                <w:rFonts w:hint="eastAsia" w:ascii="仿宋" w:hAnsi="仿宋" w:eastAsia="仿宋" w:cs="仿宋"/>
                <w:sz w:val="24"/>
                <w:szCs w:val="24"/>
              </w:rPr>
            </w:pPr>
            <w:r>
              <w:rPr>
                <w:rFonts w:hint="eastAsia" w:ascii="仿宋" w:hAnsi="仿宋" w:eastAsia="仿宋" w:cs="仿宋"/>
                <w:sz w:val="24"/>
                <w:szCs w:val="24"/>
              </w:rPr>
              <w:t>线上参与公司2024年半年度业绩说明会的投资者</w:t>
            </w:r>
          </w:p>
        </w:tc>
      </w:tr>
      <w:tr w14:paraId="07C8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B9A7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时间</w:t>
            </w:r>
          </w:p>
        </w:tc>
        <w:tc>
          <w:tcPr>
            <w:tcW w:w="5945" w:type="dxa"/>
            <w:vAlign w:val="center"/>
          </w:tcPr>
          <w:p w14:paraId="50DB4A92">
            <w:pPr>
              <w:keepNext w:val="0"/>
              <w:keepLines w:val="0"/>
              <w:pageBreakBefore w:val="0"/>
              <w:widowControl w:val="0"/>
              <w:kinsoku/>
              <w:wordWrap/>
              <w:overflowPunct/>
              <w:topLinePunct w:val="0"/>
              <w:bidi w:val="0"/>
              <w:adjustRightInd/>
              <w:snapToGrid/>
              <w:spacing w:before="100" w:beforeAutospacing="1" w:line="240" w:lineRule="auto"/>
              <w:textAlignment w:val="auto"/>
              <w:rPr>
                <w:rFonts w:hint="eastAsia" w:ascii="仿宋" w:hAnsi="仿宋" w:eastAsia="仿宋" w:cs="仿宋"/>
                <w:sz w:val="24"/>
                <w:szCs w:val="24"/>
              </w:rPr>
            </w:pPr>
            <w:r>
              <w:rPr>
                <w:rFonts w:hint="eastAsia" w:ascii="仿宋" w:hAnsi="仿宋" w:eastAsia="仿宋" w:cs="仿宋"/>
                <w:sz w:val="24"/>
                <w:szCs w:val="24"/>
              </w:rPr>
              <w:t>2024年8月29日 10:00-11:00</w:t>
            </w:r>
          </w:p>
        </w:tc>
      </w:tr>
      <w:tr w14:paraId="5065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36DDED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地点</w:t>
            </w:r>
          </w:p>
        </w:tc>
        <w:tc>
          <w:tcPr>
            <w:tcW w:w="5945" w:type="dxa"/>
            <w:vAlign w:val="center"/>
          </w:tcPr>
          <w:p w14:paraId="7AFCD430">
            <w:pPr>
              <w:pStyle w:val="12"/>
              <w:keepNext w:val="0"/>
              <w:keepLines w:val="0"/>
              <w:pageBreakBefore w:val="0"/>
              <w:widowControl w:val="0"/>
              <w:kinsoku/>
              <w:wordWrap/>
              <w:overflowPunct/>
              <w:topLinePunct w:val="0"/>
              <w:bidi w:val="0"/>
              <w:adjustRightInd/>
              <w:snapToGrid/>
              <w:spacing w:before="100" w:beforeAutospacing="1" w:line="240" w:lineRule="auto"/>
              <w:textAlignment w:val="auto"/>
              <w:rPr>
                <w:rFonts w:hint="eastAsia" w:ascii="仿宋" w:hAnsi="仿宋" w:eastAsia="仿宋" w:cs="仿宋"/>
                <w:sz w:val="24"/>
                <w:szCs w:val="24"/>
              </w:rPr>
            </w:pPr>
            <w:r>
              <w:rPr>
                <w:rFonts w:hint="eastAsia" w:ascii="仿宋" w:hAnsi="仿宋" w:eastAsia="仿宋" w:cs="仿宋"/>
                <w:sz w:val="24"/>
                <w:szCs w:val="24"/>
              </w:rPr>
              <w:t>价值在线（https://www.ir-online.cn/）网络互动</w:t>
            </w:r>
          </w:p>
        </w:tc>
      </w:tr>
      <w:tr w14:paraId="7A06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74BB4F1">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上市公司接待人员姓名</w:t>
            </w:r>
          </w:p>
        </w:tc>
        <w:tc>
          <w:tcPr>
            <w:tcW w:w="5945" w:type="dxa"/>
            <w:vAlign w:val="center"/>
          </w:tcPr>
          <w:p w14:paraId="0E6955A0">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董事长、总经理 杨效良</w:t>
            </w:r>
            <w:r>
              <w:rPr>
                <w:rFonts w:hint="eastAsia" w:ascii="仿宋" w:hAnsi="仿宋" w:eastAsia="仿宋" w:cs="仿宋"/>
                <w:sz w:val="24"/>
                <w:szCs w:val="24"/>
              </w:rPr>
              <w:br w:type="textWrapping"/>
            </w:r>
            <w:r>
              <w:rPr>
                <w:rFonts w:hint="eastAsia" w:ascii="仿宋" w:hAnsi="仿宋" w:eastAsia="仿宋" w:cs="仿宋"/>
                <w:sz w:val="24"/>
                <w:szCs w:val="24"/>
              </w:rPr>
              <w:t>副总经理 戴奕</w:t>
            </w:r>
            <w:r>
              <w:rPr>
                <w:rFonts w:hint="eastAsia" w:ascii="仿宋" w:hAnsi="仿宋" w:eastAsia="仿宋" w:cs="仿宋"/>
                <w:sz w:val="24"/>
                <w:szCs w:val="24"/>
              </w:rPr>
              <w:br w:type="textWrapping"/>
            </w:r>
            <w:r>
              <w:rPr>
                <w:rFonts w:hint="eastAsia" w:ascii="仿宋" w:hAnsi="仿宋" w:eastAsia="仿宋" w:cs="仿宋"/>
                <w:sz w:val="24"/>
                <w:szCs w:val="24"/>
              </w:rPr>
              <w:t>财务总监、董事会秘书 王江红</w:t>
            </w:r>
          </w:p>
        </w:tc>
      </w:tr>
      <w:tr w14:paraId="0A9E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vAlign w:val="center"/>
          </w:tcPr>
          <w:p w14:paraId="677448CE">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p>
          <w:p w14:paraId="731A04F0">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p>
          <w:p w14:paraId="483C5FED">
            <w:pPr>
              <w:autoSpaceDE/>
              <w:autoSpaceDN/>
              <w:spacing w:line="360" w:lineRule="auto"/>
              <w:ind w:firstLine="0" w:firstLineChars="0"/>
              <w:jc w:val="center"/>
              <w:rPr>
                <w:rFonts w:hint="eastAsia" w:ascii="仿宋" w:hAnsi="仿宋" w:eastAsia="仿宋" w:cs="仿宋"/>
                <w:bCs/>
                <w:iCs/>
                <w:color w:val="000000"/>
                <w:kern w:val="2"/>
                <w:sz w:val="24"/>
                <w:szCs w:val="24"/>
                <w:lang w:val="en-US" w:bidi="ar-SA"/>
              </w:rPr>
            </w:pPr>
          </w:p>
          <w:p w14:paraId="4F38E0F0">
            <w:pPr>
              <w:autoSpaceDE/>
              <w:autoSpaceDN/>
              <w:spacing w:line="24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投资者关系活动主要内容介绍</w:t>
            </w:r>
          </w:p>
        </w:tc>
        <w:tc>
          <w:tcPr>
            <w:tcW w:w="5945" w:type="dxa"/>
          </w:tcPr>
          <w:p w14:paraId="541A28DC">
            <w:pPr>
              <w:pStyle w:val="12"/>
              <w:spacing w:before="100" w:beforeAutospacing="1" w:line="360" w:lineRule="auto"/>
              <w:ind w:firstLine="482" w:firstLineChars="200"/>
              <w:jc w:val="both"/>
              <w:rPr>
                <w:rFonts w:hint="eastAsia" w:ascii="仿宋" w:hAnsi="仿宋" w:eastAsia="仿宋" w:cs="仿宋"/>
                <w:sz w:val="24"/>
                <w:szCs w:val="24"/>
              </w:rPr>
            </w:pPr>
            <w:r>
              <w:rPr>
                <w:rFonts w:hint="eastAsia" w:ascii="仿宋" w:hAnsi="仿宋" w:eastAsia="仿宋" w:cs="仿宋"/>
                <w:b/>
                <w:sz w:val="24"/>
                <w:szCs w:val="24"/>
              </w:rPr>
              <w:t>1.目前散户持股人数多少</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答:尊敬的投资者您好，截至6月末，公司股东户数为7038户。后续公司股东人数情况敬请关注公司披露的定期报告。谢谢！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2.无人运送有什么进度？何时能够投入大规模使用</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无人配送是邮政快递行业的重要发展方向，具有较好的市场前景。公司持续开展无人配送相关技术、标准和应用场景研究，并在多地进行投递、接驳、甩点直投试点。报告期内，公司已承接了邮政末端无人化共配研发项目。公司将持续加大无人配送领域的市场和研发投入。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3.公司是否具有价值？现在的股价是公司实际价值的体现吗？如果不是什么价格能体现出来？</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公司是国内智能物流系统领域领先的综合解决方案提供商，与行业头部客户保持长期良好的合作关系，持续加大在人工智能、物联网、大数据、高精度控制、无人配送等领域的技术研发投入，在智能物流装备行业持续保持技术领先。随着国家系列利好政策出台和国内快递业务量持续增长，为公司发展提供了良好的市场空间，公司将紧紧抓住市场机遇，通过稳健的经营策略和有效的价值创造来提升公司的价值。</w:t>
            </w:r>
            <w:r>
              <w:rPr>
                <w:rFonts w:hint="eastAsia" w:ascii="仿宋" w:hAnsi="仿宋" w:eastAsia="仿宋" w:cs="仿宋"/>
                <w:sz w:val="24"/>
                <w:szCs w:val="24"/>
              </w:rPr>
              <w:br w:type="textWrapping"/>
            </w:r>
            <w:r>
              <w:rPr>
                <w:rFonts w:hint="eastAsia" w:ascii="仿宋" w:hAnsi="仿宋" w:eastAsia="仿宋" w:cs="仿宋"/>
                <w:b/>
                <w:sz w:val="24"/>
                <w:szCs w:val="24"/>
              </w:rPr>
              <w:t xml:space="preserve">    4.公司有官网，里面产品介绍里有无人机，无人车的相关章节。二级市场概念兴起时，公司拼命解释没有相关低空经济，在技术公关等。那在官网详细的描述又是什么？是不是可以给相关部门举报，你们在误导投资者（金融消费者)，请公司给个明确态度。</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感谢您对公司的关注！公司在无人机系统集成方面形成了一定的研发成果和少量应用，尚未对公司的业绩产生实质性影响。公司对投资者提问的回复均基于公司实际情况，内容真实、准确。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5.去年二季度是盈利的，为什么一上市就变脸，有没有造假行为，快递设备行业是没落了吗？公司有没有准备收购一些高技术产业来实现转型，上市融资的钱有没有投入到生产中，为什么上了市融到了钱来发展越发展越差劲。</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公司2024年上半年业绩下滑主要受市场波动、主要客户投资阶段性调整及市场竞争进一步加剧等因素影响，公司严格执行上市公司监管规定、企业会计准则和企业内控制度，财务报告真实、准确、完整。公司严格遵守相关法律法规和制度的规定，规范管理和使用上市募集资金，所有募投项目都在按照计划顺利实施，具体进展情况详见公司2024年半年度报告相关章节。随着我国宏观经济持续向好、国家系列利好政策逐步落地和国内快递业务量持续增长，智能物流系统需求将逐步释放，未来仍有较大市场空间。公司将紧紧抓住市场机遇，通过加大新技术和新产品研发，更好满足客户需求。公司在深耕快递电商行业的同时，积极拓展新行业新领域及海外市场，并根据业务发展需要，有效利用资本市场工具，助力核心竞争力提升和业务拓展。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6.请问公司在无人物流车以及低空无人快递上的布局？</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无人配送是邮政快递行业的重要发展方向，具有较好的市场前景。公司持续开展无人配送相关技术、标准和应用场景研究，并在多地进行投递、接驳、甩点直投试点。报告期内，公司已承接了邮政末端无人化共配研发项目。公司将持续加大无人配送领域的市场和研发投入。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7.为什么上市业绩就变脸？</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公司2024年上半年业绩下滑主要是受市场波动、主要客户投资阶段性调整及市场竞争进一步加剧等因素影响。随着我国宏观经济持续向好、国家系列行业利好政策逐步落地和国内快递业务量持续增长，智能物流系统的需求将逐步释放，未来仍有较大的市场空间。公司将紧紧抓住市场机遇，在深耕快递电商行业的同时，积极拓展新行业、新领域及海外市场，持续加大新技术和新产品研发，推动公司高质量发展。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8.最近无人快递车火了，公司无人车达到什么级别，订单怎么样，之前公告跟邮政集团的9亿的关联交易现在完成多少了。</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无人配送是邮政快递行业的重要发展方向，具有较好的市场前景。公司持续开展无人配送相关技术、标准和应用场景研究，并在多地进行投递、接驳、甩点直投试点。报告期内，公司已承接了邮政末端无人化共配研发项目。公司将持续加大无人配送领域的市场和研发投入。上半年公司来自邮政客户的收入为1.5亿元，具体详见公司2024年半年度报告相关章节。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9.尊敬的公司领导，看到网站介绍贵司有出海业务订单，请问公司目前海外市场的拓展情况如何，对公司的业绩是否有帮助，谢谢。</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答:尊敬的投资者您好，海外市场是公司大力拓展的领域，上半年公司海外订单有较大突破，随着订单的交付，将对公司的业绩产生积极影响。公司将持续加大对海外客户的开拓。谢谢！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10.股价8月连跌一个月，市值这么低了有没有什么措施来稳定股价</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感谢您对公司的关注。股价走势受多方面因素影响，公司始终高度重视公司股票价格和股东利益，以公司发展为第一要务，坚持创新引领，加大人才引进力度，加大新技术和新产品研发，加大市场开拓，增强核心竞争力，努力提升公司业绩，更好回报广大投资者。谢谢！</w:t>
            </w:r>
            <w:r>
              <w:rPr>
                <w:rFonts w:hint="eastAsia" w:ascii="仿宋" w:hAnsi="仿宋" w:eastAsia="仿宋" w:cs="仿宋"/>
                <w:sz w:val="24"/>
                <w:szCs w:val="24"/>
              </w:rPr>
              <w:br w:type="textWrapping"/>
            </w:r>
            <w:r>
              <w:rPr>
                <w:rFonts w:hint="eastAsia" w:ascii="仿宋" w:hAnsi="仿宋" w:eastAsia="仿宋" w:cs="仿宋"/>
                <w:b/>
                <w:sz w:val="24"/>
                <w:szCs w:val="24"/>
              </w:rPr>
              <w:t xml:space="preserve">    11.</w:t>
            </w:r>
            <w:r>
              <w:rPr>
                <w:rFonts w:hint="eastAsia" w:cs="仿宋"/>
                <w:b/>
                <w:sz w:val="24"/>
                <w:szCs w:val="24"/>
                <w:lang w:eastAsia="zh-CN"/>
              </w:rPr>
              <w:t>（</w:t>
            </w:r>
            <w:r>
              <w:rPr>
                <w:rFonts w:hint="eastAsia" w:cs="仿宋"/>
                <w:b/>
                <w:sz w:val="24"/>
                <w:szCs w:val="24"/>
                <w:lang w:val="en-US" w:eastAsia="zh-CN"/>
              </w:rPr>
              <w:t>1</w:t>
            </w:r>
            <w:r>
              <w:rPr>
                <w:rFonts w:hint="eastAsia" w:cs="仿宋"/>
                <w:b/>
                <w:sz w:val="24"/>
                <w:szCs w:val="24"/>
                <w:lang w:eastAsia="zh-CN"/>
              </w:rPr>
              <w:t>）</w:t>
            </w:r>
            <w:r>
              <w:rPr>
                <w:rFonts w:hint="eastAsia" w:ascii="仿宋" w:hAnsi="仿宋" w:eastAsia="仿宋" w:cs="仿宋"/>
                <w:b/>
                <w:sz w:val="24"/>
                <w:szCs w:val="24"/>
              </w:rPr>
              <w:t>请问8月26日中国邮政集团与河南省签署“中国邮政航空枢纽合作协议”，本公司是否有承接此项目相关业务。</w:t>
            </w:r>
            <w:r>
              <w:rPr>
                <w:rFonts w:hint="eastAsia" w:cs="仿宋"/>
                <w:b/>
                <w:sz w:val="24"/>
                <w:szCs w:val="24"/>
                <w:lang w:eastAsia="zh-CN"/>
              </w:rPr>
              <w:t>（</w:t>
            </w:r>
            <w:r>
              <w:rPr>
                <w:rFonts w:hint="eastAsia" w:cs="仿宋"/>
                <w:b/>
                <w:sz w:val="24"/>
                <w:szCs w:val="24"/>
                <w:lang w:val="en-US" w:eastAsia="zh-CN"/>
              </w:rPr>
              <w:t>2</w:t>
            </w:r>
            <w:r>
              <w:rPr>
                <w:rFonts w:hint="eastAsia" w:cs="仿宋"/>
                <w:b/>
                <w:sz w:val="24"/>
                <w:szCs w:val="24"/>
                <w:lang w:eastAsia="zh-CN"/>
              </w:rPr>
              <w:t>）</w:t>
            </w:r>
            <w:r>
              <w:rPr>
                <w:rFonts w:hint="eastAsia" w:ascii="仿宋" w:hAnsi="仿宋" w:eastAsia="仿宋" w:cs="仿宋"/>
                <w:b/>
                <w:sz w:val="24"/>
                <w:szCs w:val="24"/>
              </w:rPr>
              <w:t xml:space="preserve">今年上半年营收相比去年减少了一半多，主要是什么板块减少比较多，其中根本原因是什么？ </w:t>
            </w:r>
            <w:r>
              <w:rPr>
                <w:rFonts w:hint="eastAsia" w:cs="仿宋"/>
                <w:b/>
                <w:sz w:val="24"/>
                <w:szCs w:val="24"/>
                <w:lang w:eastAsia="zh-CN"/>
              </w:rPr>
              <w:t>（</w:t>
            </w:r>
            <w:r>
              <w:rPr>
                <w:rFonts w:hint="eastAsia" w:cs="仿宋"/>
                <w:b/>
                <w:sz w:val="24"/>
                <w:szCs w:val="24"/>
                <w:lang w:val="en-US" w:eastAsia="zh-CN"/>
              </w:rPr>
              <w:t>3</w:t>
            </w:r>
            <w:r>
              <w:rPr>
                <w:rFonts w:hint="eastAsia" w:cs="仿宋"/>
                <w:b/>
                <w:sz w:val="24"/>
                <w:szCs w:val="24"/>
                <w:lang w:eastAsia="zh-CN"/>
              </w:rPr>
              <w:t>）</w:t>
            </w:r>
            <w:r>
              <w:rPr>
                <w:rFonts w:hint="eastAsia" w:ascii="仿宋" w:hAnsi="仿宋" w:eastAsia="仿宋" w:cs="仿宋"/>
                <w:b/>
                <w:sz w:val="24"/>
                <w:szCs w:val="24"/>
              </w:rPr>
              <w:t>请问今年的新签订单和在手订单各多少</w:t>
            </w:r>
            <w:r>
              <w:rPr>
                <w:rFonts w:hint="eastAsia" w:cs="仿宋"/>
                <w:b/>
                <w:sz w:val="24"/>
                <w:szCs w:val="24"/>
                <w:lang w:eastAsia="zh-CN"/>
              </w:rPr>
              <w:t>？（</w:t>
            </w:r>
            <w:r>
              <w:rPr>
                <w:rFonts w:hint="eastAsia" w:cs="仿宋"/>
                <w:b/>
                <w:sz w:val="24"/>
                <w:szCs w:val="24"/>
                <w:lang w:val="en-US" w:eastAsia="zh-CN"/>
              </w:rPr>
              <w:t>4</w:t>
            </w:r>
            <w:r>
              <w:rPr>
                <w:rFonts w:hint="eastAsia" w:cs="仿宋"/>
                <w:b/>
                <w:sz w:val="24"/>
                <w:szCs w:val="24"/>
                <w:lang w:eastAsia="zh-CN"/>
              </w:rPr>
              <w:t>）</w:t>
            </w:r>
            <w:r>
              <w:rPr>
                <w:rFonts w:hint="eastAsia" w:ascii="仿宋" w:hAnsi="仿宋" w:eastAsia="仿宋" w:cs="仿宋"/>
                <w:b/>
                <w:sz w:val="24"/>
                <w:szCs w:val="24"/>
              </w:rPr>
              <w:t>请问基于上半年营收，下半年有何市场计划。</w:t>
            </w:r>
            <w:r>
              <w:rPr>
                <w:rFonts w:hint="eastAsia" w:ascii="仿宋" w:hAnsi="仿宋" w:eastAsia="仿宋" w:cs="仿宋"/>
                <w:b/>
                <w:sz w:val="24"/>
                <w:szCs w:val="24"/>
              </w:rPr>
              <w:br w:type="textWrapping"/>
            </w:r>
            <w:r>
              <w:rPr>
                <w:rFonts w:hint="eastAsia" w:ascii="仿宋" w:hAnsi="仿宋" w:eastAsia="仿宋" w:cs="仿宋"/>
                <w:sz w:val="24"/>
                <w:szCs w:val="24"/>
              </w:rPr>
              <w:t xml:space="preserve">    答:尊敬的投资者您好！近日，中国邮政集团与河南省政府签订了关于中国邮政航空枢纽合作的相关协议。中邮科技是中国邮政集团的控股子公司，在航空枢纽转运中心方案设计、系统集成、项目交付等方面具有丰富的经验，总集成的亚洲第一个货运机场——鄂州机场顺丰转运中心项目已于2023年成功交付。公司将积极跟踪邮政航空枢纽项目进展，并根据规定及时履行信息披露义务。</w:t>
            </w:r>
            <w:bookmarkStart w:id="0" w:name="_GoBack"/>
            <w:bookmarkEnd w:id="0"/>
            <w:r>
              <w:rPr>
                <w:rFonts w:hint="eastAsia" w:ascii="仿宋" w:hAnsi="仿宋" w:eastAsia="仿宋" w:cs="仿宋"/>
                <w:sz w:val="24"/>
                <w:szCs w:val="24"/>
              </w:rPr>
              <w:t>公司营业收入下滑主要受市场波动及公司主要客户投资阶段性调整影响。上半年公司承接订单总体稳定，在新兴电商客户订单及海外订单方面有较大突破。下半年，公司将密切跟进主要客户的需求，不断跟踪和挖掘新兴客户，大力拓展海外客户，并扩大单机产品销售。谢谢！</w:t>
            </w:r>
          </w:p>
        </w:tc>
      </w:tr>
      <w:tr w14:paraId="3BD6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464482A3">
            <w:pPr>
              <w:autoSpaceDE/>
              <w:autoSpaceDN/>
              <w:spacing w:line="24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关于本次活动是否涉及应披露重大信息的说明</w:t>
            </w:r>
          </w:p>
        </w:tc>
        <w:tc>
          <w:tcPr>
            <w:tcW w:w="5945" w:type="dxa"/>
            <w:vAlign w:val="center"/>
          </w:tcPr>
          <w:p w14:paraId="4D547344">
            <w:pPr>
              <w:pStyle w:val="12"/>
              <w:spacing w:before="100" w:beforeAutospacing="1" w:line="240" w:lineRule="auto"/>
              <w:rPr>
                <w:rFonts w:hint="eastAsia" w:ascii="仿宋" w:hAnsi="仿宋" w:eastAsia="仿宋" w:cs="仿宋"/>
                <w:sz w:val="24"/>
                <w:szCs w:val="24"/>
              </w:rPr>
            </w:pPr>
            <w:r>
              <w:rPr>
                <w:rFonts w:hint="eastAsia" w:ascii="仿宋" w:hAnsi="仿宋" w:eastAsia="仿宋" w:cs="仿宋"/>
                <w:sz w:val="24"/>
                <w:szCs w:val="24"/>
              </w:rPr>
              <w:t>本次活动不涉及未公开披露的重大信息。</w:t>
            </w:r>
          </w:p>
        </w:tc>
      </w:tr>
      <w:tr w14:paraId="77638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28" w:hRule="atLeast"/>
          <w:jc w:val="center"/>
        </w:trPr>
        <w:tc>
          <w:tcPr>
            <w:tcW w:w="2580" w:type="dxa"/>
            <w:vAlign w:val="center"/>
          </w:tcPr>
          <w:p w14:paraId="3D4B1A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附件清单（如有）</w:t>
            </w:r>
          </w:p>
        </w:tc>
        <w:tc>
          <w:tcPr>
            <w:tcW w:w="5945" w:type="dxa"/>
            <w:vAlign w:val="center"/>
          </w:tcPr>
          <w:p w14:paraId="05570B92">
            <w:pPr>
              <w:pStyle w:val="12"/>
              <w:spacing w:before="100" w:beforeAutospacing="1" w:line="360" w:lineRule="auto"/>
              <w:rPr>
                <w:rFonts w:hint="eastAsia" w:ascii="仿宋" w:hAnsi="仿宋" w:eastAsia="仿宋" w:cs="仿宋"/>
                <w:sz w:val="24"/>
                <w:szCs w:val="24"/>
              </w:rPr>
            </w:pPr>
          </w:p>
        </w:tc>
      </w:tr>
      <w:tr w14:paraId="1773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F61A02E">
            <w:pPr>
              <w:autoSpaceDE/>
              <w:autoSpaceDN/>
              <w:spacing w:line="240" w:lineRule="auto"/>
              <w:ind w:firstLine="0" w:firstLineChars="0"/>
              <w:jc w:val="center"/>
              <w:rPr>
                <w:rFonts w:hint="eastAsia" w:ascii="仿宋" w:hAnsi="仿宋" w:eastAsia="仿宋" w:cs="仿宋"/>
                <w:bCs/>
                <w:iCs/>
                <w:color w:val="000000"/>
                <w:kern w:val="2"/>
                <w:sz w:val="24"/>
                <w:szCs w:val="24"/>
                <w:lang w:val="en-US" w:bidi="ar-SA"/>
              </w:rPr>
            </w:pPr>
            <w:r>
              <w:rPr>
                <w:rFonts w:hint="eastAsia" w:ascii="仿宋" w:hAnsi="仿宋" w:eastAsia="仿宋" w:cs="仿宋"/>
                <w:bCs/>
                <w:iCs/>
                <w:color w:val="000000"/>
                <w:kern w:val="2"/>
                <w:sz w:val="24"/>
                <w:szCs w:val="24"/>
                <w:lang w:val="en-US" w:bidi="ar-SA"/>
              </w:rPr>
              <w:t>日期</w:t>
            </w:r>
          </w:p>
        </w:tc>
        <w:tc>
          <w:tcPr>
            <w:tcW w:w="5945" w:type="dxa"/>
            <w:vAlign w:val="center"/>
          </w:tcPr>
          <w:p w14:paraId="1F4AE658">
            <w:pPr>
              <w:pStyle w:val="12"/>
              <w:spacing w:before="100" w:beforeAutospacing="1"/>
              <w:rPr>
                <w:rFonts w:hint="eastAsia" w:ascii="仿宋" w:hAnsi="仿宋" w:eastAsia="仿宋" w:cs="仿宋"/>
                <w:sz w:val="24"/>
                <w:szCs w:val="24"/>
              </w:rPr>
            </w:pPr>
            <w:r>
              <w:rPr>
                <w:rFonts w:hint="eastAsia" w:ascii="仿宋" w:hAnsi="仿宋" w:eastAsia="仿宋" w:cs="仿宋"/>
                <w:sz w:val="24"/>
                <w:szCs w:val="24"/>
              </w:rPr>
              <w:t>2024年8月29日</w:t>
            </w:r>
          </w:p>
        </w:tc>
      </w:tr>
    </w:tbl>
    <w:p w14:paraId="46B96736">
      <w:pPr>
        <w:rPr>
          <w:rFonts w:hint="eastAsia"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zZTM1ODQ3MTQ2Y2E2YzYzOWYyZTNiNWVmMzZkY2IifQ=="/>
  </w:docVars>
  <w:rsids>
    <w:rsidRoot w:val="00301D32"/>
    <w:rsid w:val="0002148E"/>
    <w:rsid w:val="00026CC3"/>
    <w:rsid w:val="00036089"/>
    <w:rsid w:val="00053CFA"/>
    <w:rsid w:val="000633EC"/>
    <w:rsid w:val="00063804"/>
    <w:rsid w:val="000665A2"/>
    <w:rsid w:val="000877AB"/>
    <w:rsid w:val="000B4FE2"/>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2DE7"/>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0FAD458F"/>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3F4E27A6"/>
    <w:rsid w:val="40567DB0"/>
    <w:rsid w:val="40FF5CD2"/>
    <w:rsid w:val="42DB40B0"/>
    <w:rsid w:val="43B71B0A"/>
    <w:rsid w:val="44FA0589"/>
    <w:rsid w:val="45A663E3"/>
    <w:rsid w:val="469F09AF"/>
    <w:rsid w:val="49985E37"/>
    <w:rsid w:val="4B756271"/>
    <w:rsid w:val="4C8E1CA8"/>
    <w:rsid w:val="4D6D36A4"/>
    <w:rsid w:val="510903EF"/>
    <w:rsid w:val="53F137F4"/>
    <w:rsid w:val="543A6906"/>
    <w:rsid w:val="56850CBB"/>
    <w:rsid w:val="59D8738A"/>
    <w:rsid w:val="5A666D76"/>
    <w:rsid w:val="5A775BC0"/>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2684</Words>
  <Characters>2775</Characters>
  <Lines>21</Lines>
  <Paragraphs>5</Paragraphs>
  <TotalTime>4</TotalTime>
  <ScaleCrop>false</ScaleCrop>
  <LinksUpToDate>false</LinksUpToDate>
  <CharactersWithSpaces>2910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杨婷</cp:lastModifiedBy>
  <dcterms:modified xsi:type="dcterms:W3CDTF">2024-08-29T08:31:09Z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3E2BA8D3721F419B8DCD272841C2A0C7_13</vt:lpwstr>
  </property>
</Properties>
</file>