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3D5F4">
      <w:pPr>
        <w:rPr>
          <w:rFonts w:hint="default" w:ascii="宋体" w:hAnsi="宋体" w:eastAsia="宋体"/>
          <w:bCs/>
          <w:sz w:val="24"/>
          <w:lang w:val="en-US" w:eastAsia="zh-CN"/>
        </w:rPr>
      </w:pPr>
      <w:bookmarkStart w:id="0" w:name="_GoBack"/>
      <w:bookmarkEnd w:id="0"/>
      <w:r>
        <w:rPr>
          <w:rFonts w:hint="eastAsia" w:ascii="宋体" w:hAnsi="宋体"/>
          <w:bCs/>
          <w:sz w:val="24"/>
        </w:rPr>
        <w:t>证券</w:t>
      </w:r>
      <w:r>
        <w:rPr>
          <w:rFonts w:ascii="宋体" w:hAnsi="宋体"/>
          <w:bCs/>
          <w:sz w:val="24"/>
        </w:rPr>
        <w:t>代码：</w:t>
      </w:r>
      <w:r>
        <w:rPr>
          <w:rFonts w:hint="eastAsia" w:ascii="宋体" w:hAnsi="宋体"/>
          <w:bCs/>
          <w:sz w:val="24"/>
        </w:rPr>
        <w:t>688517</w:t>
      </w:r>
      <w:r>
        <w:rPr>
          <w:bCs/>
          <w:sz w:val="24"/>
        </w:rPr>
        <w:t xml:space="preserve">    </w:t>
      </w:r>
      <w:r>
        <w:rPr>
          <w:rFonts w:ascii="宋体" w:hAnsi="宋体"/>
          <w:bCs/>
          <w:sz w:val="24"/>
        </w:rPr>
        <w:t xml:space="preserve">     </w:t>
      </w:r>
      <w:r>
        <w:rPr>
          <w:rFonts w:hint="eastAsia"/>
          <w:bCs/>
          <w:sz w:val="24"/>
        </w:rPr>
        <w:t>证券</w:t>
      </w:r>
      <w:r>
        <w:rPr>
          <w:rFonts w:hint="eastAsia" w:ascii="宋体" w:hAnsi="宋体"/>
          <w:bCs/>
          <w:sz w:val="24"/>
        </w:rPr>
        <w:t>简称：金冠电气</w:t>
      </w:r>
      <w:r>
        <w:rPr>
          <w:bCs/>
          <w:sz w:val="24"/>
        </w:rPr>
        <w:t xml:space="preserve">    </w:t>
      </w:r>
      <w:r>
        <w:rPr>
          <w:rFonts w:ascii="宋体" w:hAnsi="宋体"/>
          <w:bCs/>
          <w:sz w:val="24"/>
        </w:rPr>
        <w:t xml:space="preserve">     </w:t>
      </w:r>
      <w:r>
        <w:rPr>
          <w:rFonts w:hint="eastAsia" w:ascii="宋体" w:hAnsi="宋体"/>
          <w:bCs/>
          <w:sz w:val="24"/>
        </w:rPr>
        <w:t>编号：202</w:t>
      </w:r>
      <w:r>
        <w:rPr>
          <w:rFonts w:hint="eastAsia" w:ascii="宋体" w:hAnsi="宋体"/>
          <w:bCs/>
          <w:sz w:val="24"/>
          <w:lang w:val="en-US" w:eastAsia="zh-CN"/>
        </w:rPr>
        <w:t>4</w:t>
      </w:r>
      <w:r>
        <w:rPr>
          <w:rFonts w:hint="eastAsia" w:ascii="宋体" w:hAnsi="宋体"/>
          <w:bCs/>
          <w:sz w:val="24"/>
        </w:rPr>
        <w:t>-0</w:t>
      </w:r>
      <w:r>
        <w:rPr>
          <w:rFonts w:hint="eastAsia" w:ascii="宋体" w:hAnsi="宋体"/>
          <w:bCs/>
          <w:sz w:val="24"/>
          <w:lang w:val="en-US" w:eastAsia="zh-CN"/>
        </w:rPr>
        <w:t>12</w:t>
      </w:r>
    </w:p>
    <w:p w14:paraId="3E48742C">
      <w:pPr>
        <w:rPr>
          <w:rFonts w:hint="default" w:ascii="宋体" w:hAnsi="宋体" w:eastAsia="宋体"/>
          <w:bCs/>
          <w:sz w:val="24"/>
          <w:lang w:val="en-US" w:eastAsia="zh-CN"/>
        </w:rPr>
      </w:pPr>
    </w:p>
    <w:p w14:paraId="53B501B6">
      <w:pPr>
        <w:rPr>
          <w:rFonts w:ascii="宋体" w:hAnsi="宋体"/>
          <w:bCs/>
          <w:sz w:val="24"/>
        </w:rPr>
      </w:pPr>
    </w:p>
    <w:p w14:paraId="75406E58">
      <w:pPr>
        <w:autoSpaceDE w:val="0"/>
        <w:autoSpaceDN w:val="0"/>
        <w:adjustRightInd w:val="0"/>
        <w:spacing w:before="312" w:beforeLines="100"/>
        <w:jc w:val="center"/>
        <w:rPr>
          <w:rFonts w:ascii="黑体" w:eastAsia="黑体" w:cs="黑体"/>
          <w:color w:val="000000"/>
          <w:kern w:val="0"/>
          <w:sz w:val="32"/>
          <w:szCs w:val="28"/>
        </w:rPr>
      </w:pPr>
      <w:r>
        <w:rPr>
          <w:rFonts w:hint="eastAsia" w:ascii="黑体" w:eastAsia="黑体" w:cs="黑体"/>
          <w:color w:val="000000"/>
          <w:kern w:val="0"/>
          <w:sz w:val="32"/>
          <w:szCs w:val="28"/>
        </w:rPr>
        <w:t>金冠电气股份有限公司</w:t>
      </w:r>
    </w:p>
    <w:p w14:paraId="1BBA3BC4">
      <w:pPr>
        <w:autoSpaceDE w:val="0"/>
        <w:autoSpaceDN w:val="0"/>
        <w:adjustRightInd w:val="0"/>
        <w:spacing w:after="312" w:afterLines="100"/>
        <w:jc w:val="center"/>
        <w:rPr>
          <w:rFonts w:ascii="黑体" w:eastAsia="黑体" w:cs="黑体"/>
          <w:color w:val="000000"/>
          <w:kern w:val="0"/>
          <w:sz w:val="32"/>
          <w:szCs w:val="28"/>
        </w:rPr>
      </w:pPr>
      <w:r>
        <w:rPr>
          <w:rFonts w:hint="eastAsia" w:ascii="黑体" w:eastAsia="黑体" w:cs="黑体"/>
          <w:color w:val="000000"/>
          <w:kern w:val="0"/>
          <w:sz w:val="32"/>
          <w:szCs w:val="28"/>
        </w:rPr>
        <w:t>投资者关系活动记录汇总表</w:t>
      </w:r>
    </w:p>
    <w:tbl>
      <w:tblPr>
        <w:tblStyle w:val="10"/>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22"/>
      </w:tblGrid>
      <w:tr w14:paraId="24E6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271" w:type="dxa"/>
            <w:vAlign w:val="center"/>
          </w:tcPr>
          <w:p w14:paraId="1F61BED8">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投资者关系活动类别</w:t>
            </w:r>
          </w:p>
        </w:tc>
        <w:tc>
          <w:tcPr>
            <w:tcW w:w="7722" w:type="dxa"/>
            <w:vAlign w:val="center"/>
          </w:tcPr>
          <w:p w14:paraId="7D0BF67D">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 xml:space="preserve">□特定对象调研  </w:t>
            </w:r>
            <w:r>
              <w:rPr>
                <w:rFonts w:ascii="宋体" w:hAnsi="Calibri" w:cs="宋体"/>
                <w:color w:val="000000"/>
                <w:kern w:val="0"/>
                <w:sz w:val="24"/>
              </w:rPr>
              <w:t xml:space="preserve"> </w:t>
            </w:r>
            <w:r>
              <w:rPr>
                <w:rFonts w:hint="eastAsia" w:ascii="宋体" w:hAnsi="Calibri" w:cs="宋体"/>
                <w:color w:val="000000"/>
                <w:kern w:val="0"/>
                <w:sz w:val="24"/>
              </w:rPr>
              <w:t xml:space="preserve">   □分析师会议</w:t>
            </w:r>
          </w:p>
          <w:p w14:paraId="76F95261">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□媒体</w:t>
            </w:r>
            <w:r>
              <w:rPr>
                <w:rFonts w:ascii="宋体" w:hAnsi="Calibri" w:cs="宋体"/>
                <w:color w:val="000000"/>
                <w:kern w:val="0"/>
                <w:sz w:val="24"/>
              </w:rPr>
              <w:t xml:space="preserve">采访 </w:t>
            </w:r>
            <w:r>
              <w:rPr>
                <w:rFonts w:hint="eastAsia" w:ascii="宋体" w:hAnsi="Calibri" w:cs="宋体"/>
                <w:color w:val="000000"/>
                <w:kern w:val="0"/>
                <w:sz w:val="24"/>
              </w:rPr>
              <w:t xml:space="preserve">    </w:t>
            </w:r>
            <w:r>
              <w:rPr>
                <w:rFonts w:ascii="宋体" w:hAnsi="Calibri" w:cs="宋体"/>
                <w:color w:val="000000"/>
                <w:kern w:val="0"/>
                <w:sz w:val="24"/>
              </w:rPr>
              <w:t xml:space="preserve">    </w:t>
            </w:r>
            <w:r>
              <w:rPr>
                <w:rFonts w:hint="eastAsia" w:ascii="宋体" w:hAnsi="Calibri" w:cs="宋体"/>
                <w:color w:val="000000"/>
                <w:kern w:val="0"/>
                <w:sz w:val="24"/>
              </w:rPr>
              <w:t xml:space="preserve"> </w:t>
            </w:r>
            <w:r>
              <w:rPr>
                <w:rFonts w:hint="eastAsia" w:ascii="宋体" w:hAnsi="Calibri" w:cs="宋体"/>
                <w:color w:val="000000"/>
                <w:kern w:val="0"/>
                <w:sz w:val="24"/>
                <w:lang w:eastAsia="zh-CN"/>
              </w:rPr>
              <w:t>☑</w:t>
            </w:r>
            <w:r>
              <w:rPr>
                <w:rFonts w:hint="eastAsia" w:ascii="宋体" w:hAnsi="Calibri" w:cs="宋体"/>
                <w:color w:val="000000"/>
                <w:kern w:val="0"/>
                <w:sz w:val="24"/>
              </w:rPr>
              <w:t>业绩说明会</w:t>
            </w:r>
          </w:p>
          <w:p w14:paraId="482552F0">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□新闻</w:t>
            </w:r>
            <w:r>
              <w:rPr>
                <w:rFonts w:ascii="宋体" w:hAnsi="Calibri" w:cs="宋体"/>
                <w:color w:val="000000"/>
                <w:kern w:val="0"/>
                <w:sz w:val="24"/>
              </w:rPr>
              <w:t>发布会</w:t>
            </w:r>
            <w:r>
              <w:rPr>
                <w:rFonts w:hint="eastAsia" w:ascii="宋体" w:hAnsi="Calibri" w:cs="宋体"/>
                <w:color w:val="000000"/>
                <w:kern w:val="0"/>
                <w:sz w:val="24"/>
              </w:rPr>
              <w:t xml:space="preserve">  </w:t>
            </w:r>
            <w:r>
              <w:rPr>
                <w:rFonts w:ascii="宋体" w:hAnsi="Calibri" w:cs="宋体"/>
                <w:color w:val="000000"/>
                <w:kern w:val="0"/>
                <w:sz w:val="24"/>
              </w:rPr>
              <w:t xml:space="preserve">     </w:t>
            </w:r>
            <w:r>
              <w:rPr>
                <w:rFonts w:hint="eastAsia" w:ascii="宋体" w:hAnsi="Calibri" w:cs="宋体"/>
                <w:color w:val="000000"/>
                <w:kern w:val="0"/>
                <w:sz w:val="24"/>
              </w:rPr>
              <w:t xml:space="preserve"> □路演</w:t>
            </w:r>
            <w:r>
              <w:rPr>
                <w:rFonts w:ascii="宋体" w:hAnsi="Calibri" w:cs="宋体"/>
                <w:color w:val="000000"/>
                <w:kern w:val="0"/>
                <w:sz w:val="24"/>
              </w:rPr>
              <w:t>活动</w:t>
            </w:r>
          </w:p>
          <w:p w14:paraId="16F6DF0F">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lang w:eastAsia="zh-CN"/>
              </w:rPr>
              <w:t>□</w:t>
            </w:r>
            <w:r>
              <w:rPr>
                <w:rFonts w:hint="eastAsia" w:ascii="宋体" w:hAnsi="Calibri" w:cs="宋体"/>
                <w:color w:val="000000"/>
                <w:kern w:val="0"/>
                <w:sz w:val="24"/>
              </w:rPr>
              <w:t xml:space="preserve">现场参观 </w:t>
            </w:r>
            <w:r>
              <w:rPr>
                <w:rFonts w:ascii="宋体" w:hAnsi="Calibri" w:cs="宋体"/>
                <w:color w:val="000000"/>
                <w:kern w:val="0"/>
                <w:sz w:val="24"/>
              </w:rPr>
              <w:t xml:space="preserve">        </w:t>
            </w:r>
            <w:r>
              <w:rPr>
                <w:rFonts w:hint="eastAsia" w:ascii="宋体" w:hAnsi="Calibri" w:cs="宋体"/>
                <w:color w:val="000000"/>
                <w:kern w:val="0"/>
                <w:sz w:val="24"/>
              </w:rPr>
              <w:t xml:space="preserve"> □一</w:t>
            </w:r>
            <w:r>
              <w:rPr>
                <w:rFonts w:ascii="宋体" w:hAnsi="Calibri" w:cs="宋体"/>
                <w:color w:val="000000"/>
                <w:kern w:val="0"/>
                <w:sz w:val="24"/>
              </w:rPr>
              <w:t>对一沟通</w:t>
            </w:r>
          </w:p>
          <w:p w14:paraId="1E3E08DA">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lang w:eastAsia="zh-CN"/>
              </w:rPr>
              <w:t>□</w:t>
            </w:r>
            <w:r>
              <w:rPr>
                <w:rFonts w:hint="eastAsia" w:ascii="宋体" w:hAnsi="Calibri" w:cs="宋体"/>
                <w:color w:val="000000"/>
                <w:kern w:val="0"/>
                <w:sz w:val="24"/>
              </w:rPr>
              <w:t>其他（电话</w:t>
            </w:r>
            <w:r>
              <w:rPr>
                <w:rFonts w:ascii="宋体" w:hAnsi="Calibri" w:cs="宋体"/>
                <w:color w:val="000000"/>
                <w:kern w:val="0"/>
                <w:sz w:val="24"/>
              </w:rPr>
              <w:t>会议</w:t>
            </w:r>
            <w:r>
              <w:rPr>
                <w:rFonts w:hint="eastAsia" w:ascii="宋体" w:hAnsi="Calibri" w:cs="宋体"/>
                <w:color w:val="000000"/>
                <w:kern w:val="0"/>
                <w:sz w:val="24"/>
              </w:rPr>
              <w:t>）</w:t>
            </w:r>
          </w:p>
        </w:tc>
      </w:tr>
      <w:tr w14:paraId="5AAD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1" w:type="dxa"/>
            <w:vAlign w:val="center"/>
          </w:tcPr>
          <w:p w14:paraId="63CEE36D">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时间</w:t>
            </w:r>
          </w:p>
        </w:tc>
        <w:tc>
          <w:tcPr>
            <w:tcW w:w="7722" w:type="dxa"/>
            <w:vAlign w:val="center"/>
          </w:tcPr>
          <w:p w14:paraId="187C6132">
            <w:pPr>
              <w:autoSpaceDE w:val="0"/>
              <w:autoSpaceDN w:val="0"/>
              <w:adjustRightInd w:val="0"/>
              <w:spacing w:line="460" w:lineRule="exact"/>
              <w:rPr>
                <w:rFonts w:hint="default" w:eastAsia="宋体"/>
                <w:color w:val="000000"/>
                <w:kern w:val="0"/>
                <w:sz w:val="24"/>
                <w:lang w:val="en-US" w:eastAsia="zh-CN"/>
              </w:rPr>
            </w:pPr>
            <w:r>
              <w:rPr>
                <w:rFonts w:hint="eastAsia"/>
                <w:color w:val="000000"/>
                <w:kern w:val="0"/>
                <w:sz w:val="24"/>
              </w:rPr>
              <w:t>2</w:t>
            </w:r>
            <w:r>
              <w:rPr>
                <w:rFonts w:hint="eastAsia"/>
                <w:color w:val="000000"/>
                <w:kern w:val="0"/>
                <w:sz w:val="24"/>
                <w:lang w:val="en-US" w:eastAsia="zh-CN"/>
              </w:rPr>
              <w:t>024</w:t>
            </w:r>
            <w:r>
              <w:rPr>
                <w:rFonts w:hint="eastAsia"/>
                <w:color w:val="000000"/>
                <w:kern w:val="0"/>
                <w:sz w:val="24"/>
              </w:rPr>
              <w:t>年</w:t>
            </w:r>
            <w:r>
              <w:rPr>
                <w:rFonts w:hint="eastAsia"/>
                <w:color w:val="000000"/>
                <w:kern w:val="0"/>
                <w:sz w:val="24"/>
                <w:lang w:val="en-US" w:eastAsia="zh-CN"/>
              </w:rPr>
              <w:t>8</w:t>
            </w:r>
            <w:r>
              <w:rPr>
                <w:rFonts w:hint="eastAsia"/>
                <w:color w:val="000000"/>
                <w:kern w:val="0"/>
                <w:sz w:val="24"/>
              </w:rPr>
              <w:t>月</w:t>
            </w:r>
            <w:r>
              <w:rPr>
                <w:rFonts w:hint="eastAsia"/>
                <w:color w:val="000000"/>
                <w:kern w:val="0"/>
                <w:sz w:val="24"/>
                <w:lang w:val="en-US" w:eastAsia="zh-CN"/>
              </w:rPr>
              <w:t>29日</w:t>
            </w:r>
          </w:p>
        </w:tc>
      </w:tr>
      <w:tr w14:paraId="3913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71" w:type="dxa"/>
            <w:vAlign w:val="center"/>
          </w:tcPr>
          <w:p w14:paraId="0F20A750">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地点</w:t>
            </w:r>
          </w:p>
        </w:tc>
        <w:tc>
          <w:tcPr>
            <w:tcW w:w="7722" w:type="dxa"/>
            <w:vAlign w:val="center"/>
          </w:tcPr>
          <w:p w14:paraId="47E4A8AD">
            <w:pPr>
              <w:autoSpaceDE w:val="0"/>
              <w:autoSpaceDN w:val="0"/>
              <w:adjustRightInd w:val="0"/>
              <w:rPr>
                <w:rFonts w:hint="default" w:ascii="宋体" w:hAnsi="Calibri" w:eastAsia="宋体" w:cs="宋体"/>
                <w:color w:val="000000"/>
                <w:kern w:val="0"/>
                <w:sz w:val="24"/>
                <w:lang w:val="en-US" w:eastAsia="zh-CN"/>
              </w:rPr>
            </w:pPr>
            <w:r>
              <w:rPr>
                <w:rFonts w:hint="eastAsia" w:ascii="宋体" w:hAnsi="Calibri" w:cs="宋体"/>
                <w:color w:val="000000"/>
                <w:kern w:val="0"/>
                <w:sz w:val="24"/>
                <w:lang w:val="en-US" w:eastAsia="zh-CN"/>
              </w:rPr>
              <w:t>上海证券交易所上证路演中心</w:t>
            </w:r>
          </w:p>
        </w:tc>
      </w:tr>
      <w:tr w14:paraId="30F5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14:paraId="545F88A8">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公司接待人员姓名</w:t>
            </w:r>
          </w:p>
        </w:tc>
        <w:tc>
          <w:tcPr>
            <w:tcW w:w="7722" w:type="dxa"/>
            <w:vAlign w:val="center"/>
          </w:tcPr>
          <w:p w14:paraId="31ECCB1B">
            <w:pPr>
              <w:autoSpaceDE w:val="0"/>
              <w:autoSpaceDN w:val="0"/>
              <w:adjustRightInd w:val="0"/>
              <w:spacing w:line="460" w:lineRule="exact"/>
              <w:rPr>
                <w:rFonts w:hint="eastAsia" w:ascii="宋体" w:hAnsi="Calibri" w:eastAsia="宋体" w:cs="宋体"/>
                <w:color w:val="000000"/>
                <w:kern w:val="0"/>
                <w:sz w:val="24"/>
                <w:lang w:val="en-US" w:eastAsia="zh-CN"/>
              </w:rPr>
            </w:pPr>
            <w:r>
              <w:rPr>
                <w:rFonts w:hint="eastAsia" w:ascii="宋体" w:hAnsi="Calibri" w:cs="宋体"/>
                <w:color w:val="000000"/>
                <w:kern w:val="0"/>
                <w:sz w:val="24"/>
                <w:lang w:val="en-US" w:eastAsia="zh-CN"/>
              </w:rPr>
              <w:t>董事长兼总经理：樊崇</w:t>
            </w:r>
          </w:p>
          <w:p w14:paraId="7513D8F6">
            <w:pPr>
              <w:autoSpaceDE w:val="0"/>
              <w:autoSpaceDN w:val="0"/>
              <w:adjustRightInd w:val="0"/>
              <w:spacing w:line="460" w:lineRule="exact"/>
              <w:rPr>
                <w:rFonts w:hint="eastAsia" w:ascii="宋体" w:hAnsi="Calibri" w:cs="宋体"/>
                <w:color w:val="000000"/>
                <w:kern w:val="0"/>
                <w:sz w:val="24"/>
              </w:rPr>
            </w:pPr>
            <w:r>
              <w:rPr>
                <w:rFonts w:hint="eastAsia" w:ascii="宋体" w:hAnsi="Calibri" w:cs="宋体"/>
                <w:color w:val="000000"/>
                <w:kern w:val="0"/>
                <w:sz w:val="24"/>
              </w:rPr>
              <w:t>副总经理兼财务总监、董事会秘书：贾娜</w:t>
            </w:r>
          </w:p>
          <w:p w14:paraId="6F6605DE">
            <w:pPr>
              <w:autoSpaceDE w:val="0"/>
              <w:autoSpaceDN w:val="0"/>
              <w:adjustRightInd w:val="0"/>
              <w:spacing w:line="460" w:lineRule="exact"/>
              <w:ind w:left="0" w:leftChars="0" w:firstLine="0" w:firstLineChars="0"/>
              <w:rPr>
                <w:rFonts w:hint="default" w:eastAsia="宋体"/>
                <w:lang w:val="en-US" w:eastAsia="zh-CN"/>
              </w:rPr>
            </w:pPr>
            <w:r>
              <w:rPr>
                <w:rFonts w:hint="eastAsia" w:ascii="宋体" w:hAnsi="Calibri" w:cs="宋体"/>
                <w:color w:val="000000"/>
                <w:kern w:val="0"/>
                <w:sz w:val="24"/>
                <w:lang w:val="en-US" w:eastAsia="zh-CN"/>
              </w:rPr>
              <w:t>独立董事</w:t>
            </w:r>
            <w:r>
              <w:rPr>
                <w:rFonts w:hint="eastAsia" w:ascii="宋体" w:hAnsi="Calibri" w:cs="宋体"/>
                <w:color w:val="000000"/>
                <w:kern w:val="0"/>
                <w:sz w:val="24"/>
              </w:rPr>
              <w:t>：</w:t>
            </w:r>
            <w:r>
              <w:rPr>
                <w:rFonts w:hint="eastAsia" w:ascii="宋体" w:hAnsi="Calibri" w:cs="宋体"/>
                <w:color w:val="000000"/>
                <w:kern w:val="0"/>
                <w:sz w:val="24"/>
                <w:lang w:val="en-US" w:eastAsia="zh-CN"/>
              </w:rPr>
              <w:t>吴希慧</w:t>
            </w:r>
          </w:p>
        </w:tc>
      </w:tr>
      <w:tr w14:paraId="5355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vAlign w:val="center"/>
          </w:tcPr>
          <w:p w14:paraId="54B0FC1C">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投资者关系活动主要内容介绍</w:t>
            </w:r>
          </w:p>
        </w:tc>
        <w:tc>
          <w:tcPr>
            <w:tcW w:w="7722" w:type="dxa"/>
            <w:vAlign w:val="center"/>
          </w:tcPr>
          <w:p w14:paraId="2822C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sz w:val="24"/>
                <w:lang w:val="en-US" w:eastAsia="zh-CN"/>
              </w:rPr>
            </w:pPr>
            <w:r>
              <w:rPr>
                <w:rFonts w:hint="eastAsia" w:ascii="宋体" w:hAnsi="宋体" w:cs="宋体"/>
                <w:b/>
                <w:spacing w:val="0"/>
                <w:sz w:val="24"/>
                <w:lang w:val="en-US" w:eastAsia="zh-CN"/>
              </w:rPr>
              <w:t>1、</w:t>
            </w:r>
            <w:r>
              <w:rPr>
                <w:rFonts w:hint="eastAsia" w:ascii="宋体" w:hAnsi="宋体" w:cs="宋体"/>
                <w:b/>
                <w:sz w:val="24"/>
              </w:rPr>
              <w:t>请问公司研发有新计划吗,谢谢</w:t>
            </w:r>
            <w:r>
              <w:rPr>
                <w:rFonts w:hint="eastAsia" w:ascii="宋体" w:hAnsi="宋体" w:cs="宋体"/>
                <w:b/>
                <w:sz w:val="24"/>
                <w:lang w:val="en-US" w:eastAsia="zh-CN"/>
              </w:rPr>
              <w:t>？</w:t>
            </w:r>
          </w:p>
          <w:p w14:paraId="695CCB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尊敬的投资者您好！公司作为国家高新技术企业，高度重视科研，坚持自主创新。公司综合考虑市场需求、技术可行性等多个因素，确定适合公司战略目标的研发项目。2024年公司新增10余个研发项目，持续优化避雷器、电阻片及新产品的配方与生产工艺，致力于技术突破和产品升级。感谢您的关注。</w:t>
            </w:r>
          </w:p>
          <w:p w14:paraId="05262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2、公司在高端陶瓷材料领域深耕多年，公司特高压避雷器用陶瓷材料是自产还是外购？基于公司的传统优势，公司氮化铝氮化硅陶瓷材料研发试制进度如何，在性能上是否有优势？</w:t>
            </w:r>
          </w:p>
          <w:p w14:paraId="5BFB41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尊敬的投资者您好！ 公司主营业务避雷器的核心元器件电阻片主要由氧化锌和多种金属氧化物混合制成；公司生产的全品类避雷器产品所用的电阻片均为自研、自产。目前公司已完成常规氮化铝和氮化硅陶瓷基板、DBC和AMB覆铜陶瓷基板的研发，正致力于蚀刻、化学镀、激光切割等后道工艺的研究。详情请关注公司定期报告。感谢您的关注！</w:t>
            </w:r>
          </w:p>
          <w:p w14:paraId="73C6D4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sz w:val="24"/>
              </w:rPr>
            </w:pPr>
            <w:r>
              <w:rPr>
                <w:rFonts w:hint="eastAsia" w:ascii="宋体" w:hAnsi="宋体" w:cs="宋体"/>
                <w:b/>
                <w:sz w:val="24"/>
              </w:rPr>
              <w:t>公司的河南方城县以及内乡县两个新能源电动汽车公共充电智能服务网络基础设施建设项目合计合同金额超过3亿元，合同执行情况如何？截止半年报已经确认了多少销售收入？预计何时能够实现全部销售收入？</w:t>
            </w:r>
          </w:p>
          <w:p w14:paraId="45EE3F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尊敬的投资者您好！公司新能源汽车公共充电服务基础设施建设工程项目正按照计划实施中，公司根据客户需求进行履约及收入确认，具体情况请关注公司公告。感谢您的关注！</w:t>
            </w:r>
          </w:p>
          <w:p w14:paraId="727CE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4、公司股份回购金额区间为2000万-4000万元，目前公司仅仅回购了两千万元，公司单边下跌如此之久，公司是打算任由股价大跌，踩着回购下限回购吗？</w:t>
            </w:r>
          </w:p>
          <w:p w14:paraId="2D10E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尊敬的投资者您好！公司严格按照监管机构及章程有关规定实施回购，并兼顾公司可持续发展需求、所处行业特点等多方面因素综合考虑。后续如有相关计划，将按照规定及时履行信息披露义务。感谢您的关注和建议。 </w:t>
            </w:r>
          </w:p>
          <w:p w14:paraId="7B0E4F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5、请问樊董对于公司资本运作有无成熟思路或具体想法？公司上市三年来，在资本运作方面一直默默无闻，尽管营收及利润连续增长，也改变不了市值长期垫底的现实。公司除了内生发展以外，也得把握机会，考虑一下外研并购，请问公司在并购方面有无打算，相关并购业务，是否有专业团队？</w:t>
            </w:r>
          </w:p>
          <w:p w14:paraId="736E75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尊敬的投资者您好！公司若有并购重组相关计划，将严格按照信息披露的相关规定履行信息披露义务。感谢您的关注和建议！</w:t>
            </w:r>
          </w:p>
          <w:p w14:paraId="10C167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6、樊董说过的那句话，在一米的地方挖一百米深，令人印象深刻。在特高压避雷器产品已经占据国内头部位置的情况下，樊董在2022年半年度业绩说明会中表示，公司会借助资本市场的力量丰富融资渠道，支撑新能源业务的发展，打造公司成长的第二曲线，两年过去了，是否有相应成果，樊董初心还在吗？</w:t>
            </w:r>
          </w:p>
          <w:p w14:paraId="6F1B4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公司一直努力做好自身经营管理工作，实现公司经营业绩的持续、健康、稳健发展。近年来，公司在稳固并深化输配电业务的基础上，积极拓展新能源业务，通过技术研发、业务模式创新多方面的努力和完善，取得了一定成绩，2024年半年度公司</w:t>
            </w:r>
            <w:r>
              <w:rPr>
                <w:rFonts w:hint="eastAsia" w:ascii="宋体" w:hAnsi="宋体" w:cs="宋体"/>
                <w:sz w:val="24"/>
                <w:szCs w:val="24"/>
                <w:lang w:val="en-US" w:eastAsia="zh-CN"/>
              </w:rPr>
              <w:t>实现</w:t>
            </w:r>
            <w:r>
              <w:rPr>
                <w:rFonts w:hint="eastAsia" w:ascii="宋体" w:hAnsi="宋体" w:eastAsia="宋体" w:cs="宋体"/>
                <w:sz w:val="24"/>
                <w:szCs w:val="24"/>
                <w:lang w:val="en-US" w:eastAsia="zh-CN"/>
              </w:rPr>
              <w:t>营收、净利双增长。感谢您的关注！</w:t>
            </w:r>
          </w:p>
          <w:p w14:paraId="1488F8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7、财政部等三部门近日发布通知，将在2024年至2026年开展“百县千站万桩”试点工程，加强重点村镇新能源汽车充换电设施规划建设。中央财政将安排奖励资金支持试点县开展试点工作，力争实现充换电基础设施“乡乡全覆盖”。公司深耕县域充电桩市场领域，成效如何？公司是否有借助资本市场力量往充电桩运营业务拓展的打算？</w:t>
            </w:r>
          </w:p>
          <w:p w14:paraId="7003BF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尊敬的投资者您好！公司专注县域充电桩市场，积极参与地方政府下属平台公司招标，并不断开发B端、C端市场，</w:t>
            </w:r>
            <w:r>
              <w:rPr>
                <w:rFonts w:hint="eastAsia" w:ascii="宋体" w:hAnsi="宋体" w:cs="宋体"/>
                <w:sz w:val="24"/>
                <w:szCs w:val="24"/>
                <w:lang w:val="en-US" w:eastAsia="zh-CN"/>
              </w:rPr>
              <w:t>陆续</w:t>
            </w:r>
            <w:r>
              <w:rPr>
                <w:rFonts w:hint="eastAsia" w:ascii="宋体" w:hAnsi="宋体" w:eastAsia="宋体" w:cs="宋体"/>
                <w:sz w:val="24"/>
                <w:szCs w:val="24"/>
                <w:lang w:val="en-US" w:eastAsia="zh-CN"/>
              </w:rPr>
              <w:t>取得订单。</w:t>
            </w:r>
            <w:r>
              <w:rPr>
                <w:rFonts w:hint="eastAsia" w:ascii="宋体" w:hAnsi="宋体" w:cs="宋体"/>
                <w:sz w:val="24"/>
                <w:szCs w:val="24"/>
                <w:lang w:val="en-US" w:eastAsia="zh-CN"/>
              </w:rPr>
              <w:t>公司</w:t>
            </w:r>
            <w:r>
              <w:rPr>
                <w:rFonts w:hint="eastAsia" w:ascii="宋体" w:hAnsi="宋体" w:eastAsia="宋体" w:cs="宋体"/>
                <w:sz w:val="24"/>
                <w:szCs w:val="24"/>
                <w:lang w:val="en-US" w:eastAsia="zh-CN"/>
              </w:rPr>
              <w:t>充电桩业务后续发展动态请关注公司定期报告及临时公告。感谢您的关注！</w:t>
            </w:r>
          </w:p>
          <w:p w14:paraId="7FFD5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8、公司今年的充电桩销售情况如何？目前在手充电桩订单有多少？</w:t>
            </w:r>
          </w:p>
          <w:p w14:paraId="3CABA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 公司专注县域充电桩市场，积极参与地方政府下属平台公司招标，并不断开发B端、C端市场。感谢您的关注！</w:t>
            </w:r>
          </w:p>
          <w:p w14:paraId="68B650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9、由于公司半年度报告没有细化披露具体细分业务收入构成，因此在此问一下财务总监女士，今年上半年公司充电桩以及特高压避雷器各取得多少销售收入，同比去年增幅多少？</w:t>
            </w:r>
          </w:p>
          <w:p w14:paraId="5296D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尊敬的投资者您好！公司主要产品为输配电设备、新能源产品，公司根据客户需求进行履约及收入确认，具体情况请关注公司公告。感谢您的关注！</w:t>
            </w:r>
          </w:p>
          <w:p w14:paraId="5D5EF7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10、公司储能业务进展如何？</w:t>
            </w:r>
          </w:p>
          <w:p w14:paraId="26FB24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投资者您好！公司已开展了100kW三相四线制储能PCS的自主研发工作，采用模块化风冷设计、先进的DPWM调制策略，产品具备带完全不平衡负载能力及应用灵活高效等优势，可应用于工商业储能、微电网建设、交直流母线能量交互场合。储能业务后续发展动态请关注公司定期报告及临时公告。感谢您的关注！</w:t>
            </w:r>
          </w:p>
          <w:p w14:paraId="664E96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11、公司的电阻片产能如何，是否有批量对外销售？主要应用于哪些行业？</w:t>
            </w:r>
          </w:p>
          <w:p w14:paraId="7B4BC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lang w:val="en-US" w:eastAsia="zh-CN"/>
              </w:rPr>
            </w:pPr>
            <w:r>
              <w:rPr>
                <w:rFonts w:hint="eastAsia" w:ascii="宋体" w:hAnsi="宋体" w:eastAsia="宋体" w:cs="宋体"/>
                <w:sz w:val="24"/>
                <w:szCs w:val="24"/>
                <w:lang w:val="en-US" w:eastAsia="zh-CN"/>
              </w:rPr>
              <w:t>尊敬的投资者您好！电阻片作为避雷器的核心元器件，是避雷器的重要组成部分，避雷器用于电力系统的输变电线路、电站、发电厂、电气化铁路输电线路、机车、工矿企业的输电线路等过电压防护。公司电阻片产能充分满足避雷器生产的需求。为进一步提升电阻片业务的竞争力与市场份额，公司已在筹建内乡产业园电阻片产线，届时产能将进一步释放，助力公司电阻片业务快速增长。感谢您的关注！</w:t>
            </w:r>
          </w:p>
        </w:tc>
      </w:tr>
      <w:tr w14:paraId="25B7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71" w:type="dxa"/>
            <w:tcBorders>
              <w:bottom w:val="single" w:color="auto" w:sz="4" w:space="0"/>
            </w:tcBorders>
            <w:vAlign w:val="center"/>
          </w:tcPr>
          <w:p w14:paraId="643E2A7F">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附件</w:t>
            </w:r>
          </w:p>
          <w:p w14:paraId="0C7DAF81">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清单</w:t>
            </w:r>
          </w:p>
        </w:tc>
        <w:tc>
          <w:tcPr>
            <w:tcW w:w="7722" w:type="dxa"/>
            <w:tcBorders>
              <w:bottom w:val="single" w:color="auto" w:sz="4" w:space="0"/>
            </w:tcBorders>
            <w:vAlign w:val="center"/>
          </w:tcPr>
          <w:p w14:paraId="7DA4D11B">
            <w:pPr>
              <w:rPr>
                <w:rFonts w:ascii="宋体" w:hAnsi="宋体" w:cs="宋体"/>
                <w:color w:val="000000"/>
                <w:kern w:val="0"/>
                <w:sz w:val="24"/>
              </w:rPr>
            </w:pPr>
            <w:r>
              <w:rPr>
                <w:rFonts w:hint="eastAsia" w:ascii="宋体" w:hAnsi="宋体" w:cs="宋体"/>
                <w:color w:val="000000"/>
                <w:kern w:val="0"/>
                <w:sz w:val="24"/>
              </w:rPr>
              <w:t>无</w:t>
            </w:r>
          </w:p>
        </w:tc>
      </w:tr>
    </w:tbl>
    <w:p w14:paraId="2ED93080">
      <w:pPr>
        <w:rPr>
          <w:rFonts w:ascii="宋体" w:hAnsi="宋体" w:cs="宋体"/>
          <w:color w:val="000000"/>
          <w:kern w:val="0"/>
          <w:sz w:val="24"/>
        </w:rPr>
      </w:pPr>
    </w:p>
    <w:p w14:paraId="095D5C9F">
      <w:pPr>
        <w:rPr>
          <w:rFonts w:ascii="宋体" w:hAnsi="宋体" w:cs="宋体"/>
          <w:color w:val="000000"/>
          <w:kern w:val="0"/>
          <w:sz w:val="24"/>
        </w:rPr>
      </w:pPr>
    </w:p>
    <w:sectPr>
      <w:headerReference r:id="rId3" w:type="first"/>
      <w:footerReference r:id="rId5" w:type="first"/>
      <w:footerReference r:id="rId4" w:type="default"/>
      <w:pgSz w:w="11906" w:h="16838"/>
      <w:pgMar w:top="1304" w:right="1797" w:bottom="130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218F">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AE3C">
    <w:pPr>
      <w:pStyle w:val="4"/>
      <w:jc w:val="center"/>
    </w:pPr>
    <w:r>
      <w:t>-</w:t>
    </w: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r>
      <w:rPr>
        <w:rStyle w:val="13"/>
      </w:rPr>
      <w:t>-</w:t>
    </w:r>
  </w:p>
  <w:p w14:paraId="4DAC8EB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AF5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EE17"/>
    <w:multiLevelType w:val="singleLevel"/>
    <w:tmpl w:val="1335EE1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YTU1MzA4Y2UxOThkYjk2NjYwNWIzNmM5ODdkMTQifQ=="/>
    <w:docVar w:name="KSO_WPS_MARK_KEY" w:val="4d4a2ea5-7e0d-46c6-be9f-b256dca1748d"/>
  </w:docVars>
  <w:rsids>
    <w:rsidRoot w:val="00172A27"/>
    <w:rsid w:val="00004ADB"/>
    <w:rsid w:val="00004F2F"/>
    <w:rsid w:val="00070C9B"/>
    <w:rsid w:val="00074F3D"/>
    <w:rsid w:val="00087DB6"/>
    <w:rsid w:val="00093E67"/>
    <w:rsid w:val="00096874"/>
    <w:rsid w:val="000B2347"/>
    <w:rsid w:val="000D3B07"/>
    <w:rsid w:val="000D799E"/>
    <w:rsid w:val="000E2ED3"/>
    <w:rsid w:val="000E30A9"/>
    <w:rsid w:val="00142518"/>
    <w:rsid w:val="00144061"/>
    <w:rsid w:val="00144672"/>
    <w:rsid w:val="00161351"/>
    <w:rsid w:val="00172A27"/>
    <w:rsid w:val="00176017"/>
    <w:rsid w:val="00187E2D"/>
    <w:rsid w:val="001957FC"/>
    <w:rsid w:val="001A13BD"/>
    <w:rsid w:val="001A5927"/>
    <w:rsid w:val="001A7356"/>
    <w:rsid w:val="00203129"/>
    <w:rsid w:val="0021285C"/>
    <w:rsid w:val="00213C9E"/>
    <w:rsid w:val="00234FC8"/>
    <w:rsid w:val="002448F3"/>
    <w:rsid w:val="002A0C59"/>
    <w:rsid w:val="002C10C4"/>
    <w:rsid w:val="002D122F"/>
    <w:rsid w:val="002E47B8"/>
    <w:rsid w:val="00304BDB"/>
    <w:rsid w:val="00315E48"/>
    <w:rsid w:val="00341506"/>
    <w:rsid w:val="003576D8"/>
    <w:rsid w:val="00367740"/>
    <w:rsid w:val="00370C8B"/>
    <w:rsid w:val="003903C0"/>
    <w:rsid w:val="00397E19"/>
    <w:rsid w:val="003D089D"/>
    <w:rsid w:val="003D6191"/>
    <w:rsid w:val="003E5DEA"/>
    <w:rsid w:val="003F0B2B"/>
    <w:rsid w:val="003F651B"/>
    <w:rsid w:val="00414F4D"/>
    <w:rsid w:val="00426F4A"/>
    <w:rsid w:val="00450B1D"/>
    <w:rsid w:val="00471FAC"/>
    <w:rsid w:val="00474BFD"/>
    <w:rsid w:val="0048081E"/>
    <w:rsid w:val="0049224F"/>
    <w:rsid w:val="00494A56"/>
    <w:rsid w:val="0049713B"/>
    <w:rsid w:val="004A1B88"/>
    <w:rsid w:val="004A2240"/>
    <w:rsid w:val="004D23EA"/>
    <w:rsid w:val="004E558E"/>
    <w:rsid w:val="005518C5"/>
    <w:rsid w:val="005642B9"/>
    <w:rsid w:val="00577071"/>
    <w:rsid w:val="00580352"/>
    <w:rsid w:val="00591C01"/>
    <w:rsid w:val="005A5B18"/>
    <w:rsid w:val="005C7E87"/>
    <w:rsid w:val="005D3532"/>
    <w:rsid w:val="005D6EF2"/>
    <w:rsid w:val="005D71EC"/>
    <w:rsid w:val="005F3D34"/>
    <w:rsid w:val="005F500A"/>
    <w:rsid w:val="006060BF"/>
    <w:rsid w:val="00606753"/>
    <w:rsid w:val="00624F16"/>
    <w:rsid w:val="006427F7"/>
    <w:rsid w:val="00647405"/>
    <w:rsid w:val="00652983"/>
    <w:rsid w:val="00657A82"/>
    <w:rsid w:val="006623CA"/>
    <w:rsid w:val="00675E41"/>
    <w:rsid w:val="006A28C7"/>
    <w:rsid w:val="006B1422"/>
    <w:rsid w:val="006C0103"/>
    <w:rsid w:val="006C0AFF"/>
    <w:rsid w:val="006C17FF"/>
    <w:rsid w:val="006D1871"/>
    <w:rsid w:val="006E33B7"/>
    <w:rsid w:val="0071220C"/>
    <w:rsid w:val="00715181"/>
    <w:rsid w:val="00722DCC"/>
    <w:rsid w:val="007264CB"/>
    <w:rsid w:val="00735E2E"/>
    <w:rsid w:val="00776728"/>
    <w:rsid w:val="007B384E"/>
    <w:rsid w:val="007B4A09"/>
    <w:rsid w:val="007D7222"/>
    <w:rsid w:val="007D7676"/>
    <w:rsid w:val="007E3DF4"/>
    <w:rsid w:val="007F5E30"/>
    <w:rsid w:val="008000BE"/>
    <w:rsid w:val="008050A0"/>
    <w:rsid w:val="00807B75"/>
    <w:rsid w:val="008307A2"/>
    <w:rsid w:val="008309D7"/>
    <w:rsid w:val="0083475A"/>
    <w:rsid w:val="00835E92"/>
    <w:rsid w:val="008411CB"/>
    <w:rsid w:val="008419A2"/>
    <w:rsid w:val="0084473D"/>
    <w:rsid w:val="00852B74"/>
    <w:rsid w:val="00877B59"/>
    <w:rsid w:val="00880DC8"/>
    <w:rsid w:val="008B3404"/>
    <w:rsid w:val="008B72A8"/>
    <w:rsid w:val="008E6C29"/>
    <w:rsid w:val="008E7D2F"/>
    <w:rsid w:val="00901472"/>
    <w:rsid w:val="0090559E"/>
    <w:rsid w:val="00905EB3"/>
    <w:rsid w:val="009063DE"/>
    <w:rsid w:val="00907C86"/>
    <w:rsid w:val="0091048F"/>
    <w:rsid w:val="00914A4E"/>
    <w:rsid w:val="00922CCC"/>
    <w:rsid w:val="00943376"/>
    <w:rsid w:val="00947011"/>
    <w:rsid w:val="00966CDC"/>
    <w:rsid w:val="00977B4E"/>
    <w:rsid w:val="00984DBF"/>
    <w:rsid w:val="009A5868"/>
    <w:rsid w:val="009B4482"/>
    <w:rsid w:val="009C778F"/>
    <w:rsid w:val="009E72F7"/>
    <w:rsid w:val="009F0322"/>
    <w:rsid w:val="00A12CFB"/>
    <w:rsid w:val="00A437EA"/>
    <w:rsid w:val="00A45BF1"/>
    <w:rsid w:val="00A5175C"/>
    <w:rsid w:val="00A552F3"/>
    <w:rsid w:val="00A57063"/>
    <w:rsid w:val="00A62D25"/>
    <w:rsid w:val="00A630D3"/>
    <w:rsid w:val="00A63E52"/>
    <w:rsid w:val="00A67EAD"/>
    <w:rsid w:val="00A77B3B"/>
    <w:rsid w:val="00A77DA5"/>
    <w:rsid w:val="00A81053"/>
    <w:rsid w:val="00AA53F6"/>
    <w:rsid w:val="00AF2564"/>
    <w:rsid w:val="00AF395D"/>
    <w:rsid w:val="00B14993"/>
    <w:rsid w:val="00B339BA"/>
    <w:rsid w:val="00B44347"/>
    <w:rsid w:val="00B446A5"/>
    <w:rsid w:val="00B51102"/>
    <w:rsid w:val="00B5127F"/>
    <w:rsid w:val="00B8491C"/>
    <w:rsid w:val="00BA1575"/>
    <w:rsid w:val="00BD2C2F"/>
    <w:rsid w:val="00BD2CF7"/>
    <w:rsid w:val="00BE0A85"/>
    <w:rsid w:val="00BF670B"/>
    <w:rsid w:val="00C17A94"/>
    <w:rsid w:val="00C25035"/>
    <w:rsid w:val="00C352F7"/>
    <w:rsid w:val="00C36519"/>
    <w:rsid w:val="00C43BC5"/>
    <w:rsid w:val="00C704BA"/>
    <w:rsid w:val="00C75529"/>
    <w:rsid w:val="00CA587D"/>
    <w:rsid w:val="00CA7142"/>
    <w:rsid w:val="00CB0B28"/>
    <w:rsid w:val="00CB11C4"/>
    <w:rsid w:val="00CC1D1E"/>
    <w:rsid w:val="00CD3967"/>
    <w:rsid w:val="00CF173A"/>
    <w:rsid w:val="00CF365D"/>
    <w:rsid w:val="00D022F3"/>
    <w:rsid w:val="00D32235"/>
    <w:rsid w:val="00D450C1"/>
    <w:rsid w:val="00D53E42"/>
    <w:rsid w:val="00DB1147"/>
    <w:rsid w:val="00DD291D"/>
    <w:rsid w:val="00DD6DF8"/>
    <w:rsid w:val="00DE2B8C"/>
    <w:rsid w:val="00DE7253"/>
    <w:rsid w:val="00E03494"/>
    <w:rsid w:val="00E04FD8"/>
    <w:rsid w:val="00E055E3"/>
    <w:rsid w:val="00E10267"/>
    <w:rsid w:val="00E2717F"/>
    <w:rsid w:val="00E44A97"/>
    <w:rsid w:val="00E71F08"/>
    <w:rsid w:val="00E9725F"/>
    <w:rsid w:val="00EA7FF3"/>
    <w:rsid w:val="00EB413C"/>
    <w:rsid w:val="00EC4071"/>
    <w:rsid w:val="00EC5341"/>
    <w:rsid w:val="00EE1A36"/>
    <w:rsid w:val="00F0689B"/>
    <w:rsid w:val="00F3216C"/>
    <w:rsid w:val="00F45C9D"/>
    <w:rsid w:val="00F462BA"/>
    <w:rsid w:val="00F63350"/>
    <w:rsid w:val="00F65ED7"/>
    <w:rsid w:val="00F7596E"/>
    <w:rsid w:val="00F775D2"/>
    <w:rsid w:val="00F92761"/>
    <w:rsid w:val="00FB0278"/>
    <w:rsid w:val="00FB4CB6"/>
    <w:rsid w:val="00FB7230"/>
    <w:rsid w:val="00FD4D02"/>
    <w:rsid w:val="00FF61C3"/>
    <w:rsid w:val="00FF635B"/>
    <w:rsid w:val="016D018B"/>
    <w:rsid w:val="023A1064"/>
    <w:rsid w:val="02CE1FD2"/>
    <w:rsid w:val="05F73ED5"/>
    <w:rsid w:val="075C5298"/>
    <w:rsid w:val="07DE0E81"/>
    <w:rsid w:val="0C1237DB"/>
    <w:rsid w:val="0CEA71A1"/>
    <w:rsid w:val="0D1C7316"/>
    <w:rsid w:val="0DAE7F22"/>
    <w:rsid w:val="11FB53E6"/>
    <w:rsid w:val="138429B6"/>
    <w:rsid w:val="13937C48"/>
    <w:rsid w:val="13FD600E"/>
    <w:rsid w:val="1424171D"/>
    <w:rsid w:val="14DD558B"/>
    <w:rsid w:val="15D7537D"/>
    <w:rsid w:val="1729659A"/>
    <w:rsid w:val="1C352D76"/>
    <w:rsid w:val="1F736A33"/>
    <w:rsid w:val="1FA62463"/>
    <w:rsid w:val="20FB3719"/>
    <w:rsid w:val="225C5A11"/>
    <w:rsid w:val="23D02ABE"/>
    <w:rsid w:val="24A04566"/>
    <w:rsid w:val="25B24CEA"/>
    <w:rsid w:val="26225532"/>
    <w:rsid w:val="27501099"/>
    <w:rsid w:val="28F01E8D"/>
    <w:rsid w:val="290119D9"/>
    <w:rsid w:val="29433843"/>
    <w:rsid w:val="29946E6A"/>
    <w:rsid w:val="2CEB783B"/>
    <w:rsid w:val="2F7A3D93"/>
    <w:rsid w:val="3119389F"/>
    <w:rsid w:val="3122462A"/>
    <w:rsid w:val="315F4133"/>
    <w:rsid w:val="32064FFD"/>
    <w:rsid w:val="338E0939"/>
    <w:rsid w:val="341F3B92"/>
    <w:rsid w:val="34AC5342"/>
    <w:rsid w:val="3642219F"/>
    <w:rsid w:val="373C0A82"/>
    <w:rsid w:val="37856537"/>
    <w:rsid w:val="3A5B0C83"/>
    <w:rsid w:val="3B1748CF"/>
    <w:rsid w:val="3CCA3379"/>
    <w:rsid w:val="3D4803A6"/>
    <w:rsid w:val="3D5B705F"/>
    <w:rsid w:val="408F0186"/>
    <w:rsid w:val="44057262"/>
    <w:rsid w:val="44AD4E1A"/>
    <w:rsid w:val="45BE400C"/>
    <w:rsid w:val="49AE0E90"/>
    <w:rsid w:val="4DFD7181"/>
    <w:rsid w:val="50344D25"/>
    <w:rsid w:val="504E0C48"/>
    <w:rsid w:val="50ED1BA0"/>
    <w:rsid w:val="52D140B7"/>
    <w:rsid w:val="52D946DE"/>
    <w:rsid w:val="530F204F"/>
    <w:rsid w:val="534734E5"/>
    <w:rsid w:val="54EC6A5F"/>
    <w:rsid w:val="55DA4912"/>
    <w:rsid w:val="55E821FD"/>
    <w:rsid w:val="569E71AA"/>
    <w:rsid w:val="56A0411D"/>
    <w:rsid w:val="58FE53CC"/>
    <w:rsid w:val="592E1A58"/>
    <w:rsid w:val="592F04A1"/>
    <w:rsid w:val="5B591377"/>
    <w:rsid w:val="5D6669BE"/>
    <w:rsid w:val="5E86208F"/>
    <w:rsid w:val="619E3075"/>
    <w:rsid w:val="62154E00"/>
    <w:rsid w:val="63436C5F"/>
    <w:rsid w:val="64A5771C"/>
    <w:rsid w:val="64E04D93"/>
    <w:rsid w:val="67C623D5"/>
    <w:rsid w:val="680F7AC7"/>
    <w:rsid w:val="68A021CE"/>
    <w:rsid w:val="68A21128"/>
    <w:rsid w:val="68D84919"/>
    <w:rsid w:val="6AB46566"/>
    <w:rsid w:val="6B221811"/>
    <w:rsid w:val="6B3D3D8F"/>
    <w:rsid w:val="6BDE1E34"/>
    <w:rsid w:val="6EA34DFA"/>
    <w:rsid w:val="711F20AE"/>
    <w:rsid w:val="71436953"/>
    <w:rsid w:val="718C1DBC"/>
    <w:rsid w:val="71DB27B2"/>
    <w:rsid w:val="727F24CD"/>
    <w:rsid w:val="72F93DB9"/>
    <w:rsid w:val="7779293F"/>
    <w:rsid w:val="7A536ACA"/>
    <w:rsid w:val="7EF1191F"/>
    <w:rsid w:val="7FC033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widowControl w:val="0"/>
      <w:spacing w:after="120"/>
      <w:jc w:val="both"/>
    </w:pPr>
    <w:rPr>
      <w:rFonts w:ascii="Times New Roman" w:hAnsi="Times New Roman" w:cs="Times New Roman"/>
      <w:kern w:val="2"/>
      <w:szCs w:val="21"/>
    </w:rPr>
  </w:style>
  <w:style w:type="paragraph" w:styleId="3">
    <w:name w:val="Body Text Indent"/>
    <w:basedOn w:val="1"/>
    <w:unhideWhenUsed/>
    <w:qFormat/>
    <w:uiPriority w:val="99"/>
    <w:pPr>
      <w:spacing w:after="120"/>
      <w:ind w:left="420" w:leftChars="20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sz w:val="24"/>
    </w:rPr>
  </w:style>
  <w:style w:type="paragraph" w:styleId="8">
    <w:name w:val="Title"/>
    <w:basedOn w:val="1"/>
    <w:next w:val="1"/>
    <w:qFormat/>
    <w:uiPriority w:val="10"/>
    <w:pPr>
      <w:spacing w:after="60"/>
      <w:jc w:val="left"/>
      <w:outlineLvl w:val="0"/>
    </w:pPr>
    <w:rPr>
      <w:rFonts w:asciiTheme="majorHAnsi" w:hAnsiTheme="majorHAnsi" w:cstheme="majorBidi"/>
      <w:b/>
      <w:bCs/>
      <w:sz w:val="32"/>
      <w:szCs w:val="32"/>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rPr>
  </w:style>
  <w:style w:type="character" w:customStyle="1" w:styleId="15">
    <w:name w:val="页眉 字符"/>
    <w:link w:val="5"/>
    <w:qFormat/>
    <w:uiPriority w:val="99"/>
    <w:rPr>
      <w:sz w:val="18"/>
      <w:szCs w:val="18"/>
    </w:rPr>
  </w:style>
  <w:style w:type="character" w:customStyle="1" w:styleId="16">
    <w:name w:val="页脚 字符"/>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8">
    <w:name w:val="List Paragraph"/>
    <w:basedOn w:val="1"/>
    <w:qFormat/>
    <w:uiPriority w:val="34"/>
    <w:pPr>
      <w:ind w:firstLine="420" w:firstLineChars="200"/>
    </w:pPr>
    <w:rPr>
      <w:rFonts w:ascii="等线" w:hAnsi="等线" w:eastAsia="等线"/>
      <w:szCs w:val="22"/>
    </w:rPr>
  </w:style>
  <w:style w:type="paragraph" w:customStyle="1" w:styleId="19">
    <w:name w:val="msolistparagraph"/>
    <w:basedOn w:val="1"/>
    <w:qFormat/>
    <w:uiPriority w:val="0"/>
    <w:pPr>
      <w:ind w:firstLine="420" w:firstLineChars="200"/>
    </w:pPr>
    <w:rPr>
      <w:rFonts w:hint="eastAsia" w:ascii="等线" w:hAnsi="等线" w:eastAsia="等线"/>
      <w:szCs w:val="22"/>
    </w:rPr>
  </w:style>
  <w:style w:type="paragraph" w:customStyle="1" w:styleId="20">
    <w:name w:val="005正文"/>
    <w:basedOn w:val="1"/>
    <w:link w:val="21"/>
    <w:qFormat/>
    <w:uiPriority w:val="0"/>
    <w:pPr>
      <w:spacing w:beforeLines="50"/>
    </w:pPr>
    <w:rPr>
      <w:szCs w:val="22"/>
    </w:rPr>
  </w:style>
  <w:style w:type="character" w:customStyle="1" w:styleId="21">
    <w:name w:val="005正文 Char"/>
    <w:link w:val="20"/>
    <w:qFormat/>
    <w:uiPriority w:val="0"/>
    <w:rPr>
      <w:rFonts w:hint="default" w:ascii="Times New Roman" w:hAnsi="Times New Roman" w:cs="Times New Roman"/>
      <w:kern w:val="2"/>
      <w:sz w:val="21"/>
      <w:szCs w:val="22"/>
    </w:rPr>
  </w:style>
  <w:style w:type="paragraph" w:customStyle="1" w:styleId="22">
    <w:name w:val="日常使用"/>
    <w:basedOn w:val="1"/>
    <w:link w:val="23"/>
    <w:qFormat/>
    <w:uiPriority w:val="0"/>
    <w:pPr>
      <w:spacing w:line="460" w:lineRule="exact"/>
      <w:ind w:firstLine="200" w:firstLineChars="200"/>
    </w:pPr>
    <w:rPr>
      <w:sz w:val="24"/>
      <w:szCs w:val="19"/>
      <w:shd w:val="clear" w:color="auto" w:fill="FFFFFF"/>
    </w:rPr>
  </w:style>
  <w:style w:type="character" w:customStyle="1" w:styleId="23">
    <w:name w:val="日常使用 字符"/>
    <w:link w:val="22"/>
    <w:qFormat/>
    <w:uiPriority w:val="0"/>
    <w:rPr>
      <w:rFonts w:ascii="Times New Roman" w:hAnsi="Times New Roman" w:cs="Times New Roman"/>
      <w:kern w:val="2"/>
      <w:sz w:val="24"/>
      <w:szCs w:val="19"/>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5CF8298C-0410-49CB-837A-9C2C6F535C88}">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2189</Words>
  <Characters>2243</Characters>
  <Lines>24</Lines>
  <Paragraphs>6</Paragraphs>
  <TotalTime>46</TotalTime>
  <ScaleCrop>false</ScaleCrop>
  <LinksUpToDate>false</LinksUpToDate>
  <CharactersWithSpaces>2298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2023-06-29T08:51:00Z</dcterms:created>
  <dc:creator>LYH</dc:creator>
  <cp:lastModifiedBy>liu yanna</cp:lastModifiedBy>
  <cp:lastPrinted>2024-02-07T08:58:00Z</cp:lastPrinted>
  <dcterms:modified xsi:type="dcterms:W3CDTF">2024-08-29T09:10:35Z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562CFC311587425E82146716AC6CDDE4_13</vt:lpwstr>
  </property>
</Properties>
</file>