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901D2">
      <w:pPr>
        <w:spacing w:before="156" w:beforeLines="50" w:after="156" w:afterLines="50" w:line="400" w:lineRule="exact"/>
        <w:ind w:firstLine="0" w:firstLineChars="0"/>
        <w:rPr>
          <w:rFonts w:hint="eastAsia" w:ascii="宋体" w:hAnsi="宋体"/>
          <w:bCs/>
          <w:iCs/>
          <w:color w:val="000000"/>
          <w:szCs w:val="22"/>
        </w:rPr>
      </w:pPr>
      <w:r>
        <w:rPr>
          <w:rFonts w:hint="eastAsia" w:ascii="宋体" w:hAnsi="宋体"/>
          <w:bCs/>
          <w:iCs/>
          <w:color w:val="000000"/>
          <w:szCs w:val="22"/>
        </w:rPr>
        <w:t>证券代码：</w:t>
      </w:r>
      <w:r>
        <w:rPr>
          <w:rFonts w:ascii="宋体" w:hAnsi="宋体"/>
          <w:bCs/>
          <w:iCs/>
          <w:color w:val="000000"/>
          <w:szCs w:val="22"/>
        </w:rPr>
        <w:t>688</w:t>
      </w:r>
      <w:r>
        <w:rPr>
          <w:rFonts w:hint="eastAsia" w:ascii="宋体" w:hAnsi="宋体"/>
          <w:bCs/>
          <w:iCs/>
          <w:color w:val="000000"/>
          <w:szCs w:val="22"/>
        </w:rPr>
        <w:t xml:space="preserve">597                           </w:t>
      </w:r>
      <w:r>
        <w:rPr>
          <w:rFonts w:ascii="宋体" w:hAnsi="宋体"/>
          <w:bCs/>
          <w:iCs/>
          <w:color w:val="000000"/>
          <w:szCs w:val="22"/>
        </w:rPr>
        <w:t xml:space="preserve">      </w:t>
      </w:r>
      <w:r>
        <w:rPr>
          <w:rFonts w:hint="eastAsia" w:ascii="宋体" w:hAnsi="宋体"/>
          <w:bCs/>
          <w:iCs/>
          <w:color w:val="000000"/>
          <w:szCs w:val="22"/>
        </w:rPr>
        <w:t>证券简称：煜邦电力</w:t>
      </w:r>
    </w:p>
    <w:p w14:paraId="1A8E80EC">
      <w:pPr>
        <w:spacing w:before="156" w:beforeLines="50" w:after="156" w:afterLines="50" w:line="400" w:lineRule="exact"/>
        <w:ind w:firstLine="0" w:firstLineChars="0"/>
        <w:rPr>
          <w:rFonts w:hint="default" w:ascii="宋体" w:hAnsi="宋体" w:eastAsia="宋体"/>
          <w:bCs/>
          <w:iCs/>
          <w:color w:val="000000"/>
          <w:szCs w:val="22"/>
          <w:lang w:val="en-US" w:eastAsia="zh-CN"/>
        </w:rPr>
      </w:pPr>
      <w:r>
        <w:rPr>
          <w:rFonts w:hint="eastAsia" w:ascii="宋体" w:hAnsi="宋体"/>
          <w:bCs/>
          <w:iCs/>
          <w:color w:val="000000"/>
          <w:szCs w:val="22"/>
          <w:lang w:val="en-US" w:eastAsia="zh-CN"/>
        </w:rPr>
        <w:t xml:space="preserve">转债代码：118039                                 </w:t>
      </w:r>
      <w:r>
        <w:rPr>
          <w:rFonts w:hint="eastAsia"/>
          <w:color w:val="000000"/>
          <w:sz w:val="24"/>
          <w:szCs w:val="24"/>
        </w:rPr>
        <w:t>债券简称：煜邦转债</w:t>
      </w:r>
    </w:p>
    <w:p w14:paraId="1E4B083C">
      <w:pPr>
        <w:ind w:firstLine="482"/>
        <w:jc w:val="center"/>
        <w:rPr>
          <w:rFonts w:ascii="宋体" w:hAnsi="宋体"/>
          <w:b/>
          <w:bCs/>
          <w:iCs/>
          <w:color w:val="000000"/>
          <w:sz w:val="28"/>
          <w:szCs w:val="28"/>
        </w:rPr>
      </w:pPr>
      <w:r>
        <w:rPr>
          <w:rFonts w:hint="eastAsia" w:ascii="宋体" w:hAnsi="宋体"/>
          <w:b/>
          <w:bCs/>
          <w:iCs/>
          <w:color w:val="000000"/>
          <w:sz w:val="28"/>
          <w:szCs w:val="28"/>
        </w:rPr>
        <w:t>北京煜邦电力技术股份有限公司投资者关系活动记录表</w:t>
      </w:r>
    </w:p>
    <w:p w14:paraId="6A40201D">
      <w:pPr>
        <w:spacing w:line="400" w:lineRule="exact"/>
        <w:ind w:firstLine="480"/>
        <w:rPr>
          <w:rFonts w:hint="eastAsia" w:ascii="宋体" w:hAnsi="宋体" w:eastAsia="宋体"/>
          <w:bCs/>
          <w:iCs/>
          <w:color w:val="000000"/>
          <w:lang w:eastAsia="zh-CN"/>
        </w:rPr>
      </w:pPr>
      <w:r>
        <w:rPr>
          <w:rFonts w:hint="eastAsia" w:ascii="宋体" w:hAnsi="宋体"/>
          <w:bCs/>
          <w:iCs/>
          <w:color w:val="000000"/>
        </w:rPr>
        <w:t xml:space="preserve">                                                    编号：202</w:t>
      </w:r>
      <w:r>
        <w:rPr>
          <w:rFonts w:hint="eastAsia" w:ascii="宋体" w:hAnsi="宋体"/>
          <w:bCs/>
          <w:iCs/>
          <w:color w:val="000000"/>
          <w:lang w:val="en-US" w:eastAsia="zh-CN"/>
        </w:rPr>
        <w:t>4</w:t>
      </w:r>
      <w:r>
        <w:rPr>
          <w:rFonts w:hint="eastAsia" w:ascii="宋体" w:hAnsi="宋体"/>
          <w:bCs/>
          <w:iCs/>
          <w:color w:val="000000"/>
        </w:rPr>
        <w:t>-0</w:t>
      </w:r>
      <w:r>
        <w:rPr>
          <w:rFonts w:ascii="宋体" w:hAnsi="宋体"/>
          <w:bCs/>
          <w:iCs/>
          <w:color w:val="000000"/>
        </w:rPr>
        <w:t>0</w:t>
      </w:r>
      <w:r>
        <w:rPr>
          <w:rFonts w:hint="eastAsia" w:ascii="宋体" w:hAnsi="宋体"/>
          <w:bCs/>
          <w:iCs/>
          <w:color w:val="000000"/>
          <w:lang w:val="en-US" w:eastAsia="zh-CN"/>
        </w:rPr>
        <w:t>2</w:t>
      </w:r>
    </w:p>
    <w:tbl>
      <w:tblPr>
        <w:tblStyle w:val="7"/>
        <w:tblW w:w="8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3"/>
        <w:gridCol w:w="6324"/>
      </w:tblGrid>
      <w:tr w14:paraId="57E0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14:paraId="3B6AE21D">
            <w:pPr>
              <w:keepNext w:val="0"/>
              <w:keepLines w:val="0"/>
              <w:suppressLineNumbers w:val="0"/>
              <w:spacing w:before="0" w:beforeAutospacing="0" w:after="0" w:afterAutospacing="0"/>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t>投资者关系活动类别</w:t>
            </w:r>
            <w:bookmarkStart w:id="0" w:name="_GoBack"/>
            <w:bookmarkEnd w:id="0"/>
          </w:p>
          <w:p w14:paraId="151D5F2A">
            <w:pPr>
              <w:keepNext w:val="0"/>
              <w:keepLines w:val="0"/>
              <w:suppressLineNumbers w:val="0"/>
              <w:spacing w:before="0" w:beforeAutospacing="0" w:after="0" w:afterAutospacing="0"/>
              <w:ind w:left="0" w:right="0" w:firstLine="0" w:firstLineChars="0"/>
              <w:rPr>
                <w:rFonts w:hint="default" w:ascii="Times New Roman" w:hAnsi="Times New Roman" w:cs="Times New Roman"/>
                <w:bCs/>
                <w:iCs/>
                <w:color w:val="000000"/>
              </w:rPr>
            </w:pPr>
          </w:p>
        </w:tc>
        <w:tc>
          <w:tcPr>
            <w:tcW w:w="6324" w:type="dxa"/>
            <w:tcBorders>
              <w:top w:val="single" w:color="auto" w:sz="4" w:space="0"/>
              <w:left w:val="single" w:color="auto" w:sz="4" w:space="0"/>
              <w:bottom w:val="single" w:color="auto" w:sz="4" w:space="0"/>
              <w:right w:val="single" w:color="auto" w:sz="4" w:space="0"/>
            </w:tcBorders>
            <w:shd w:val="clear" w:color="auto" w:fill="auto"/>
          </w:tcPr>
          <w:p w14:paraId="1E7E4EE0">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sym w:font="Wingdings 2" w:char="00A3"/>
            </w:r>
            <w:r>
              <w:rPr>
                <w:rFonts w:hint="default" w:ascii="Times New Roman" w:hAnsi="Times New Roman" w:cs="Times New Roman"/>
              </w:rPr>
              <w:t xml:space="preserve">特定对象调研        </w:t>
            </w:r>
            <w:r>
              <w:rPr>
                <w:rFonts w:hint="default"/>
                <w:color w:val="000000"/>
                <w:sz w:val="24"/>
                <w:szCs w:val="24"/>
              </w:rPr>
              <w:sym w:font="Wingdings 2" w:char="00A3"/>
            </w:r>
            <w:r>
              <w:rPr>
                <w:rFonts w:hint="default" w:ascii="Times New Roman" w:hAnsi="Times New Roman" w:cs="Times New Roman"/>
              </w:rPr>
              <w:t>分析师会议</w:t>
            </w:r>
          </w:p>
          <w:p w14:paraId="7EF56837">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rPr>
            </w:pPr>
            <w:r>
              <w:rPr>
                <w:rFonts w:hint="default"/>
                <w:color w:val="000000"/>
                <w:sz w:val="24"/>
                <w:szCs w:val="24"/>
              </w:rPr>
              <w:sym w:font="Wingdings 2" w:char="00A3"/>
            </w:r>
            <w:r>
              <w:rPr>
                <w:rFonts w:hint="default" w:ascii="Times New Roman" w:hAnsi="Times New Roman" w:cs="Times New Roman"/>
              </w:rPr>
              <w:t xml:space="preserve">媒体采访            </w:t>
            </w:r>
            <w:r>
              <w:rPr>
                <w:rFonts w:hint="default" w:ascii="Times New Roman" w:hAnsi="Times New Roman" w:cs="Times New Roman"/>
                <w:bCs/>
                <w:iCs/>
                <w:color w:val="000000"/>
              </w:rPr>
              <w:sym w:font="Wingdings 2" w:char="0052"/>
            </w:r>
            <w:r>
              <w:rPr>
                <w:rFonts w:hint="default" w:ascii="Times New Roman" w:hAnsi="Times New Roman" w:cs="Times New Roman"/>
              </w:rPr>
              <w:t>业绩说明会</w:t>
            </w:r>
          </w:p>
          <w:p w14:paraId="5310029A">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rPr>
            </w:pPr>
            <w:r>
              <w:rPr>
                <w:rFonts w:hint="default"/>
                <w:color w:val="000000"/>
                <w:sz w:val="24"/>
                <w:szCs w:val="24"/>
              </w:rPr>
              <w:sym w:font="Wingdings 2" w:char="00A3"/>
            </w:r>
            <w:r>
              <w:rPr>
                <w:rFonts w:hint="default" w:ascii="Times New Roman" w:hAnsi="Times New Roman" w:cs="Times New Roman"/>
              </w:rPr>
              <w:t xml:space="preserve">新闻发布会          </w:t>
            </w:r>
            <w:r>
              <w:rPr>
                <w:rFonts w:hint="default"/>
                <w:color w:val="000000"/>
                <w:sz w:val="24"/>
                <w:szCs w:val="24"/>
              </w:rPr>
              <w:sym w:font="Wingdings 2" w:char="00A3"/>
            </w:r>
            <w:r>
              <w:rPr>
                <w:rFonts w:hint="default" w:ascii="Times New Roman" w:hAnsi="Times New Roman" w:cs="Times New Roman"/>
              </w:rPr>
              <w:t>路演活动</w:t>
            </w:r>
          </w:p>
          <w:p w14:paraId="566C8767">
            <w:pPr>
              <w:keepNext w:val="0"/>
              <w:keepLines w:val="0"/>
              <w:suppressLineNumbers w:val="0"/>
              <w:tabs>
                <w:tab w:val="left" w:pos="3045"/>
                <w:tab w:val="center" w:pos="3199"/>
              </w:tabs>
              <w:spacing w:before="0" w:beforeAutospacing="0" w:after="0" w:afterAutospacing="0" w:line="480" w:lineRule="atLeast"/>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sym w:font="Wingdings 2" w:char="0052"/>
            </w:r>
            <w:r>
              <w:rPr>
                <w:rFonts w:hint="default" w:ascii="Times New Roman" w:hAnsi="Times New Roman" w:cs="Times New Roman"/>
              </w:rPr>
              <w:t>现场参观</w:t>
            </w:r>
            <w:r>
              <w:rPr>
                <w:rFonts w:hint="default" w:ascii="Times New Roman" w:hAnsi="Times New Roman" w:cs="Times New Roman"/>
                <w:bCs/>
                <w:iCs/>
                <w:color w:val="000000"/>
              </w:rPr>
              <w:tab/>
            </w:r>
          </w:p>
          <w:p w14:paraId="28B4064B">
            <w:pPr>
              <w:keepNext w:val="0"/>
              <w:keepLines w:val="0"/>
              <w:suppressLineNumbers w:val="0"/>
              <w:tabs>
                <w:tab w:val="center" w:pos="3199"/>
              </w:tabs>
              <w:spacing w:before="0" w:beforeAutospacing="0" w:after="0" w:afterAutospacing="0" w:line="480" w:lineRule="atLeast"/>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sym w:font="Wingdings 2" w:char="00A3"/>
            </w:r>
            <w:r>
              <w:rPr>
                <w:rFonts w:hint="default" w:ascii="Times New Roman" w:hAnsi="Times New Roman" w:cs="Times New Roman"/>
              </w:rPr>
              <w:t xml:space="preserve">其他 </w:t>
            </w:r>
          </w:p>
        </w:tc>
      </w:tr>
      <w:tr w14:paraId="4FC9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14:paraId="5DBE2A64">
            <w:pPr>
              <w:keepNext w:val="0"/>
              <w:keepLines w:val="0"/>
              <w:suppressLineNumbers w:val="0"/>
              <w:spacing w:before="0" w:beforeAutospacing="0" w:after="0" w:afterAutospacing="0"/>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t>参与单位名称及人员姓名</w:t>
            </w:r>
          </w:p>
        </w:tc>
        <w:tc>
          <w:tcPr>
            <w:tcW w:w="6324" w:type="dxa"/>
            <w:tcBorders>
              <w:top w:val="single" w:color="auto" w:sz="4" w:space="0"/>
              <w:left w:val="single" w:color="auto" w:sz="4" w:space="0"/>
              <w:bottom w:val="single" w:color="auto" w:sz="4" w:space="0"/>
              <w:right w:val="single" w:color="auto" w:sz="4" w:space="0"/>
            </w:tcBorders>
            <w:shd w:val="clear" w:color="auto" w:fill="auto"/>
          </w:tcPr>
          <w:p w14:paraId="510B6769">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color w:val="000000"/>
                <w:kern w:val="0"/>
                <w:lang w:bidi="ar"/>
              </w:rPr>
            </w:pPr>
          </w:p>
        </w:tc>
      </w:tr>
      <w:tr w14:paraId="147B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14:paraId="0EE1C534">
            <w:pPr>
              <w:keepNext w:val="0"/>
              <w:keepLines w:val="0"/>
              <w:suppressLineNumbers w:val="0"/>
              <w:spacing w:before="0" w:beforeAutospacing="0" w:after="0" w:afterAutospacing="0"/>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t>时间</w:t>
            </w:r>
          </w:p>
        </w:tc>
        <w:tc>
          <w:tcPr>
            <w:tcW w:w="6324" w:type="dxa"/>
            <w:tcBorders>
              <w:top w:val="single" w:color="auto" w:sz="4" w:space="0"/>
              <w:left w:val="single" w:color="auto" w:sz="4" w:space="0"/>
              <w:bottom w:val="single" w:color="auto" w:sz="4" w:space="0"/>
              <w:right w:val="single" w:color="auto" w:sz="4" w:space="0"/>
            </w:tcBorders>
            <w:shd w:val="clear" w:color="auto" w:fill="auto"/>
          </w:tcPr>
          <w:p w14:paraId="2B80B650">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t>202</w:t>
            </w:r>
            <w:r>
              <w:rPr>
                <w:rFonts w:hint="default" w:ascii="Times New Roman" w:hAnsi="Times New Roman" w:cs="Times New Roman"/>
                <w:bCs/>
                <w:iCs/>
                <w:color w:val="000000"/>
                <w:lang w:val="en-US" w:eastAsia="zh-CN"/>
              </w:rPr>
              <w:t>4</w:t>
            </w:r>
            <w:r>
              <w:rPr>
                <w:rFonts w:hint="default" w:ascii="Times New Roman" w:hAnsi="Times New Roman" w:cs="Times New Roman"/>
                <w:bCs/>
                <w:iCs/>
                <w:color w:val="000000"/>
              </w:rPr>
              <w:t>年</w:t>
            </w:r>
            <w:r>
              <w:rPr>
                <w:rFonts w:hint="eastAsia" w:cs="Times New Roman"/>
                <w:bCs/>
                <w:iCs/>
                <w:color w:val="000000"/>
                <w:lang w:val="en-US" w:eastAsia="zh-CN"/>
              </w:rPr>
              <w:t>8</w:t>
            </w:r>
            <w:r>
              <w:rPr>
                <w:rFonts w:hint="default" w:ascii="Times New Roman" w:hAnsi="Times New Roman" w:cs="Times New Roman"/>
                <w:bCs/>
                <w:iCs/>
                <w:color w:val="000000"/>
              </w:rPr>
              <w:t>月</w:t>
            </w:r>
            <w:r>
              <w:rPr>
                <w:rFonts w:hint="eastAsia" w:cs="Times New Roman"/>
                <w:bCs/>
                <w:iCs/>
                <w:color w:val="000000"/>
                <w:lang w:val="en-US" w:eastAsia="zh-CN"/>
              </w:rPr>
              <w:t>30</w:t>
            </w:r>
            <w:r>
              <w:rPr>
                <w:rFonts w:hint="default" w:ascii="Times New Roman" w:hAnsi="Times New Roman" w:cs="Times New Roman"/>
                <w:bCs/>
                <w:iCs/>
                <w:color w:val="000000"/>
              </w:rPr>
              <w:t>日（周</w:t>
            </w:r>
            <w:r>
              <w:rPr>
                <w:rFonts w:hint="eastAsia" w:cs="Times New Roman"/>
                <w:bCs/>
                <w:iCs/>
                <w:color w:val="000000"/>
                <w:lang w:val="en-US" w:eastAsia="zh-CN"/>
              </w:rPr>
              <w:t>五</w:t>
            </w:r>
            <w:r>
              <w:rPr>
                <w:rFonts w:hint="default" w:ascii="Times New Roman" w:hAnsi="Times New Roman" w:cs="Times New Roman"/>
                <w:bCs/>
                <w:iCs/>
                <w:color w:val="000000"/>
              </w:rPr>
              <w:t>）1</w:t>
            </w:r>
            <w:r>
              <w:rPr>
                <w:rFonts w:hint="default" w:ascii="Times New Roman" w:hAnsi="Times New Roman" w:cs="Times New Roman"/>
                <w:bCs/>
                <w:iCs/>
                <w:color w:val="000000"/>
                <w:lang w:val="en-US" w:eastAsia="zh-CN"/>
              </w:rPr>
              <w:t>0</w:t>
            </w:r>
            <w:r>
              <w:rPr>
                <w:rFonts w:hint="default" w:ascii="Times New Roman" w:hAnsi="Times New Roman" w:cs="Times New Roman"/>
              </w:rPr>
              <w:t>:00-1</w:t>
            </w:r>
            <w:r>
              <w:rPr>
                <w:rFonts w:hint="default" w:ascii="Times New Roman" w:hAnsi="Times New Roman" w:cs="Times New Roman"/>
                <w:lang w:val="en-US" w:eastAsia="zh-CN"/>
              </w:rPr>
              <w:t>2</w:t>
            </w:r>
            <w:r>
              <w:rPr>
                <w:rFonts w:hint="default" w:ascii="Times New Roman" w:hAnsi="Times New Roman" w:cs="Times New Roman"/>
              </w:rPr>
              <w:t>:</w:t>
            </w:r>
            <w:r>
              <w:rPr>
                <w:rFonts w:hint="eastAsia" w:cs="Times New Roman"/>
                <w:lang w:val="en-US" w:eastAsia="zh-CN"/>
              </w:rPr>
              <w:t>3</w:t>
            </w:r>
            <w:r>
              <w:rPr>
                <w:rFonts w:hint="default" w:ascii="Times New Roman" w:hAnsi="Times New Roman" w:cs="Times New Roman"/>
              </w:rPr>
              <w:t>0</w:t>
            </w:r>
          </w:p>
        </w:tc>
      </w:tr>
      <w:tr w14:paraId="59B26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14:paraId="1155E750">
            <w:pPr>
              <w:keepNext w:val="0"/>
              <w:keepLines w:val="0"/>
              <w:suppressLineNumbers w:val="0"/>
              <w:spacing w:before="0" w:beforeAutospacing="0" w:after="0" w:afterAutospacing="0"/>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t>地点</w:t>
            </w:r>
          </w:p>
        </w:tc>
        <w:tc>
          <w:tcPr>
            <w:tcW w:w="6324" w:type="dxa"/>
            <w:tcBorders>
              <w:top w:val="single" w:color="auto" w:sz="4" w:space="0"/>
              <w:left w:val="single" w:color="auto" w:sz="4" w:space="0"/>
              <w:bottom w:val="single" w:color="auto" w:sz="4" w:space="0"/>
              <w:right w:val="single" w:color="auto" w:sz="4" w:space="0"/>
            </w:tcBorders>
            <w:shd w:val="clear" w:color="auto" w:fill="auto"/>
          </w:tcPr>
          <w:p w14:paraId="0835967F">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t>北京市东城区和平里东街11号航星科技园航星1号楼</w:t>
            </w:r>
            <w:r>
              <w:rPr>
                <w:rFonts w:hint="default" w:ascii="Times New Roman" w:hAnsi="Times New Roman" w:cs="Times New Roman"/>
                <w:bCs/>
                <w:iCs/>
                <w:color w:val="000000"/>
                <w:lang w:val="en-US" w:eastAsia="zh-CN"/>
              </w:rPr>
              <w:t>6</w:t>
            </w:r>
            <w:r>
              <w:rPr>
                <w:rFonts w:hint="default" w:ascii="Times New Roman" w:hAnsi="Times New Roman" w:cs="Times New Roman"/>
                <w:bCs/>
                <w:iCs/>
                <w:color w:val="000000"/>
              </w:rPr>
              <w:t>层会议室</w:t>
            </w:r>
          </w:p>
        </w:tc>
      </w:tr>
      <w:tr w14:paraId="0E14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14:paraId="27875554">
            <w:pPr>
              <w:keepNext w:val="0"/>
              <w:keepLines w:val="0"/>
              <w:suppressLineNumbers w:val="0"/>
              <w:spacing w:before="0" w:beforeAutospacing="0" w:after="0" w:afterAutospacing="0"/>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t>上市公司</w:t>
            </w:r>
            <w:r>
              <w:rPr>
                <w:rFonts w:hint="eastAsia" w:cs="Times New Roman"/>
                <w:bCs/>
                <w:iCs/>
                <w:color w:val="000000"/>
                <w:lang w:val="en-US" w:eastAsia="zh-CN"/>
              </w:rPr>
              <w:t>主要</w:t>
            </w:r>
            <w:r>
              <w:rPr>
                <w:rFonts w:hint="default" w:ascii="Times New Roman" w:hAnsi="Times New Roman" w:cs="Times New Roman"/>
                <w:bCs/>
                <w:iCs/>
                <w:color w:val="000000"/>
              </w:rPr>
              <w:t>接待人员姓名</w:t>
            </w:r>
          </w:p>
        </w:tc>
        <w:tc>
          <w:tcPr>
            <w:tcW w:w="6324" w:type="dxa"/>
            <w:tcBorders>
              <w:top w:val="single" w:color="auto" w:sz="4" w:space="0"/>
              <w:left w:val="single" w:color="auto" w:sz="4" w:space="0"/>
              <w:bottom w:val="single" w:color="auto" w:sz="4" w:space="0"/>
              <w:right w:val="single" w:color="auto" w:sz="4" w:space="0"/>
            </w:tcBorders>
            <w:shd w:val="clear" w:color="auto" w:fill="auto"/>
          </w:tcPr>
          <w:p w14:paraId="40A08732">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lang w:val="en-US" w:eastAsia="zh-CN"/>
              </w:rPr>
            </w:pPr>
            <w:r>
              <w:rPr>
                <w:rFonts w:hint="default" w:ascii="Times New Roman" w:hAnsi="Times New Roman" w:cs="Times New Roman"/>
                <w:bCs/>
                <w:iCs/>
                <w:color w:val="000000"/>
                <w:lang w:val="en-US" w:eastAsia="zh-CN"/>
              </w:rPr>
              <w:t>董事长：周德勤</w:t>
            </w:r>
          </w:p>
          <w:p w14:paraId="51627F44">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lang w:val="en-US" w:eastAsia="zh-CN"/>
              </w:rPr>
            </w:pPr>
            <w:r>
              <w:rPr>
                <w:rFonts w:hint="default" w:ascii="Times New Roman" w:hAnsi="Times New Roman" w:cs="Times New Roman"/>
                <w:bCs/>
                <w:iCs/>
                <w:color w:val="000000"/>
                <w:lang w:val="en-US" w:eastAsia="zh-CN"/>
              </w:rPr>
              <w:t>董事、副总裁：计松涛</w:t>
            </w:r>
          </w:p>
          <w:p w14:paraId="007D5474">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lang w:val="en-US" w:eastAsia="zh-CN"/>
              </w:rPr>
            </w:pPr>
            <w:r>
              <w:rPr>
                <w:rFonts w:hint="default" w:ascii="Times New Roman" w:hAnsi="Times New Roman" w:cs="Times New Roman"/>
                <w:bCs/>
                <w:iCs/>
                <w:color w:val="000000"/>
                <w:lang w:val="en-US" w:eastAsia="zh-CN"/>
              </w:rPr>
              <w:t>董事：霍丽萍</w:t>
            </w:r>
          </w:p>
          <w:p w14:paraId="6C243896">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lang w:val="en-US" w:eastAsia="zh-CN"/>
              </w:rPr>
            </w:pPr>
            <w:r>
              <w:rPr>
                <w:rFonts w:hint="default" w:ascii="Times New Roman" w:hAnsi="Times New Roman" w:cs="Times New Roman"/>
                <w:bCs/>
                <w:iCs/>
                <w:color w:val="000000"/>
              </w:rPr>
              <w:t>董事会秘书：</w:t>
            </w:r>
            <w:r>
              <w:rPr>
                <w:rFonts w:hint="default" w:ascii="Times New Roman" w:hAnsi="Times New Roman" w:cs="Times New Roman"/>
                <w:bCs/>
                <w:iCs/>
                <w:color w:val="000000"/>
                <w:lang w:val="en-US" w:eastAsia="zh-CN"/>
              </w:rPr>
              <w:t>石瑜</w:t>
            </w:r>
          </w:p>
          <w:p w14:paraId="73210276">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lang w:val="en-US" w:eastAsia="zh-CN"/>
              </w:rPr>
            </w:pPr>
            <w:r>
              <w:rPr>
                <w:rFonts w:hint="eastAsia" w:cs="Times New Roman"/>
                <w:bCs/>
                <w:iCs/>
                <w:color w:val="000000"/>
                <w:lang w:val="en-US" w:eastAsia="zh-CN"/>
              </w:rPr>
              <w:t>财务总监：李化青</w:t>
            </w:r>
          </w:p>
          <w:p w14:paraId="61965BD1">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lang w:val="en-US" w:eastAsia="zh-CN"/>
              </w:rPr>
            </w:pPr>
            <w:r>
              <w:rPr>
                <w:rFonts w:hint="default" w:ascii="Times New Roman" w:hAnsi="Times New Roman" w:cs="Times New Roman"/>
                <w:bCs/>
                <w:iCs/>
                <w:color w:val="000000"/>
                <w:lang w:val="en-US" w:eastAsia="zh-CN"/>
              </w:rPr>
              <w:t>高级管理人员：谭弘武</w:t>
            </w:r>
          </w:p>
          <w:p w14:paraId="65CD70EC">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lang w:val="en-US" w:eastAsia="zh-CN"/>
              </w:rPr>
            </w:pPr>
            <w:r>
              <w:rPr>
                <w:rFonts w:hint="default" w:ascii="Times New Roman" w:hAnsi="Times New Roman" w:cs="Times New Roman"/>
                <w:bCs/>
                <w:iCs/>
                <w:color w:val="000000"/>
                <w:lang w:val="en-US" w:eastAsia="zh-CN"/>
              </w:rPr>
              <w:t>核心技术人员：李宁</w:t>
            </w:r>
          </w:p>
          <w:p w14:paraId="371FE571">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lang w:val="en-US" w:eastAsia="zh-CN"/>
              </w:rPr>
            </w:pPr>
            <w:r>
              <w:rPr>
                <w:rFonts w:hint="eastAsia" w:cs="Times New Roman"/>
                <w:bCs/>
                <w:iCs/>
                <w:color w:val="000000"/>
                <w:lang w:val="en-US" w:eastAsia="zh-CN"/>
              </w:rPr>
              <w:t>储能业务负责人：王嘉乐</w:t>
            </w:r>
          </w:p>
          <w:p w14:paraId="160E142E">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t>证券</w:t>
            </w:r>
            <w:r>
              <w:rPr>
                <w:rFonts w:hint="default" w:ascii="Times New Roman" w:hAnsi="Times New Roman" w:cs="Times New Roman"/>
                <w:bCs/>
                <w:iCs/>
                <w:color w:val="000000"/>
                <w:lang w:val="en-US" w:eastAsia="zh-CN"/>
              </w:rPr>
              <w:t>部经理：</w:t>
            </w:r>
            <w:r>
              <w:rPr>
                <w:rFonts w:hint="default" w:ascii="Times New Roman" w:hAnsi="Times New Roman" w:cs="Times New Roman"/>
                <w:bCs/>
                <w:iCs/>
                <w:color w:val="000000"/>
              </w:rPr>
              <w:t>汪太森</w:t>
            </w:r>
          </w:p>
        </w:tc>
      </w:tr>
      <w:tr w14:paraId="47F8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14:paraId="6E69CB4E">
            <w:pPr>
              <w:keepNext w:val="0"/>
              <w:keepLines w:val="0"/>
              <w:suppressLineNumbers w:val="0"/>
              <w:spacing w:before="0" w:beforeAutospacing="0" w:after="0" w:afterAutospacing="0"/>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t>投资者关系活动主要内容介绍</w:t>
            </w:r>
          </w:p>
        </w:tc>
        <w:tc>
          <w:tcPr>
            <w:tcW w:w="6324" w:type="dxa"/>
            <w:tcBorders>
              <w:top w:val="single" w:color="auto" w:sz="4" w:space="0"/>
              <w:left w:val="single" w:color="auto" w:sz="4" w:space="0"/>
              <w:bottom w:val="single" w:color="auto" w:sz="4" w:space="0"/>
              <w:right w:val="single" w:color="auto" w:sz="4" w:space="0"/>
            </w:tcBorders>
            <w:shd w:val="clear" w:color="auto" w:fill="auto"/>
          </w:tcPr>
          <w:p w14:paraId="3DE4B35D">
            <w:pPr>
              <w:keepNext w:val="0"/>
              <w:keepLines w:val="0"/>
              <w:numPr>
                <w:ilvl w:val="0"/>
                <w:numId w:val="1"/>
              </w:numPr>
              <w:suppressLineNumbers w:val="0"/>
              <w:spacing w:before="0" w:beforeAutospacing="0" w:after="0" w:afterAutospacing="0"/>
              <w:ind w:left="0" w:right="0"/>
              <w:rPr>
                <w:rFonts w:hint="default" w:ascii="Times New Roman" w:hAnsi="Times New Roman" w:cs="Times New Roman"/>
                <w:b/>
                <w:iCs/>
                <w:color w:val="000000"/>
                <w:lang w:val="en-US" w:eastAsia="zh-CN"/>
              </w:rPr>
            </w:pPr>
            <w:r>
              <w:rPr>
                <w:rFonts w:hint="default" w:ascii="Times New Roman" w:hAnsi="Times New Roman" w:cs="Times New Roman"/>
                <w:b/>
                <w:iCs/>
                <w:color w:val="000000"/>
                <w:lang w:val="en-US" w:eastAsia="zh-CN"/>
              </w:rPr>
              <w:t>活动流程</w:t>
            </w:r>
          </w:p>
          <w:p w14:paraId="7342F17F">
            <w:pPr>
              <w:keepNext w:val="0"/>
              <w:keepLines w:val="0"/>
              <w:numPr>
                <w:ilvl w:val="0"/>
                <w:numId w:val="0"/>
              </w:numPr>
              <w:suppressLineNumbers w:val="0"/>
              <w:spacing w:before="0" w:beforeAutospacing="0" w:after="0" w:afterAutospacing="0"/>
              <w:ind w:left="0" w:right="0" w:firstLine="482" w:firstLineChars="200"/>
              <w:rPr>
                <w:rFonts w:hint="default" w:ascii="Times New Roman" w:hAnsi="Times New Roman" w:cs="Times New Roman"/>
                <w:b/>
                <w:iCs/>
                <w:color w:val="000000"/>
              </w:rPr>
            </w:pPr>
            <w:r>
              <w:rPr>
                <w:rFonts w:hint="default" w:ascii="Times New Roman" w:hAnsi="Times New Roman" w:cs="Times New Roman"/>
                <w:b/>
                <w:iCs/>
                <w:color w:val="000000"/>
              </w:rPr>
              <w:t>1</w:t>
            </w:r>
            <w:r>
              <w:rPr>
                <w:rFonts w:hint="default" w:ascii="Times New Roman" w:hAnsi="Times New Roman" w:cs="Times New Roman"/>
                <w:b/>
                <w:iCs/>
                <w:color w:val="000000"/>
                <w:lang w:val="en-US" w:eastAsia="zh-CN"/>
              </w:rPr>
              <w:t>0</w:t>
            </w:r>
            <w:r>
              <w:rPr>
                <w:rFonts w:hint="eastAsia" w:cs="Times New Roman"/>
                <w:b/>
                <w:iCs/>
                <w:color w:val="000000"/>
                <w:lang w:val="en-US" w:eastAsia="zh-CN"/>
              </w:rPr>
              <w:t>:</w:t>
            </w:r>
            <w:r>
              <w:rPr>
                <w:rFonts w:hint="default" w:ascii="Times New Roman" w:hAnsi="Times New Roman" w:cs="Times New Roman"/>
                <w:b/>
                <w:iCs/>
                <w:color w:val="000000"/>
              </w:rPr>
              <w:t>00-1</w:t>
            </w:r>
            <w:r>
              <w:rPr>
                <w:rFonts w:hint="default" w:ascii="Times New Roman" w:hAnsi="Times New Roman" w:cs="Times New Roman"/>
                <w:b/>
                <w:iCs/>
                <w:color w:val="000000"/>
                <w:lang w:val="en-US" w:eastAsia="zh-CN"/>
              </w:rPr>
              <w:t>0</w:t>
            </w:r>
            <w:r>
              <w:rPr>
                <w:rFonts w:hint="default" w:ascii="Times New Roman" w:hAnsi="Times New Roman" w:cs="Times New Roman"/>
                <w:b/>
                <w:iCs/>
                <w:color w:val="000000"/>
              </w:rPr>
              <w:t>:</w:t>
            </w:r>
            <w:r>
              <w:rPr>
                <w:rFonts w:hint="eastAsia" w:cs="Times New Roman"/>
                <w:b/>
                <w:iCs/>
                <w:color w:val="000000"/>
                <w:lang w:val="en-US" w:eastAsia="zh-CN"/>
              </w:rPr>
              <w:t>4</w:t>
            </w:r>
            <w:r>
              <w:rPr>
                <w:rFonts w:hint="default" w:ascii="Times New Roman" w:hAnsi="Times New Roman" w:cs="Times New Roman"/>
                <w:b/>
                <w:iCs/>
                <w:color w:val="000000"/>
              </w:rPr>
              <w:t xml:space="preserve">0 </w:t>
            </w:r>
            <w:r>
              <w:rPr>
                <w:rFonts w:hint="default" w:ascii="Times New Roman" w:hAnsi="Times New Roman" w:cs="Times New Roman"/>
                <w:b w:val="0"/>
                <w:bCs/>
                <w:iCs/>
                <w:color w:val="000000"/>
              </w:rPr>
              <w:t>带领投资者参观展厅</w:t>
            </w:r>
          </w:p>
          <w:p w14:paraId="5D6A40C1">
            <w:pPr>
              <w:keepNext w:val="0"/>
              <w:keepLines w:val="0"/>
              <w:suppressLineNumbers w:val="0"/>
              <w:spacing w:before="0" w:beforeAutospacing="0" w:after="0" w:afterAutospacing="0"/>
              <w:ind w:left="0" w:right="0" w:firstLine="482"/>
              <w:rPr>
                <w:rFonts w:hint="eastAsia" w:cs="Times New Roman"/>
                <w:b w:val="0"/>
                <w:bCs/>
                <w:iCs/>
                <w:color w:val="000000"/>
                <w:lang w:val="en-US" w:eastAsia="zh-CN"/>
              </w:rPr>
            </w:pPr>
            <w:r>
              <w:rPr>
                <w:rFonts w:hint="default" w:ascii="Times New Roman" w:hAnsi="Times New Roman" w:cs="Times New Roman"/>
                <w:b/>
                <w:iCs/>
                <w:color w:val="000000"/>
              </w:rPr>
              <w:t>1</w:t>
            </w:r>
            <w:r>
              <w:rPr>
                <w:rFonts w:hint="default" w:ascii="Times New Roman" w:hAnsi="Times New Roman" w:cs="Times New Roman"/>
                <w:b/>
                <w:iCs/>
                <w:color w:val="000000"/>
                <w:lang w:val="en-US" w:eastAsia="zh-CN"/>
              </w:rPr>
              <w:t>0</w:t>
            </w:r>
            <w:r>
              <w:rPr>
                <w:rFonts w:hint="default" w:ascii="Times New Roman" w:hAnsi="Times New Roman" w:cs="Times New Roman"/>
                <w:b/>
                <w:iCs/>
                <w:color w:val="000000"/>
              </w:rPr>
              <w:t>:</w:t>
            </w:r>
            <w:r>
              <w:rPr>
                <w:rFonts w:hint="eastAsia" w:cs="Times New Roman"/>
                <w:b/>
                <w:iCs/>
                <w:color w:val="000000"/>
                <w:lang w:val="en-US" w:eastAsia="zh-CN"/>
              </w:rPr>
              <w:t>4</w:t>
            </w:r>
            <w:r>
              <w:rPr>
                <w:rFonts w:hint="default" w:ascii="Times New Roman" w:hAnsi="Times New Roman" w:cs="Times New Roman"/>
                <w:b/>
                <w:iCs/>
                <w:color w:val="000000"/>
              </w:rPr>
              <w:t>0-1</w:t>
            </w:r>
            <w:r>
              <w:rPr>
                <w:rFonts w:hint="eastAsia" w:cs="Times New Roman"/>
                <w:b/>
                <w:iCs/>
                <w:color w:val="000000"/>
                <w:lang w:val="en-US" w:eastAsia="zh-CN"/>
              </w:rPr>
              <w:t>2</w:t>
            </w:r>
            <w:r>
              <w:rPr>
                <w:rFonts w:hint="default" w:ascii="Times New Roman" w:hAnsi="Times New Roman" w:cs="Times New Roman"/>
                <w:b/>
                <w:iCs/>
                <w:color w:val="000000"/>
              </w:rPr>
              <w:t>:</w:t>
            </w:r>
            <w:r>
              <w:rPr>
                <w:rFonts w:hint="eastAsia" w:cs="Times New Roman"/>
                <w:b/>
                <w:iCs/>
                <w:color w:val="000000"/>
                <w:lang w:val="en-US" w:eastAsia="zh-CN"/>
              </w:rPr>
              <w:t>00</w:t>
            </w:r>
            <w:r>
              <w:rPr>
                <w:rFonts w:hint="eastAsia" w:cs="Times New Roman"/>
                <w:b w:val="0"/>
                <w:bCs/>
                <w:iCs/>
                <w:color w:val="000000"/>
                <w:lang w:val="en-US" w:eastAsia="zh-CN"/>
              </w:rPr>
              <w:t>展示公司2024年半年度业绩</w:t>
            </w:r>
          </w:p>
          <w:p w14:paraId="203BACF9">
            <w:pPr>
              <w:keepNext w:val="0"/>
              <w:keepLines w:val="0"/>
              <w:suppressLineNumbers w:val="0"/>
              <w:spacing w:before="0" w:beforeAutospacing="0" w:after="0" w:afterAutospacing="0"/>
              <w:ind w:left="0" w:right="0" w:firstLine="482"/>
              <w:rPr>
                <w:rFonts w:hint="default" w:ascii="Times New Roman" w:hAnsi="Times New Roman" w:cs="Times New Roman"/>
                <w:b/>
                <w:iCs/>
                <w:color w:val="000000"/>
              </w:rPr>
            </w:pPr>
            <w:r>
              <w:rPr>
                <w:rFonts w:hint="default" w:ascii="Times New Roman" w:hAnsi="Times New Roman" w:cs="Times New Roman"/>
                <w:b/>
                <w:iCs/>
                <w:color w:val="000000"/>
              </w:rPr>
              <w:t>1</w:t>
            </w:r>
            <w:r>
              <w:rPr>
                <w:rFonts w:hint="eastAsia" w:cs="Times New Roman"/>
                <w:b/>
                <w:iCs/>
                <w:color w:val="000000"/>
                <w:lang w:val="en-US" w:eastAsia="zh-CN"/>
              </w:rPr>
              <w:t>2</w:t>
            </w:r>
            <w:r>
              <w:rPr>
                <w:rFonts w:hint="default" w:ascii="Times New Roman" w:hAnsi="Times New Roman" w:cs="Times New Roman"/>
                <w:b/>
                <w:iCs/>
                <w:color w:val="000000"/>
              </w:rPr>
              <w:t>:</w:t>
            </w:r>
            <w:r>
              <w:rPr>
                <w:rFonts w:hint="eastAsia" w:cs="Times New Roman"/>
                <w:b/>
                <w:iCs/>
                <w:color w:val="000000"/>
                <w:lang w:val="en-US" w:eastAsia="zh-CN"/>
              </w:rPr>
              <w:t>0</w:t>
            </w:r>
            <w:r>
              <w:rPr>
                <w:rFonts w:hint="default" w:ascii="Times New Roman" w:hAnsi="Times New Roman" w:cs="Times New Roman"/>
                <w:b/>
                <w:iCs/>
                <w:color w:val="000000"/>
              </w:rPr>
              <w:t>0-1</w:t>
            </w:r>
            <w:r>
              <w:rPr>
                <w:rFonts w:hint="default" w:ascii="Times New Roman" w:hAnsi="Times New Roman" w:cs="Times New Roman"/>
                <w:b/>
                <w:iCs/>
                <w:color w:val="000000"/>
                <w:lang w:val="en-US" w:eastAsia="zh-CN"/>
              </w:rPr>
              <w:t>2</w:t>
            </w:r>
            <w:r>
              <w:rPr>
                <w:rFonts w:hint="default" w:ascii="Times New Roman" w:hAnsi="Times New Roman" w:cs="Times New Roman"/>
                <w:b/>
                <w:iCs/>
                <w:color w:val="000000"/>
              </w:rPr>
              <w:t>:</w:t>
            </w:r>
            <w:r>
              <w:rPr>
                <w:rFonts w:hint="eastAsia" w:cs="Times New Roman"/>
                <w:b/>
                <w:iCs/>
                <w:color w:val="000000"/>
                <w:lang w:val="en-US" w:eastAsia="zh-CN"/>
              </w:rPr>
              <w:t>3</w:t>
            </w:r>
            <w:r>
              <w:rPr>
                <w:rFonts w:hint="default" w:ascii="Times New Roman" w:hAnsi="Times New Roman" w:cs="Times New Roman"/>
                <w:b/>
                <w:iCs/>
                <w:color w:val="000000"/>
              </w:rPr>
              <w:t xml:space="preserve">0 </w:t>
            </w:r>
            <w:r>
              <w:rPr>
                <w:rFonts w:hint="default" w:ascii="Times New Roman" w:hAnsi="Times New Roman" w:cs="Times New Roman"/>
                <w:b w:val="0"/>
                <w:bCs/>
                <w:iCs/>
                <w:color w:val="000000"/>
              </w:rPr>
              <w:t>交流环节</w:t>
            </w:r>
          </w:p>
          <w:p w14:paraId="31D75452">
            <w:pPr>
              <w:keepNext w:val="0"/>
              <w:keepLines w:val="0"/>
              <w:pageBreakBefore w:val="0"/>
              <w:widowControl w:val="0"/>
              <w:suppressLineNumbers w:val="0"/>
              <w:kinsoku/>
              <w:wordWrap/>
              <w:overflowPunct/>
              <w:topLinePunct w:val="0"/>
              <w:autoSpaceDN/>
              <w:bidi w:val="0"/>
              <w:snapToGrid/>
              <w:spacing w:before="0" w:beforeAutospacing="0" w:after="0" w:afterAutospacing="0" w:line="360" w:lineRule="auto"/>
              <w:ind w:left="0" w:leftChars="0" w:right="0" w:firstLine="482" w:firstLineChars="200"/>
              <w:textAlignment w:val="auto"/>
              <w:rPr>
                <w:rFonts w:hint="default" w:ascii="Times New Roman" w:hAnsi="Times New Roman" w:eastAsia="宋体" w:cs="Times New Roman"/>
                <w:bCs/>
                <w:iCs/>
                <w:color w:val="000000"/>
              </w:rPr>
            </w:pPr>
            <w:r>
              <w:rPr>
                <w:rFonts w:hint="default" w:ascii="Times New Roman" w:hAnsi="Times New Roman" w:eastAsia="宋体" w:cs="Times New Roman"/>
                <w:b/>
                <w:iCs/>
                <w:color w:val="000000"/>
                <w:lang w:val="en-US" w:eastAsia="zh-CN"/>
              </w:rPr>
              <w:t>二、</w:t>
            </w:r>
            <w:r>
              <w:rPr>
                <w:rFonts w:hint="default" w:ascii="Times New Roman" w:hAnsi="Times New Roman" w:eastAsia="宋体" w:cs="Times New Roman"/>
                <w:b/>
                <w:iCs/>
                <w:color w:val="000000"/>
              </w:rPr>
              <w:t>交流的主要问题及回复：</w:t>
            </w:r>
          </w:p>
          <w:p w14:paraId="2D986CB6">
            <w:pPr>
              <w:keepNext w:val="0"/>
              <w:keepLines w:val="0"/>
              <w:numPr>
                <w:ilvl w:val="0"/>
                <w:numId w:val="0"/>
              </w:numPr>
              <w:suppressLineNumbers w:val="0"/>
              <w:spacing w:before="0" w:beforeAutospacing="0" w:after="0" w:afterAutospacing="0"/>
              <w:ind w:left="0" w:right="0" w:firstLine="482" w:firstLineChars="20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Q1、</w:t>
            </w:r>
            <w:r>
              <w:rPr>
                <w:rFonts w:hint="eastAsia" w:cs="Times New Roman"/>
                <w:b/>
                <w:bCs/>
                <w:lang w:val="en-US" w:eastAsia="zh-CN"/>
              </w:rPr>
              <w:t>公司2024年半年度业绩大幅提升，请问具体原因是？</w:t>
            </w:r>
          </w:p>
          <w:p w14:paraId="6AB86284">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答：公司2024年上半年归属于上市公司股东的净利润为3,874.18万元，较上年同期增加3,431.63万元，增长比例为775.43%，归属于上市公司股东的扣除非经常性损益的净利润3,621.14万元，较上年同期增加3,333.29万元，增长比例为1,158.00%，主要原因系：</w:t>
            </w:r>
          </w:p>
          <w:p w14:paraId="1AC8D568">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2024年上半年营业收入较去年同期大幅增长。一方面，随着国家电网、南方电网智能化改造的深入，两网的智能电力产品招标量上升。另一方面，公司积极采取了一系列措施，包括但不限于深入走访客户、进一步了解客户需求、全面加强内部管控等，不断提高产品竞争力。公司在2023年国网第二批、2024年国网第一批集中招标中取得了显著成效，中标金额分别为20,138.93万元和22,089.22万元，其中2023年国网第二批中标金额基本在今年上半年完成收入确认，使得2024年上半年营业收入较去年同期大幅增长。</w:t>
            </w:r>
          </w:p>
          <w:p w14:paraId="427233FE">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b/>
                <w:bCs/>
                <w:sz w:val="24"/>
                <w:szCs w:val="24"/>
                <w:lang w:val="en-US" w:eastAsia="zh-CN"/>
              </w:rPr>
            </w:pPr>
            <w:r>
              <w:rPr>
                <w:rFonts w:hint="eastAsia" w:ascii="宋体" w:hAnsi="宋体" w:eastAsia="宋体" w:cs="宋体"/>
                <w:kern w:val="2"/>
                <w:sz w:val="24"/>
                <w:szCs w:val="24"/>
                <w:lang w:val="en-US" w:eastAsia="zh-CN" w:bidi="ar"/>
              </w:rPr>
              <w:t>2、2024年上半年公司智能电力产品毛利率较去年同期增长。主要系，一方面公司提高了生产自动化水平，并加强成本管控；另一方面，随着产量的增长，产能利用率提高，规模效益逐渐显现。</w:t>
            </w:r>
          </w:p>
          <w:p w14:paraId="014BFE1F">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360" w:lineRule="auto"/>
              <w:ind w:left="0" w:leftChars="0" w:right="0" w:firstLine="482"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b/>
                <w:bCs/>
                <w:highlight w:val="none"/>
                <w:lang w:val="en-US" w:eastAsia="zh-CN"/>
              </w:rPr>
              <w:t>Q2、</w:t>
            </w:r>
            <w:r>
              <w:rPr>
                <w:rFonts w:hint="eastAsia" w:cs="Times New Roman"/>
                <w:b/>
                <w:bCs/>
                <w:highlight w:val="none"/>
                <w:lang w:val="en-US" w:eastAsia="zh-CN"/>
              </w:rPr>
              <w:t>请问公司2024年上半年的在手订单有多少？</w:t>
            </w:r>
          </w:p>
          <w:p w14:paraId="72A3485D">
            <w:pPr>
              <w:keepNext w:val="0"/>
              <w:keepLines w:val="0"/>
              <w:pageBreakBefore w:val="0"/>
              <w:widowControl w:val="0"/>
              <w:suppressLineNumbers w:val="0"/>
              <w:kinsoku/>
              <w:wordWrap/>
              <w:overflowPunct/>
              <w:topLinePunct w:val="0"/>
              <w:autoSpaceDN/>
              <w:bidi w:val="0"/>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答：</w:t>
            </w:r>
            <w:r>
              <w:rPr>
                <w:rFonts w:hint="eastAsia" w:cs="Times New Roman"/>
                <w:b w:val="0"/>
                <w:bCs w:val="0"/>
                <w:highlight w:val="none"/>
                <w:lang w:val="en-US" w:eastAsia="zh-CN"/>
              </w:rPr>
              <w:t>2024年上半年，</w:t>
            </w:r>
            <w:r>
              <w:rPr>
                <w:rFonts w:hint="default" w:ascii="Times New Roman" w:hAnsi="Times New Roman" w:eastAsia="宋体" w:cs="Times New Roman"/>
                <w:highlight w:val="none"/>
                <w:lang w:val="en-US" w:eastAsia="zh-CN"/>
              </w:rPr>
              <w:t>公司在实现智能电力设备业务稳固发展的同时，大力发展智能巡检、信息技术和储能等业务，实现了围绕新型电力产业的多板块协同发展，推动公司业绩达到了历史同期最高水平，为企业未来整体发展态势奠定了坚实基础。截至2024年6月底，公司在手订单约6.36亿元</w:t>
            </w:r>
            <w:r>
              <w:rPr>
                <w:rFonts w:hint="eastAsia" w:cs="Times New Roman"/>
                <w:highlight w:val="none"/>
                <w:lang w:val="en-US" w:eastAsia="zh-CN"/>
              </w:rPr>
              <w:t>。为公司未来的业绩发展提供了有力支撑。</w:t>
            </w:r>
          </w:p>
          <w:p w14:paraId="0665F7EC">
            <w:pPr>
              <w:keepNext w:val="0"/>
              <w:keepLines w:val="0"/>
              <w:pageBreakBefore w:val="0"/>
              <w:widowControl w:val="0"/>
              <w:numPr>
                <w:ilvl w:val="0"/>
                <w:numId w:val="0"/>
              </w:numPr>
              <w:suppressLineNumbers w:val="0"/>
              <w:kinsoku/>
              <w:wordWrap/>
              <w:overflowPunct/>
              <w:topLinePunct w:val="0"/>
              <w:autoSpaceDN/>
              <w:bidi w:val="0"/>
              <w:snapToGrid/>
              <w:spacing w:before="0" w:beforeAutospacing="0" w:after="0" w:afterAutospacing="0" w:line="360" w:lineRule="auto"/>
              <w:ind w:left="0" w:leftChars="0" w:right="0" w:firstLine="482" w:firstLineChars="20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bCs/>
                <w:lang w:val="en-US" w:eastAsia="zh-CN"/>
              </w:rPr>
              <w:t>Q3、公司在智能巡检</w:t>
            </w:r>
            <w:r>
              <w:rPr>
                <w:rFonts w:hint="eastAsia" w:cs="Times New Roman"/>
                <w:b/>
                <w:bCs/>
                <w:lang w:val="en-US" w:eastAsia="zh-CN"/>
              </w:rPr>
              <w:t>方面有哪些进展</w:t>
            </w:r>
            <w:r>
              <w:rPr>
                <w:rFonts w:hint="default" w:ascii="Times New Roman" w:hAnsi="Times New Roman" w:eastAsia="宋体" w:cs="Times New Roman"/>
                <w:b/>
                <w:bCs/>
                <w:lang w:val="en-US" w:eastAsia="zh-CN"/>
              </w:rPr>
              <w:t>？</w:t>
            </w:r>
          </w:p>
          <w:p w14:paraId="4B3CC4D4">
            <w:pPr>
              <w:keepNext w:val="0"/>
              <w:keepLines w:val="0"/>
              <w:pageBreakBefore w:val="0"/>
              <w:widowControl w:val="0"/>
              <w:suppressLineNumbers w:val="0"/>
              <w:kinsoku/>
              <w:wordWrap/>
              <w:overflowPunct/>
              <w:topLinePunct w:val="0"/>
              <w:autoSpaceDN/>
              <w:bidi w:val="0"/>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答：近年来电网公司在电力巡检领域持续给予政策和投资方面的投入。</w:t>
            </w:r>
            <w:r>
              <w:rPr>
                <w:rFonts w:hint="eastAsia" w:cs="Times New Roman"/>
                <w:lang w:val="en-US" w:eastAsia="zh-CN"/>
              </w:rPr>
              <w:t>2024上半年</w:t>
            </w:r>
            <w:r>
              <w:rPr>
                <w:rFonts w:hint="default" w:ascii="Times New Roman" w:hAnsi="Times New Roman" w:eastAsia="宋体" w:cs="Times New Roman"/>
                <w:lang w:val="en-US" w:eastAsia="zh-CN"/>
              </w:rPr>
              <w:t>智能巡检业务收入较去年同期增长32.63%，三年复合增长率近49.83%。</w:t>
            </w:r>
          </w:p>
          <w:p w14:paraId="41189130">
            <w:pPr>
              <w:keepNext w:val="0"/>
              <w:keepLines w:val="0"/>
              <w:pageBreakBefore w:val="0"/>
              <w:widowControl w:val="0"/>
              <w:suppressLineNumbers w:val="0"/>
              <w:kinsoku/>
              <w:wordWrap/>
              <w:overflowPunct/>
              <w:topLinePunct w:val="0"/>
              <w:autoSpaceDN/>
              <w:bidi w:val="0"/>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公司积极响应低空经济发展趋势，公司的无人机巡检系列产品于服务包括无人机航线规划、无人机自主巡检APP、无人机巡检管控系统。通过人工智能技术实现无人机的主动避障。巡检系统适配多种机型，实现飞行任务下发后包括任务流转、巡检执行、实时视频监控、成果回传、空域告警等全部业务自动化执行，并通过人工智能技术实现无人机的主动避障。目前无人机巡检系统已实现在多个省电网系统的规模化应用。</w:t>
            </w:r>
          </w:p>
          <w:p w14:paraId="4C03173C">
            <w:pPr>
              <w:keepNext w:val="0"/>
              <w:keepLines w:val="0"/>
              <w:pageBreakBefore w:val="0"/>
              <w:widowControl w:val="0"/>
              <w:suppressLineNumbers w:val="0"/>
              <w:kinsoku/>
              <w:wordWrap/>
              <w:overflowPunct/>
              <w:topLinePunct w:val="0"/>
              <w:autoSpaceDN/>
              <w:bidi w:val="0"/>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2024年上半年，公司依托在华南、华中建立营销区域的经验上，新建了覆盖华东多省的营销管理区域，提高智能巡检业务的市场渗透率。同时，在巩固现有输电领域智能巡检业务优势的基础上，网内将向变电、配电等领域进行拓展，并在2023年已拓展的网外水电、光伏等领域基础上继续拓展森林防火巡检、海上风机巡检、高铁线路巡检，以期继续推动公司智能巡检业务的快速增长。公司智能巡检的应用领域覆盖电网系统的输电、变电、配电及水电、光伏等场景。截止2024年6月底，智能巡检与运维系统已在国家电网、南方电网、华能集团、中煤集团、国家能源集团、大唐集团的诸多项目上进行了实施和应用。</w:t>
            </w:r>
          </w:p>
          <w:p w14:paraId="193DD526">
            <w:pPr>
              <w:keepNext w:val="0"/>
              <w:keepLines w:val="0"/>
              <w:pageBreakBefore w:val="0"/>
              <w:widowControl w:val="0"/>
              <w:suppressLineNumbers w:val="0"/>
              <w:kinsoku/>
              <w:wordWrap/>
              <w:overflowPunct/>
              <w:topLinePunct w:val="0"/>
              <w:autoSpaceDN/>
              <w:bidi w:val="0"/>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lang w:val="en-US" w:eastAsia="zh-CN"/>
              </w:rPr>
            </w:pPr>
            <w:r>
              <w:rPr>
                <w:rFonts w:hint="eastAsia" w:cs="Times New Roman"/>
                <w:lang w:val="en-US" w:eastAsia="zh-CN"/>
              </w:rPr>
              <w:t>另外，在研发方面，</w:t>
            </w:r>
            <w:r>
              <w:rPr>
                <w:rFonts w:hint="default" w:ascii="Times New Roman" w:hAnsi="Times New Roman" w:eastAsia="宋体" w:cs="Times New Roman"/>
                <w:lang w:val="en-US" w:eastAsia="zh-CN"/>
              </w:rPr>
              <w:t>公司完成了无人机机巢管控平台软件V2.0项目研发。该平台实现了无人机智能巡检的集中管控，集中管理模式能够对巡检流程中的关键环节实现全过程信息化、自动化管控。新增航线规划和航线安全检测功能，提升系统安全性和巡检效率，进一步增强公司无人机巡检领域的技术和产品竞争力。</w:t>
            </w:r>
          </w:p>
          <w:p w14:paraId="009C5705">
            <w:pPr>
              <w:keepNext w:val="0"/>
              <w:keepLines w:val="0"/>
              <w:pageBreakBefore w:val="0"/>
              <w:widowControl w:val="0"/>
              <w:suppressLineNumbers w:val="0"/>
              <w:kinsoku/>
              <w:wordWrap/>
              <w:overflowPunct/>
              <w:topLinePunct w:val="0"/>
              <w:autoSpaceDN/>
              <w:bidi w:val="0"/>
              <w:snapToGrid/>
              <w:spacing w:before="0" w:beforeAutospacing="0" w:after="0" w:afterAutospacing="0" w:line="360" w:lineRule="auto"/>
              <w:ind w:left="0" w:leftChars="0" w:right="0" w:firstLine="48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Q4、公司</w:t>
            </w:r>
            <w:r>
              <w:rPr>
                <w:rFonts w:hint="eastAsia" w:cs="Times New Roman"/>
                <w:b/>
                <w:bCs/>
                <w:lang w:val="en-US" w:eastAsia="zh-CN"/>
              </w:rPr>
              <w:t>在储能业务上</w:t>
            </w:r>
            <w:r>
              <w:rPr>
                <w:rFonts w:hint="default" w:ascii="Times New Roman" w:hAnsi="Times New Roman" w:eastAsia="宋体" w:cs="Times New Roman"/>
                <w:b/>
                <w:bCs/>
                <w:lang w:val="en-US" w:eastAsia="zh-CN"/>
              </w:rPr>
              <w:t>有何进展？</w:t>
            </w:r>
          </w:p>
          <w:p w14:paraId="0CDBB966">
            <w:pPr>
              <w:pStyle w:val="28"/>
              <w:keepNext w:val="0"/>
              <w:keepLines w:val="0"/>
              <w:pageBreakBefore w:val="0"/>
              <w:widowControl w:val="0"/>
              <w:suppressLineNumbers w:val="0"/>
              <w:kinsoku/>
              <w:wordWrap/>
              <w:overflowPunct/>
              <w:topLinePunct w:val="0"/>
              <w:autoSpaceDN/>
              <w:bidi w:val="0"/>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lang w:val="en-US" w:eastAsia="zh-CN"/>
              </w:rPr>
              <w:t>答：</w:t>
            </w:r>
            <w:r>
              <w:rPr>
                <w:rFonts w:hint="eastAsia" w:cs="Times New Roman"/>
                <w:lang w:val="en-US" w:eastAsia="zh-CN"/>
              </w:rPr>
              <w:t>公司</w:t>
            </w:r>
            <w:r>
              <w:rPr>
                <w:rFonts w:hint="default" w:ascii="Times New Roman" w:hAnsi="Times New Roman" w:eastAsia="宋体" w:cs="Times New Roman"/>
              </w:rPr>
              <w:t>致力于为推动新型电力系统的建设做出积极贡献，公司利用自身深耕电力行业近三十年的品牌优势及行业积累和与电网多年合作建立的客户关系，以及在智能电力产品与服务领域的产业化实践经验，开拓储能领域。2023年7月，公司投资设立控股子公司煜邦智源，业务覆盖储能产品研发、生产、销售，与储能项目从设计、开发、建设到运维的解决方案与整体实施。</w:t>
            </w:r>
          </w:p>
          <w:p w14:paraId="2F1F3D50">
            <w:pPr>
              <w:pStyle w:val="28"/>
              <w:keepNext w:val="0"/>
              <w:keepLines w:val="0"/>
              <w:pageBreakBefore w:val="0"/>
              <w:widowControl w:val="0"/>
              <w:suppressLineNumbers w:val="0"/>
              <w:kinsoku/>
              <w:wordWrap/>
              <w:overflowPunct/>
              <w:topLinePunct w:val="0"/>
              <w:autoSpaceDN/>
              <w:bidi w:val="0"/>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2024年上半年，公司储能业务发展迅速，已在甘肃、西藏、广东、浙江等地区实现了项目落地。</w:t>
            </w:r>
          </w:p>
          <w:p w14:paraId="70F8CB2F">
            <w:pPr>
              <w:pStyle w:val="28"/>
              <w:keepNext w:val="0"/>
              <w:keepLines w:val="0"/>
              <w:pageBreakBefore w:val="0"/>
              <w:widowControl w:val="0"/>
              <w:suppressLineNumbers w:val="0"/>
              <w:kinsoku/>
              <w:wordWrap/>
              <w:overflowPunct/>
              <w:topLinePunct w:val="0"/>
              <w:autoSpaceDN/>
              <w:bidi w:val="0"/>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rPr>
            </w:pPr>
            <w:r>
              <w:rPr>
                <w:rFonts w:hint="eastAsia" w:cs="Times New Roman"/>
                <w:lang w:val="en-US" w:eastAsia="zh-CN"/>
              </w:rPr>
              <w:t>另外，公司</w:t>
            </w:r>
            <w:r>
              <w:rPr>
                <w:rFonts w:hint="default" w:ascii="Times New Roman" w:hAnsi="Times New Roman" w:eastAsia="宋体" w:cs="Times New Roman"/>
              </w:rPr>
              <w:t>在2024年成立工程建设项目组，专人专项负责由浙江省海盐县政府代建的位于海盐县金星园区的分布式储能产品生产建设项目，确保该项目在设计、基建、验收、投产等阶段符合公司要求，同时加强审计，节约建设资金。该项目分三期实施，其中一期项目规划产能2GWh，建设内容包括储能电池PACK自动化产线2条及配套储能系统集成产线。一期园区定制厂房面积约1.6万平米，2024年完成基建，截至2024年6月底，金星园区办公楼及车间建设施工正在稳步推进，基础回填工作有序展开，施工进度严格依照与原整体计划向前推进，预计2025年一季度投产。</w:t>
            </w:r>
          </w:p>
          <w:p w14:paraId="4D7B52A5">
            <w:pPr>
              <w:pStyle w:val="28"/>
              <w:keepNext w:val="0"/>
              <w:keepLines w:val="0"/>
              <w:pageBreakBefore w:val="0"/>
              <w:widowControl w:val="0"/>
              <w:suppressLineNumbers w:val="0"/>
              <w:kinsoku/>
              <w:wordWrap/>
              <w:overflowPunct/>
              <w:topLinePunct w:val="0"/>
              <w:autoSpaceDN/>
              <w:bidi w:val="0"/>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公司本着“研发一代、生产一代、储备一代”的业务拓展思路，在2024年完成5MWh储能预制舱、变流升压一体机、工商业储能一体机等产品的研发和定型，并按计划陆续将新产品以及源网侧储能系统集成业务推向市场。截至2024年6月底，</w:t>
            </w:r>
            <w:r>
              <w:rPr>
                <w:rFonts w:hint="eastAsia" w:cs="Times New Roman"/>
                <w:lang w:val="en-US" w:eastAsia="zh-CN"/>
              </w:rPr>
              <w:t>煜邦智源</w:t>
            </w:r>
            <w:r>
              <w:rPr>
                <w:rFonts w:hint="default" w:ascii="Times New Roman" w:hAnsi="Times New Roman" w:eastAsia="宋体" w:cs="Times New Roman"/>
              </w:rPr>
              <w:t>已获取4项发明专利，并有13项专利申请已获受理。</w:t>
            </w:r>
          </w:p>
          <w:p w14:paraId="02E27B19">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ind w:left="0" w:right="0" w:firstLine="480"/>
              <w:textAlignment w:val="auto"/>
              <w:rPr>
                <w:rFonts w:hint="eastAsia" w:cs="Times New Roman"/>
                <w:b/>
                <w:bCs/>
                <w:lang w:val="en-US" w:eastAsia="zh-CN"/>
              </w:rPr>
            </w:pPr>
            <w:r>
              <w:rPr>
                <w:rFonts w:hint="eastAsia" w:cs="Times New Roman"/>
                <w:b/>
                <w:bCs/>
                <w:lang w:val="en-US" w:eastAsia="zh-CN"/>
              </w:rPr>
              <w:t>Q5、公司的研发投入情况及研发进展如何？</w:t>
            </w:r>
          </w:p>
          <w:p w14:paraId="02586144">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ind w:left="0" w:right="0" w:firstLine="480"/>
              <w:textAlignment w:val="auto"/>
              <w:rPr>
                <w:rFonts w:hint="eastAsia" w:cs="Times New Roman"/>
                <w:b w:val="0"/>
                <w:bCs w:val="0"/>
                <w:lang w:val="en-US" w:eastAsia="zh-CN"/>
              </w:rPr>
            </w:pPr>
            <w:r>
              <w:rPr>
                <w:rFonts w:hint="eastAsia" w:cs="Times New Roman"/>
                <w:b w:val="0"/>
                <w:bCs w:val="0"/>
                <w:lang w:val="en-US" w:eastAsia="zh-CN"/>
              </w:rPr>
              <w:t>答：2024年上半年，公司研发投入3,268.10万元，占营业收入的9.27%，研发投入同比增加29.76%。</w:t>
            </w:r>
          </w:p>
          <w:p w14:paraId="21FF5CE4">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ind w:left="0" w:right="0" w:firstLine="480"/>
              <w:textAlignment w:val="auto"/>
              <w:rPr>
                <w:rFonts w:hint="eastAsia" w:cs="Times New Roman"/>
                <w:b w:val="0"/>
                <w:bCs w:val="0"/>
                <w:lang w:val="en-US" w:eastAsia="zh-CN"/>
              </w:rPr>
            </w:pPr>
            <w:r>
              <w:rPr>
                <w:rFonts w:hint="eastAsia" w:cs="Times New Roman"/>
                <w:b w:val="0"/>
                <w:bCs w:val="0"/>
                <w:lang w:val="en-US" w:eastAsia="zh-CN"/>
              </w:rPr>
              <w:t>在智能电力产品研发方面，</w:t>
            </w:r>
            <w:r>
              <w:rPr>
                <w:rFonts w:hint="default" w:cs="Times New Roman"/>
                <w:b w:val="0"/>
                <w:bCs w:val="0"/>
                <w:lang w:val="en-US" w:eastAsia="zh-CN"/>
              </w:rPr>
              <w:t>2024</w:t>
            </w:r>
            <w:r>
              <w:rPr>
                <w:rFonts w:hint="eastAsia" w:cs="Times New Roman"/>
                <w:b w:val="0"/>
                <w:bCs w:val="0"/>
                <w:lang w:val="en-US" w:eastAsia="zh-CN"/>
              </w:rPr>
              <w:t>年上半年，公司持续对国家电网</w:t>
            </w:r>
            <w:r>
              <w:rPr>
                <w:rFonts w:hint="default" w:cs="Times New Roman"/>
                <w:b w:val="0"/>
                <w:bCs w:val="0"/>
                <w:lang w:val="en-US" w:eastAsia="zh-CN"/>
              </w:rPr>
              <w:t>2020</w:t>
            </w:r>
            <w:r>
              <w:rPr>
                <w:rFonts w:hint="eastAsia" w:cs="Times New Roman"/>
                <w:b w:val="0"/>
                <w:bCs w:val="0"/>
                <w:lang w:val="en-US" w:eastAsia="zh-CN"/>
              </w:rPr>
              <w:t>版智能电能表进行技术优化，国家电网</w:t>
            </w:r>
            <w:r>
              <w:rPr>
                <w:rFonts w:hint="default" w:cs="Times New Roman"/>
                <w:b w:val="0"/>
                <w:bCs w:val="0"/>
                <w:lang w:val="en-US" w:eastAsia="zh-CN"/>
              </w:rPr>
              <w:t>C</w:t>
            </w:r>
            <w:r>
              <w:rPr>
                <w:rFonts w:hint="eastAsia" w:cs="Times New Roman"/>
                <w:b w:val="0"/>
                <w:bCs w:val="0"/>
                <w:lang w:val="en-US" w:eastAsia="zh-CN"/>
              </w:rPr>
              <w:t>级和</w:t>
            </w:r>
            <w:r>
              <w:rPr>
                <w:rFonts w:hint="default" w:cs="Times New Roman"/>
                <w:b w:val="0"/>
                <w:bCs w:val="0"/>
                <w:lang w:val="en-US" w:eastAsia="zh-CN"/>
              </w:rPr>
              <w:t>D</w:t>
            </w:r>
            <w:r>
              <w:rPr>
                <w:rFonts w:hint="eastAsia" w:cs="Times New Roman"/>
                <w:b w:val="0"/>
                <w:bCs w:val="0"/>
                <w:lang w:val="en-US" w:eastAsia="zh-CN"/>
              </w:rPr>
              <w:t>级三相智能电能表在通过国网计量中心检测的基础上，报告期内进行改进设计，进一步提升电能表技术指标；完成国家电网</w:t>
            </w:r>
            <w:r>
              <w:rPr>
                <w:rFonts w:hint="default" w:cs="Times New Roman"/>
                <w:b w:val="0"/>
                <w:bCs w:val="0"/>
                <w:lang w:val="en-US" w:eastAsia="zh-CN"/>
              </w:rPr>
              <w:t>A</w:t>
            </w:r>
            <w:r>
              <w:rPr>
                <w:rFonts w:hint="eastAsia" w:cs="Times New Roman"/>
                <w:b w:val="0"/>
                <w:bCs w:val="0"/>
                <w:lang w:val="en-US" w:eastAsia="zh-CN"/>
              </w:rPr>
              <w:t>级单相高防护智能电能表的国网计量中心送检，取得合格报告；持续进行智能物联电能表系列产品开发，主要规格型号产品均已通过国网计量中心检测，取得合格报告。南方电网智能电能表方面，公司对</w:t>
            </w:r>
            <w:r>
              <w:rPr>
                <w:rFonts w:hint="default" w:cs="Times New Roman"/>
                <w:b w:val="0"/>
                <w:bCs w:val="0"/>
                <w:lang w:val="en-US" w:eastAsia="zh-CN"/>
              </w:rPr>
              <w:t>2024</w:t>
            </w:r>
            <w:r>
              <w:rPr>
                <w:rFonts w:hint="eastAsia" w:cs="Times New Roman"/>
                <w:b w:val="0"/>
                <w:bCs w:val="0"/>
                <w:lang w:val="en-US" w:eastAsia="zh-CN"/>
              </w:rPr>
              <w:t>年技术规范进行技术研究，完成新标准的自主可控单相智能电能表的产品开发，取得南方电网科学研究院合格检测报告；完成三相自主可控智能电能表研发工作，具备送检条件。</w:t>
            </w:r>
          </w:p>
          <w:p w14:paraId="382D8EC1">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ind w:left="0" w:right="0" w:firstLine="480"/>
              <w:textAlignment w:val="auto"/>
              <w:rPr>
                <w:rFonts w:hint="eastAsia" w:cs="Times New Roman"/>
                <w:b w:val="0"/>
                <w:bCs w:val="0"/>
                <w:lang w:val="en-US" w:eastAsia="zh-CN"/>
              </w:rPr>
            </w:pPr>
            <w:r>
              <w:rPr>
                <w:rFonts w:hint="eastAsia" w:cs="Times New Roman"/>
                <w:b w:val="0"/>
                <w:bCs w:val="0"/>
                <w:lang w:val="en-US" w:eastAsia="zh-CN"/>
              </w:rPr>
              <w:t>为提升公司用电信息采集终端产品的技术指标，增强产品的市场竞争力，针对</w:t>
            </w:r>
            <w:r>
              <w:rPr>
                <w:rFonts w:hint="default" w:cs="Times New Roman"/>
                <w:b w:val="0"/>
                <w:bCs w:val="0"/>
                <w:lang w:val="en-US" w:eastAsia="zh-CN"/>
              </w:rPr>
              <w:t>2022</w:t>
            </w:r>
            <w:r>
              <w:rPr>
                <w:rFonts w:hint="eastAsia" w:cs="Times New Roman"/>
                <w:b w:val="0"/>
                <w:bCs w:val="0"/>
                <w:lang w:val="en-US" w:eastAsia="zh-CN"/>
              </w:rPr>
              <w:t>标准集中器与专变采集终端产品，公司持续深入开展软硬件设计优化工作，计量精度、通信稳定性、功耗、采集成功率等多个关键指标均远优于行业标准；技术优化后的产品已完成多个中标地区的批量生产和供货，现场运行稳定可靠。</w:t>
            </w:r>
          </w:p>
          <w:p w14:paraId="283FCAE3">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ind w:left="0" w:right="0" w:firstLine="480"/>
              <w:textAlignment w:val="auto"/>
              <w:rPr>
                <w:rFonts w:hint="eastAsia" w:cs="Times New Roman"/>
                <w:b w:val="0"/>
                <w:bCs w:val="0"/>
                <w:lang w:val="en-US" w:eastAsia="zh-CN"/>
              </w:rPr>
            </w:pPr>
            <w:r>
              <w:rPr>
                <w:rFonts w:hint="eastAsia" w:cs="Times New Roman"/>
                <w:b w:val="0"/>
                <w:bCs w:val="0"/>
                <w:lang w:val="en-US" w:eastAsia="zh-CN"/>
              </w:rPr>
              <w:t>国产化自主可控计量与采集装置产品的设计迭代稳步推进。随着国家电网现货市场的建设及深化应用，完成湖北、河北、陕西、山东等地现货交易新增功能开发以及现场实施；深度参与国家电网电能量采集装置行业标准、国家电网企业标准的制定工作，为后续新标准的产品送检工作做好技术储备。</w:t>
            </w:r>
          </w:p>
          <w:p w14:paraId="54FDA50E">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ind w:left="0" w:right="0" w:firstLine="480"/>
              <w:textAlignment w:val="auto"/>
              <w:rPr>
                <w:rFonts w:hint="eastAsia" w:cs="Times New Roman"/>
                <w:b w:val="0"/>
                <w:bCs w:val="0"/>
                <w:lang w:val="en-US" w:eastAsia="zh-CN"/>
              </w:rPr>
            </w:pPr>
            <w:r>
              <w:rPr>
                <w:rFonts w:hint="eastAsia" w:cs="Times New Roman"/>
                <w:b w:val="0"/>
                <w:bCs w:val="0"/>
                <w:lang w:val="en-US" w:eastAsia="zh-CN"/>
              </w:rPr>
              <w:t>除以上产品外，公司持续跟踪电网新技术和新产品方向，对国家电网导轨式电能表、分布式电源接入单元、双模通信单元等产品开展技术研究和产品研发工作。报告期内，分布式电源接入单元已完成样机开发和试验验证，并委托第三方检测机构进行检测；国网导轨式电能表和高防护电能表均已取得国网计量中心的检测报告。在双模通信单元方面，基于两种主流芯片方案的双模通信单元已取得国网计量中心合格检测报告，基于公司自主芯片的双模通信单元（芯片级）正在国网计量中心进行检测；报告期内取得了南方电网科学研究院的双模通信模块检测报告。</w:t>
            </w:r>
          </w:p>
          <w:p w14:paraId="614F074A">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ind w:left="0" w:leftChars="0" w:right="0" w:firstLine="0" w:firstLineChars="0"/>
              <w:textAlignment w:val="auto"/>
              <w:rPr>
                <w:rFonts w:hint="default" w:cs="Times New Roman"/>
                <w:b w:val="0"/>
                <w:bCs w:val="0"/>
                <w:lang w:val="en-US" w:eastAsia="zh-CN"/>
              </w:rPr>
            </w:pPr>
          </w:p>
        </w:tc>
      </w:tr>
      <w:tr w14:paraId="293C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14:paraId="0A8CF7AE">
            <w:pPr>
              <w:keepNext w:val="0"/>
              <w:keepLines w:val="0"/>
              <w:suppressLineNumbers w:val="0"/>
              <w:spacing w:before="0" w:beforeAutospacing="0" w:after="0" w:afterAutospacing="0"/>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t>附件清单（如有）</w:t>
            </w:r>
          </w:p>
        </w:tc>
        <w:tc>
          <w:tcPr>
            <w:tcW w:w="6324" w:type="dxa"/>
            <w:tcBorders>
              <w:top w:val="single" w:color="auto" w:sz="4" w:space="0"/>
              <w:left w:val="single" w:color="auto" w:sz="4" w:space="0"/>
              <w:bottom w:val="single" w:color="auto" w:sz="4" w:space="0"/>
              <w:right w:val="single" w:color="auto" w:sz="4" w:space="0"/>
            </w:tcBorders>
            <w:shd w:val="clear" w:color="auto" w:fill="auto"/>
          </w:tcPr>
          <w:p w14:paraId="71822587">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rPr>
            </w:pPr>
          </w:p>
          <w:p w14:paraId="4F0E819E">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rPr>
            </w:pPr>
            <w:r>
              <w:rPr>
                <w:rFonts w:hint="default" w:ascii="Times New Roman" w:hAnsi="Times New Roman" w:cs="Times New Roman"/>
                <w:color w:val="000000"/>
                <w:kern w:val="0"/>
                <w:lang w:bidi="ar"/>
              </w:rPr>
              <w:t>无</w:t>
            </w:r>
          </w:p>
        </w:tc>
      </w:tr>
      <w:tr w14:paraId="07B8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14:paraId="4D6E2E7D">
            <w:pPr>
              <w:keepNext w:val="0"/>
              <w:keepLines w:val="0"/>
              <w:suppressLineNumbers w:val="0"/>
              <w:spacing w:before="0" w:beforeAutospacing="0" w:after="0" w:afterAutospacing="0"/>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t>日期</w:t>
            </w:r>
          </w:p>
        </w:tc>
        <w:tc>
          <w:tcPr>
            <w:tcW w:w="6324" w:type="dxa"/>
            <w:tcBorders>
              <w:top w:val="single" w:color="auto" w:sz="4" w:space="0"/>
              <w:left w:val="single" w:color="auto" w:sz="4" w:space="0"/>
              <w:bottom w:val="single" w:color="auto" w:sz="4" w:space="0"/>
              <w:right w:val="single" w:color="auto" w:sz="4" w:space="0"/>
            </w:tcBorders>
            <w:shd w:val="clear" w:color="auto" w:fill="auto"/>
          </w:tcPr>
          <w:p w14:paraId="38FDB3C0">
            <w:pPr>
              <w:keepNext w:val="0"/>
              <w:keepLines w:val="0"/>
              <w:suppressLineNumbers w:val="0"/>
              <w:spacing w:before="0" w:beforeAutospacing="0" w:after="0" w:afterAutospacing="0" w:line="480" w:lineRule="atLeast"/>
              <w:ind w:left="0" w:right="0" w:firstLine="0" w:firstLineChars="0"/>
              <w:rPr>
                <w:rFonts w:hint="default" w:ascii="Times New Roman" w:hAnsi="Times New Roman" w:cs="Times New Roman"/>
                <w:bCs/>
                <w:iCs/>
                <w:color w:val="000000"/>
              </w:rPr>
            </w:pPr>
            <w:r>
              <w:rPr>
                <w:rFonts w:hint="default" w:ascii="Times New Roman" w:hAnsi="Times New Roman" w:cs="Times New Roman"/>
                <w:bCs/>
                <w:iCs/>
                <w:color w:val="000000"/>
              </w:rPr>
              <w:t>202</w:t>
            </w:r>
            <w:r>
              <w:rPr>
                <w:rFonts w:hint="default" w:ascii="Times New Roman" w:hAnsi="Times New Roman" w:cs="Times New Roman"/>
                <w:bCs/>
                <w:iCs/>
                <w:color w:val="000000"/>
                <w:lang w:val="en-US" w:eastAsia="zh-CN"/>
              </w:rPr>
              <w:t>4</w:t>
            </w:r>
            <w:r>
              <w:rPr>
                <w:rFonts w:hint="default" w:ascii="Times New Roman" w:hAnsi="Times New Roman" w:cs="Times New Roman"/>
                <w:bCs/>
                <w:iCs/>
                <w:color w:val="000000"/>
              </w:rPr>
              <w:t>年</w:t>
            </w:r>
            <w:r>
              <w:rPr>
                <w:rFonts w:hint="eastAsia" w:cs="Times New Roman"/>
                <w:bCs/>
                <w:iCs/>
                <w:color w:val="000000"/>
                <w:lang w:val="en-US" w:eastAsia="zh-CN"/>
              </w:rPr>
              <w:t>8</w:t>
            </w:r>
            <w:r>
              <w:rPr>
                <w:rFonts w:hint="default" w:ascii="Times New Roman" w:hAnsi="Times New Roman" w:cs="Times New Roman"/>
                <w:bCs/>
                <w:iCs/>
                <w:color w:val="000000"/>
              </w:rPr>
              <w:t>月</w:t>
            </w:r>
            <w:r>
              <w:rPr>
                <w:rFonts w:hint="eastAsia" w:cs="Times New Roman"/>
                <w:bCs/>
                <w:iCs/>
                <w:color w:val="000000"/>
                <w:lang w:val="en-US" w:eastAsia="zh-CN"/>
              </w:rPr>
              <w:t>30</w:t>
            </w:r>
            <w:r>
              <w:rPr>
                <w:rFonts w:hint="default" w:ascii="Times New Roman" w:hAnsi="Times New Roman" w:cs="Times New Roman"/>
                <w:bCs/>
                <w:iCs/>
                <w:color w:val="000000"/>
              </w:rPr>
              <w:t>日</w:t>
            </w:r>
          </w:p>
        </w:tc>
      </w:tr>
    </w:tbl>
    <w:p w14:paraId="2305A00D">
      <w:pPr>
        <w:ind w:firstLine="0" w:firstLineChars="0"/>
        <w:rPr>
          <w:rFonts w:ascii="宋体" w:hAnsi="宋体" w:cs="宋体"/>
          <w:color w:val="000000"/>
          <w:kern w:val="0"/>
          <w:lang w:bidi="ar"/>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6703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C2202">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A0ED5">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B0AD6">
    <w:pPr>
      <w:spacing w:line="240" w:lineRule="auto"/>
      <w:ind w:firstLine="480"/>
      <w:jc w:val="center"/>
      <w:rPr>
        <w:rFonts w:ascii="宋体" w:hAnsi="宋体"/>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8603F">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E3965">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FB08F"/>
    <w:multiLevelType w:val="singleLevel"/>
    <w:tmpl w:val="04BFB0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ZGY0ZTViYWQyN2I0ZGJhNDk0OThkMjNkNmQ2MDYifQ=="/>
    <w:docVar w:name="KSO_WPS_MARK_KEY" w:val="c9e77134-38d3-439c-a9fa-6fd0d7276fc5"/>
  </w:docVars>
  <w:rsids>
    <w:rsidRoot w:val="00172A27"/>
    <w:rsid w:val="0005033A"/>
    <w:rsid w:val="000738A4"/>
    <w:rsid w:val="000D6F1B"/>
    <w:rsid w:val="0010748C"/>
    <w:rsid w:val="001178D6"/>
    <w:rsid w:val="00172FFC"/>
    <w:rsid w:val="00176A2D"/>
    <w:rsid w:val="002041AE"/>
    <w:rsid w:val="00206F58"/>
    <w:rsid w:val="00225D75"/>
    <w:rsid w:val="00244DE9"/>
    <w:rsid w:val="002475A5"/>
    <w:rsid w:val="00280131"/>
    <w:rsid w:val="0028690D"/>
    <w:rsid w:val="002E5D8B"/>
    <w:rsid w:val="00307C20"/>
    <w:rsid w:val="00313583"/>
    <w:rsid w:val="00324D9E"/>
    <w:rsid w:val="003478C0"/>
    <w:rsid w:val="00360592"/>
    <w:rsid w:val="003614AE"/>
    <w:rsid w:val="00364D27"/>
    <w:rsid w:val="003E1A15"/>
    <w:rsid w:val="003F1823"/>
    <w:rsid w:val="00427425"/>
    <w:rsid w:val="00477E7B"/>
    <w:rsid w:val="004A6D07"/>
    <w:rsid w:val="004D2C93"/>
    <w:rsid w:val="004E0AE0"/>
    <w:rsid w:val="004E1A9F"/>
    <w:rsid w:val="0054178E"/>
    <w:rsid w:val="00545D6F"/>
    <w:rsid w:val="0057682D"/>
    <w:rsid w:val="00591F26"/>
    <w:rsid w:val="005929E1"/>
    <w:rsid w:val="005C77A7"/>
    <w:rsid w:val="005E043F"/>
    <w:rsid w:val="005F3E45"/>
    <w:rsid w:val="00663A0F"/>
    <w:rsid w:val="006872A8"/>
    <w:rsid w:val="006D44B9"/>
    <w:rsid w:val="006E1D17"/>
    <w:rsid w:val="007F7938"/>
    <w:rsid w:val="00811140"/>
    <w:rsid w:val="00812D16"/>
    <w:rsid w:val="008340F4"/>
    <w:rsid w:val="008C5EC8"/>
    <w:rsid w:val="008F1ED9"/>
    <w:rsid w:val="0090566B"/>
    <w:rsid w:val="00941FB6"/>
    <w:rsid w:val="009E5CBD"/>
    <w:rsid w:val="00A25F27"/>
    <w:rsid w:val="00A46227"/>
    <w:rsid w:val="00A64516"/>
    <w:rsid w:val="00A913E1"/>
    <w:rsid w:val="00AC5B85"/>
    <w:rsid w:val="00B43CC5"/>
    <w:rsid w:val="00B51B9D"/>
    <w:rsid w:val="00C27462"/>
    <w:rsid w:val="00C93D71"/>
    <w:rsid w:val="00CD7119"/>
    <w:rsid w:val="00CF601E"/>
    <w:rsid w:val="00D07FE0"/>
    <w:rsid w:val="00D259B0"/>
    <w:rsid w:val="00D40B66"/>
    <w:rsid w:val="00D41127"/>
    <w:rsid w:val="00D53FAB"/>
    <w:rsid w:val="00D66DEA"/>
    <w:rsid w:val="00D87F8B"/>
    <w:rsid w:val="00D912CB"/>
    <w:rsid w:val="00E00922"/>
    <w:rsid w:val="00E22C38"/>
    <w:rsid w:val="00E51CD1"/>
    <w:rsid w:val="00E8720F"/>
    <w:rsid w:val="00EB5FD4"/>
    <w:rsid w:val="00F14F34"/>
    <w:rsid w:val="00F66EE8"/>
    <w:rsid w:val="00FC635B"/>
    <w:rsid w:val="01234FE0"/>
    <w:rsid w:val="01502D10"/>
    <w:rsid w:val="01B251D8"/>
    <w:rsid w:val="01B76DA6"/>
    <w:rsid w:val="0244428D"/>
    <w:rsid w:val="0289355D"/>
    <w:rsid w:val="04D4371E"/>
    <w:rsid w:val="04F670C0"/>
    <w:rsid w:val="04FB15C8"/>
    <w:rsid w:val="06A93138"/>
    <w:rsid w:val="06BE7A2F"/>
    <w:rsid w:val="09623430"/>
    <w:rsid w:val="0A141655"/>
    <w:rsid w:val="0A232419"/>
    <w:rsid w:val="0B601776"/>
    <w:rsid w:val="0E0B7D94"/>
    <w:rsid w:val="0E3A7A5E"/>
    <w:rsid w:val="0F5172E4"/>
    <w:rsid w:val="0FB45D3D"/>
    <w:rsid w:val="111A7F35"/>
    <w:rsid w:val="11BB005F"/>
    <w:rsid w:val="12E623F4"/>
    <w:rsid w:val="13E94E98"/>
    <w:rsid w:val="13F41679"/>
    <w:rsid w:val="145044DA"/>
    <w:rsid w:val="145D635C"/>
    <w:rsid w:val="1511125D"/>
    <w:rsid w:val="16AF7B64"/>
    <w:rsid w:val="17B179BF"/>
    <w:rsid w:val="1A6525DA"/>
    <w:rsid w:val="1BD91EA9"/>
    <w:rsid w:val="1C8020C6"/>
    <w:rsid w:val="1D4E4D5C"/>
    <w:rsid w:val="1D8A34E9"/>
    <w:rsid w:val="1DA23FF1"/>
    <w:rsid w:val="1EBC1835"/>
    <w:rsid w:val="1F6745C6"/>
    <w:rsid w:val="20255703"/>
    <w:rsid w:val="21582E98"/>
    <w:rsid w:val="21595751"/>
    <w:rsid w:val="22746013"/>
    <w:rsid w:val="22B14FED"/>
    <w:rsid w:val="23214F26"/>
    <w:rsid w:val="2328463F"/>
    <w:rsid w:val="249935AB"/>
    <w:rsid w:val="25137AB5"/>
    <w:rsid w:val="252510E2"/>
    <w:rsid w:val="261A2F71"/>
    <w:rsid w:val="26C84E2F"/>
    <w:rsid w:val="26D03852"/>
    <w:rsid w:val="274C34D5"/>
    <w:rsid w:val="288558F5"/>
    <w:rsid w:val="28D40A43"/>
    <w:rsid w:val="295E47AB"/>
    <w:rsid w:val="2A0B22AF"/>
    <w:rsid w:val="2AAD43DD"/>
    <w:rsid w:val="2B96237A"/>
    <w:rsid w:val="2C802549"/>
    <w:rsid w:val="2C974366"/>
    <w:rsid w:val="2D0C5076"/>
    <w:rsid w:val="2DAB2A2E"/>
    <w:rsid w:val="2ED83964"/>
    <w:rsid w:val="2FEE7FD3"/>
    <w:rsid w:val="30506672"/>
    <w:rsid w:val="31472D24"/>
    <w:rsid w:val="31B86E8C"/>
    <w:rsid w:val="32FA4514"/>
    <w:rsid w:val="32FB2E93"/>
    <w:rsid w:val="358520A4"/>
    <w:rsid w:val="35E2495D"/>
    <w:rsid w:val="361436B2"/>
    <w:rsid w:val="365B4235"/>
    <w:rsid w:val="36C32AA7"/>
    <w:rsid w:val="36D93CDC"/>
    <w:rsid w:val="36E713FF"/>
    <w:rsid w:val="37382FE8"/>
    <w:rsid w:val="386B36DD"/>
    <w:rsid w:val="3A347BA7"/>
    <w:rsid w:val="3ABC3E96"/>
    <w:rsid w:val="3BA935E9"/>
    <w:rsid w:val="3E546A69"/>
    <w:rsid w:val="3E901EE1"/>
    <w:rsid w:val="3ECC35F3"/>
    <w:rsid w:val="3F1E0435"/>
    <w:rsid w:val="3FBA4920"/>
    <w:rsid w:val="40980764"/>
    <w:rsid w:val="40AD49D3"/>
    <w:rsid w:val="40BA6693"/>
    <w:rsid w:val="433C66B4"/>
    <w:rsid w:val="4447737B"/>
    <w:rsid w:val="44680FD8"/>
    <w:rsid w:val="44867AEB"/>
    <w:rsid w:val="45060DC3"/>
    <w:rsid w:val="466E7585"/>
    <w:rsid w:val="475143C5"/>
    <w:rsid w:val="48CF5863"/>
    <w:rsid w:val="49CC144D"/>
    <w:rsid w:val="4BF9574E"/>
    <w:rsid w:val="4C410F9B"/>
    <w:rsid w:val="4C464239"/>
    <w:rsid w:val="50774629"/>
    <w:rsid w:val="507C320F"/>
    <w:rsid w:val="52EB0BC7"/>
    <w:rsid w:val="54980E30"/>
    <w:rsid w:val="557963A3"/>
    <w:rsid w:val="56903F5F"/>
    <w:rsid w:val="571C73E3"/>
    <w:rsid w:val="57374A11"/>
    <w:rsid w:val="5AF80325"/>
    <w:rsid w:val="5AFD593B"/>
    <w:rsid w:val="5D0D455B"/>
    <w:rsid w:val="5D131F08"/>
    <w:rsid w:val="5E082837"/>
    <w:rsid w:val="5E802817"/>
    <w:rsid w:val="622D66DF"/>
    <w:rsid w:val="62535E8B"/>
    <w:rsid w:val="63647270"/>
    <w:rsid w:val="642A25F8"/>
    <w:rsid w:val="654E74BF"/>
    <w:rsid w:val="662F78AA"/>
    <w:rsid w:val="67504A1F"/>
    <w:rsid w:val="677D6C3B"/>
    <w:rsid w:val="679C3CDE"/>
    <w:rsid w:val="6866618F"/>
    <w:rsid w:val="68727938"/>
    <w:rsid w:val="68A13DAA"/>
    <w:rsid w:val="69617F7B"/>
    <w:rsid w:val="6B6B2A60"/>
    <w:rsid w:val="6D3639C4"/>
    <w:rsid w:val="6E2C05BA"/>
    <w:rsid w:val="6E92241A"/>
    <w:rsid w:val="6ED03AA2"/>
    <w:rsid w:val="6F0B53B7"/>
    <w:rsid w:val="6FB90C23"/>
    <w:rsid w:val="6FD35D9C"/>
    <w:rsid w:val="70801882"/>
    <w:rsid w:val="70A01788"/>
    <w:rsid w:val="72A72905"/>
    <w:rsid w:val="7338479B"/>
    <w:rsid w:val="73D94E13"/>
    <w:rsid w:val="74200A04"/>
    <w:rsid w:val="74C07CAE"/>
    <w:rsid w:val="76B854AE"/>
    <w:rsid w:val="778E68BB"/>
    <w:rsid w:val="79A225D4"/>
    <w:rsid w:val="79EF2F14"/>
    <w:rsid w:val="7A2603C8"/>
    <w:rsid w:val="7B013661"/>
    <w:rsid w:val="7BE63AA2"/>
    <w:rsid w:val="7D354697"/>
    <w:rsid w:val="7E866635"/>
    <w:rsid w:val="7E9764D0"/>
    <w:rsid w:val="7EF667A6"/>
    <w:rsid w:val="7F477001"/>
    <w:rsid w:val="7FBB1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footer"/>
    <w:basedOn w:val="1"/>
    <w:unhideWhenUsed/>
    <w:qFormat/>
    <w:uiPriority w:val="99"/>
    <w:pPr>
      <w:tabs>
        <w:tab w:val="center" w:pos="4153"/>
        <w:tab w:val="right" w:pos="8306"/>
      </w:tabs>
      <w:snapToGrid w:val="0"/>
      <w:spacing w:line="240" w:lineRule="auto"/>
      <w:ind w:firstLine="0" w:firstLineChars="0"/>
      <w:jc w:val="left"/>
    </w:pPr>
    <w:rPr>
      <w:rFonts w:asciiTheme="minorHAnsi" w:hAnsiTheme="minorHAnsi" w:eastAsiaTheme="minorEastAsia" w:cstheme="minorBidi"/>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sz w:val="18"/>
      <w:szCs w:val="18"/>
    </w:rPr>
  </w:style>
  <w:style w:type="paragraph" w:styleId="5">
    <w:name w:val="Normal (Web)"/>
    <w:basedOn w:val="1"/>
    <w:qFormat/>
    <w:uiPriority w:val="0"/>
    <w:rPr>
      <w:sz w:val="24"/>
    </w:rPr>
  </w:style>
  <w:style w:type="paragraph" w:styleId="6">
    <w:name w:val="annotation subject"/>
    <w:basedOn w:val="2"/>
    <w:next w:val="2"/>
    <w:link w:val="15"/>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color w:val="333333"/>
      <w:u w:val="none"/>
    </w:rPr>
  </w:style>
  <w:style w:type="character" w:styleId="11">
    <w:name w:val="Hyperlink"/>
    <w:basedOn w:val="9"/>
    <w:qFormat/>
    <w:uiPriority w:val="0"/>
    <w:rPr>
      <w:color w:val="333333"/>
      <w:u w:val="none"/>
    </w:rPr>
  </w:style>
  <w:style w:type="character" w:styleId="12">
    <w:name w:val="annotation reference"/>
    <w:basedOn w:val="9"/>
    <w:qFormat/>
    <w:uiPriority w:val="0"/>
    <w:rPr>
      <w:sz w:val="21"/>
      <w:szCs w:val="21"/>
    </w:rPr>
  </w:style>
  <w:style w:type="paragraph" w:styleId="13">
    <w:name w:val="List Paragraph"/>
    <w:basedOn w:val="1"/>
    <w:qFormat/>
    <w:uiPriority w:val="34"/>
    <w:pPr>
      <w:ind w:firstLine="420"/>
    </w:pPr>
  </w:style>
  <w:style w:type="character" w:customStyle="1" w:styleId="14">
    <w:name w:val="批注文字 Char"/>
    <w:basedOn w:val="9"/>
    <w:link w:val="2"/>
    <w:qFormat/>
    <w:uiPriority w:val="0"/>
    <w:rPr>
      <w:kern w:val="2"/>
      <w:sz w:val="24"/>
      <w:szCs w:val="24"/>
    </w:rPr>
  </w:style>
  <w:style w:type="character" w:customStyle="1" w:styleId="15">
    <w:name w:val="批注主题 Char"/>
    <w:basedOn w:val="14"/>
    <w:link w:val="6"/>
    <w:qFormat/>
    <w:uiPriority w:val="0"/>
    <w:rPr>
      <w:b/>
      <w:bCs/>
      <w:kern w:val="2"/>
      <w:sz w:val="24"/>
      <w:szCs w:val="24"/>
    </w:rPr>
  </w:style>
  <w:style w:type="paragraph" w:customStyle="1" w:styleId="16">
    <w:name w:val="修订1"/>
    <w:hidden/>
    <w:semiHidden/>
    <w:qFormat/>
    <w:uiPriority w:val="99"/>
    <w:rPr>
      <w:rFonts w:ascii="Times New Roman" w:hAnsi="Times New Roman" w:eastAsia="宋体" w:cs="Times New Roman"/>
      <w:kern w:val="2"/>
      <w:sz w:val="24"/>
      <w:szCs w:val="24"/>
      <w:lang w:val="en-US" w:eastAsia="zh-CN" w:bidi="ar-SA"/>
    </w:rPr>
  </w:style>
  <w:style w:type="character" w:customStyle="1" w:styleId="17">
    <w:name w:val="layui-laydate-preview"/>
    <w:basedOn w:val="9"/>
    <w:qFormat/>
    <w:uiPriority w:val="0"/>
  </w:style>
  <w:style w:type="character" w:customStyle="1" w:styleId="18">
    <w:name w:val="layui-this"/>
    <w:basedOn w:val="9"/>
    <w:qFormat/>
    <w:uiPriority w:val="0"/>
    <w:rPr>
      <w:bdr w:val="single" w:color="EEEEEE" w:sz="4" w:space="0"/>
      <w:shd w:val="clear" w:fill="FFFFFF"/>
    </w:rPr>
  </w:style>
  <w:style w:type="character" w:customStyle="1" w:styleId="19">
    <w:name w:val="hover11"/>
    <w:basedOn w:val="9"/>
    <w:qFormat/>
    <w:uiPriority w:val="0"/>
    <w:rPr>
      <w:color w:val="5FB878"/>
    </w:rPr>
  </w:style>
  <w:style w:type="character" w:customStyle="1" w:styleId="20">
    <w:name w:val="hover12"/>
    <w:basedOn w:val="9"/>
    <w:qFormat/>
    <w:uiPriority w:val="0"/>
    <w:rPr>
      <w:color w:val="5FB878"/>
    </w:rPr>
  </w:style>
  <w:style w:type="character" w:customStyle="1" w:styleId="21">
    <w:name w:val="hover13"/>
    <w:basedOn w:val="9"/>
    <w:qFormat/>
    <w:uiPriority w:val="0"/>
    <w:rPr>
      <w:color w:val="FFFFFF"/>
    </w:rPr>
  </w:style>
  <w:style w:type="character" w:customStyle="1" w:styleId="22">
    <w:name w:val="first-child1"/>
    <w:basedOn w:val="9"/>
    <w:qFormat/>
    <w:uiPriority w:val="0"/>
  </w:style>
  <w:style w:type="character" w:customStyle="1" w:styleId="23">
    <w:name w:val="layui-laypage-curr"/>
    <w:basedOn w:val="9"/>
    <w:qFormat/>
    <w:uiPriority w:val="0"/>
  </w:style>
  <w:style w:type="character" w:customStyle="1" w:styleId="24">
    <w:name w:val="font-gray1"/>
    <w:basedOn w:val="9"/>
    <w:qFormat/>
    <w:uiPriority w:val="0"/>
    <w:rPr>
      <w:color w:val="A7A7A7"/>
    </w:rPr>
  </w:style>
  <w:style w:type="character" w:customStyle="1" w:styleId="25">
    <w:name w:val="hover"/>
    <w:basedOn w:val="9"/>
    <w:qFormat/>
    <w:uiPriority w:val="0"/>
    <w:rPr>
      <w:color w:val="5FB878"/>
    </w:rPr>
  </w:style>
  <w:style w:type="character" w:customStyle="1" w:styleId="26">
    <w:name w:val="hover1"/>
    <w:basedOn w:val="9"/>
    <w:qFormat/>
    <w:uiPriority w:val="0"/>
    <w:rPr>
      <w:color w:val="FFFFFF"/>
    </w:rPr>
  </w:style>
  <w:style w:type="character" w:customStyle="1" w:styleId="27">
    <w:name w:val="hover2"/>
    <w:basedOn w:val="9"/>
    <w:qFormat/>
    <w:uiPriority w:val="0"/>
    <w:rPr>
      <w:color w:val="5FB878"/>
    </w:rPr>
  </w:style>
  <w:style w:type="paragraph" w:customStyle="1" w:styleId="28">
    <w:name w:val="A-正文"/>
    <w:basedOn w:val="1"/>
    <w:qFormat/>
    <w:uiPriority w:val="0"/>
    <w:pPr>
      <w:adjustRightInd w:val="0"/>
      <w:snapToGrid w:val="0"/>
      <w:ind w:firstLine="200"/>
    </w:pPr>
    <w:rPr>
      <w:rFonts w:ascii="Times New Roman" w:hAnsi="Times New Roman" w:eastAsia="宋体"/>
      <w:sz w:val="24"/>
      <w:szCs w:val="21"/>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65DD8-67F4-4749-AAC1-950D1A59FCF2}">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3014</Words>
  <Characters>3276</Characters>
  <Lines>14</Lines>
  <Paragraphs>3</Paragraphs>
  <TotalTime>5</TotalTime>
  <ScaleCrop>false</ScaleCrop>
  <LinksUpToDate>false</LinksUpToDate>
  <CharactersWithSpaces>3428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2022-04-14T09:02:00Z</dcterms:created>
  <dc:creator>WY</dc:creator>
  <cp:lastModifiedBy>颖</cp:lastModifiedBy>
  <cp:lastPrinted>2021-07-15T03:39:00Z</cp:lastPrinted>
  <dcterms:modified xsi:type="dcterms:W3CDTF">2024-08-30T06:15:00Z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6662CD73D60C4F3CBA4716AE784B412F</vt:lpwstr>
  </property>
</Properties>
</file>