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69CBE">
      <w:pPr>
        <w:spacing w:before="156" w:beforeLines="50" w:after="156" w:afterLines="50" w:line="400" w:lineRule="exact"/>
        <w:ind w:right="240"/>
        <w:jc w:val="right"/>
        <w:rPr>
          <w:bCs/>
          <w:iCs/>
          <w:color w:val="000000"/>
          <w:sz w:val="24"/>
        </w:rPr>
      </w:pPr>
      <w:r>
        <w:rPr>
          <w:bCs/>
          <w:iCs/>
          <w:color w:val="000000"/>
          <w:sz w:val="24"/>
        </w:rPr>
        <w:t xml:space="preserve">证券代码：688362                                 证券简称：甬矽电子    </w:t>
      </w:r>
    </w:p>
    <w:p w14:paraId="62E40C6F">
      <w:pPr>
        <w:spacing w:line="360" w:lineRule="auto"/>
        <w:jc w:val="center"/>
        <w:rPr>
          <w:b/>
          <w:bCs/>
          <w:iCs/>
          <w:color w:val="000000"/>
          <w:sz w:val="28"/>
        </w:rPr>
      </w:pPr>
      <w:r>
        <w:rPr>
          <w:b/>
          <w:bCs/>
          <w:sz w:val="28"/>
        </w:rPr>
        <w:t>甬矽电子（宁波）</w:t>
      </w:r>
      <w:r>
        <w:rPr>
          <w:b/>
          <w:bCs/>
          <w:iCs/>
          <w:color w:val="000000"/>
          <w:sz w:val="28"/>
        </w:rPr>
        <w:t>股份有限公司投资者关系活动记录表</w:t>
      </w:r>
    </w:p>
    <w:p w14:paraId="5DDE37F0">
      <w:pPr>
        <w:spacing w:line="400" w:lineRule="exact"/>
        <w:ind w:firstLine="480" w:firstLineChars="200"/>
        <w:rPr>
          <w:bCs/>
          <w:iCs/>
          <w:color w:val="000000"/>
          <w:sz w:val="24"/>
        </w:rPr>
      </w:pPr>
      <w:r>
        <w:rPr>
          <w:bCs/>
          <w:iCs/>
          <w:color w:val="000000"/>
          <w:sz w:val="24"/>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614"/>
      </w:tblGrid>
      <w:tr w14:paraId="1497E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5893C46B">
            <w:pPr>
              <w:spacing w:line="360" w:lineRule="auto"/>
              <w:rPr>
                <w:bCs/>
                <w:iCs/>
                <w:color w:val="000000"/>
                <w:sz w:val="24"/>
              </w:rPr>
            </w:pPr>
            <w:r>
              <w:rPr>
                <w:bCs/>
                <w:iCs/>
                <w:color w:val="000000"/>
                <w:sz w:val="24"/>
              </w:rPr>
              <w:t>投资者关系活动类别</w:t>
            </w:r>
          </w:p>
          <w:p w14:paraId="25E1C0F3">
            <w:pPr>
              <w:spacing w:line="360" w:lineRule="auto"/>
              <w:rPr>
                <w:bCs/>
                <w:iCs/>
                <w:color w:val="000000"/>
                <w:sz w:val="24"/>
              </w:rPr>
            </w:pPr>
          </w:p>
        </w:tc>
        <w:tc>
          <w:tcPr>
            <w:tcW w:w="6614" w:type="dxa"/>
            <w:tcBorders>
              <w:top w:val="single" w:color="auto" w:sz="4" w:space="0"/>
              <w:left w:val="single" w:color="auto" w:sz="4" w:space="0"/>
              <w:bottom w:val="single" w:color="auto" w:sz="4" w:space="0"/>
              <w:right w:val="single" w:color="auto" w:sz="4" w:space="0"/>
            </w:tcBorders>
            <w:shd w:val="clear" w:color="auto" w:fill="auto"/>
          </w:tcPr>
          <w:p w14:paraId="673EB6B8">
            <w:pPr>
              <w:spacing w:line="480" w:lineRule="atLeast"/>
              <w:rPr>
                <w:bCs/>
                <w:iCs/>
                <w:color w:val="000000"/>
                <w:sz w:val="24"/>
              </w:rPr>
            </w:pPr>
            <w:r>
              <w:rPr>
                <w:bCs/>
                <w:iCs/>
                <w:color w:val="000000"/>
                <w:sz w:val="24"/>
              </w:rPr>
              <w:sym w:font="Wingdings 2" w:char="0052"/>
            </w:r>
            <w:r>
              <w:rPr>
                <w:sz w:val="24"/>
              </w:rPr>
              <w:t xml:space="preserve">特定对象调研        </w:t>
            </w:r>
            <w:r>
              <w:rPr>
                <w:bCs/>
                <w:iCs/>
                <w:color w:val="000000"/>
                <w:sz w:val="24"/>
              </w:rPr>
              <w:t>□分</w:t>
            </w:r>
            <w:r>
              <w:rPr>
                <w:sz w:val="24"/>
              </w:rPr>
              <w:t>析师会议</w:t>
            </w:r>
          </w:p>
          <w:p w14:paraId="7FFEC2C3">
            <w:pPr>
              <w:spacing w:line="480" w:lineRule="atLeast"/>
              <w:rPr>
                <w:bCs/>
                <w:iCs/>
                <w:color w:val="000000"/>
                <w:sz w:val="24"/>
              </w:rPr>
            </w:pPr>
            <w:r>
              <w:rPr>
                <w:bCs/>
                <w:iCs/>
                <w:color w:val="000000"/>
                <w:sz w:val="24"/>
              </w:rPr>
              <w:t>□</w:t>
            </w:r>
            <w:r>
              <w:rPr>
                <w:sz w:val="24"/>
              </w:rPr>
              <w:t xml:space="preserve">媒体采访            </w:t>
            </w:r>
            <w:r>
              <w:rPr>
                <w:rFonts w:ascii="Segoe UI Symbol" w:hAnsi="Segoe UI Symbol" w:cs="Segoe UI Symbol"/>
                <w:bCs/>
                <w:iCs/>
                <w:color w:val="000000"/>
                <w:sz w:val="24"/>
              </w:rPr>
              <w:t>☑</w:t>
            </w:r>
            <w:r>
              <w:rPr>
                <w:sz w:val="24"/>
              </w:rPr>
              <w:t>业绩说明会</w:t>
            </w:r>
          </w:p>
          <w:p w14:paraId="0350077D">
            <w:pPr>
              <w:spacing w:line="480" w:lineRule="atLeast"/>
              <w:rPr>
                <w:bCs/>
                <w:iCs/>
                <w:color w:val="000000"/>
                <w:sz w:val="24"/>
              </w:rPr>
            </w:pPr>
            <w:r>
              <w:rPr>
                <w:bCs/>
                <w:iCs/>
                <w:color w:val="000000"/>
                <w:sz w:val="24"/>
              </w:rPr>
              <w:t>□新闻发布会          □路演活动</w:t>
            </w:r>
          </w:p>
          <w:p w14:paraId="55E21FE2">
            <w:pPr>
              <w:spacing w:line="480" w:lineRule="atLeast"/>
              <w:rPr>
                <w:bCs/>
                <w:iCs/>
                <w:color w:val="000000"/>
                <w:sz w:val="24"/>
              </w:rPr>
            </w:pPr>
            <w:r>
              <w:rPr>
                <w:bCs/>
                <w:iCs/>
                <w:color w:val="000000"/>
                <w:sz w:val="24"/>
              </w:rPr>
              <w:t>□现场参观</w:t>
            </w:r>
            <w:r>
              <w:rPr>
                <w:bCs/>
                <w:iCs/>
                <w:color w:val="000000"/>
                <w:sz w:val="24"/>
              </w:rPr>
              <w:tab/>
            </w:r>
          </w:p>
          <w:p w14:paraId="3F06051E">
            <w:pPr>
              <w:tabs>
                <w:tab w:val="center" w:pos="3199"/>
              </w:tabs>
              <w:spacing w:line="480" w:lineRule="atLeast"/>
              <w:rPr>
                <w:bCs/>
                <w:iCs/>
                <w:color w:val="000000"/>
                <w:sz w:val="24"/>
              </w:rPr>
            </w:pPr>
            <w:r>
              <w:rPr>
                <w:bCs/>
                <w:iCs/>
                <w:color w:val="000000"/>
                <w:sz w:val="24"/>
              </w:rPr>
              <w:sym w:font="Wingdings 2" w:char="0052"/>
            </w:r>
            <w:r>
              <w:rPr>
                <w:sz w:val="24"/>
              </w:rPr>
              <w:t>其他 （</w:t>
            </w:r>
            <w:r>
              <w:rPr>
                <w:sz w:val="24"/>
                <w:u w:val="single"/>
              </w:rPr>
              <w:t>电话会议）</w:t>
            </w:r>
          </w:p>
        </w:tc>
      </w:tr>
      <w:tr w14:paraId="064B8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0FC8265D">
            <w:pPr>
              <w:spacing w:line="360" w:lineRule="auto"/>
              <w:rPr>
                <w:bCs/>
                <w:iCs/>
                <w:color w:val="000000"/>
                <w:sz w:val="24"/>
              </w:rPr>
            </w:pPr>
            <w:r>
              <w:rPr>
                <w:bCs/>
                <w:iCs/>
                <w:color w:val="000000"/>
                <w:sz w:val="24"/>
              </w:rPr>
              <w:t>参与单位名称及人员姓名</w:t>
            </w:r>
          </w:p>
        </w:tc>
        <w:tc>
          <w:tcPr>
            <w:tcW w:w="6614" w:type="dxa"/>
            <w:tcBorders>
              <w:top w:val="single" w:color="auto" w:sz="4" w:space="0"/>
              <w:left w:val="single" w:color="auto" w:sz="4" w:space="0"/>
              <w:bottom w:val="single" w:color="auto" w:sz="4" w:space="0"/>
              <w:right w:val="single" w:color="auto" w:sz="4" w:space="0"/>
            </w:tcBorders>
            <w:shd w:val="clear" w:color="auto" w:fill="auto"/>
          </w:tcPr>
          <w:p w14:paraId="4CD52AF2">
            <w:pPr>
              <w:spacing w:line="480" w:lineRule="atLeast"/>
              <w:rPr>
                <w:bCs/>
                <w:iCs/>
                <w:color w:val="000000"/>
                <w:sz w:val="24"/>
              </w:rPr>
            </w:pPr>
            <w:r>
              <w:rPr>
                <w:bCs/>
                <w:iCs/>
                <w:color w:val="000000"/>
                <w:sz w:val="24"/>
              </w:rPr>
              <w:t>详见附件《参会人员名单》</w:t>
            </w:r>
          </w:p>
        </w:tc>
      </w:tr>
      <w:tr w14:paraId="462E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012B1179">
            <w:pPr>
              <w:spacing w:line="360" w:lineRule="auto"/>
              <w:rPr>
                <w:bCs/>
                <w:iCs/>
                <w:color w:val="000000"/>
                <w:sz w:val="24"/>
              </w:rPr>
            </w:pPr>
            <w:r>
              <w:rPr>
                <w:bCs/>
                <w:iCs/>
                <w:color w:val="000000"/>
                <w:sz w:val="24"/>
              </w:rPr>
              <w:t>时间</w:t>
            </w:r>
          </w:p>
        </w:tc>
        <w:tc>
          <w:tcPr>
            <w:tcW w:w="6614" w:type="dxa"/>
            <w:tcBorders>
              <w:top w:val="single" w:color="auto" w:sz="4" w:space="0"/>
              <w:left w:val="single" w:color="auto" w:sz="4" w:space="0"/>
              <w:bottom w:val="single" w:color="auto" w:sz="4" w:space="0"/>
              <w:right w:val="single" w:color="auto" w:sz="4" w:space="0"/>
            </w:tcBorders>
            <w:shd w:val="clear" w:color="auto" w:fill="auto"/>
          </w:tcPr>
          <w:p w14:paraId="199BBA46">
            <w:pPr>
              <w:spacing w:line="480" w:lineRule="atLeast"/>
              <w:rPr>
                <w:rFonts w:hint="eastAsia" w:eastAsia="宋体"/>
                <w:bCs/>
                <w:iCs/>
                <w:color w:val="000000"/>
                <w:sz w:val="24"/>
                <w:lang w:val="en-US" w:eastAsia="zh-CN"/>
              </w:rPr>
            </w:pPr>
            <w:r>
              <w:rPr>
                <w:bCs/>
                <w:iCs/>
                <w:color w:val="000000"/>
                <w:sz w:val="24"/>
              </w:rPr>
              <w:t>2024年8月2</w:t>
            </w:r>
            <w:r>
              <w:rPr>
                <w:rFonts w:hint="eastAsia"/>
                <w:bCs/>
                <w:iCs/>
                <w:color w:val="000000"/>
                <w:sz w:val="24"/>
                <w:lang w:val="en-US" w:eastAsia="zh-CN"/>
              </w:rPr>
              <w:t>8</w:t>
            </w:r>
            <w:r>
              <w:rPr>
                <w:bCs/>
                <w:iCs/>
                <w:color w:val="000000"/>
                <w:sz w:val="24"/>
              </w:rPr>
              <w:t>日</w:t>
            </w:r>
            <w:r>
              <w:rPr>
                <w:rFonts w:hint="eastAsia"/>
                <w:bCs/>
                <w:iCs/>
                <w:color w:val="000000"/>
                <w:sz w:val="24"/>
                <w:lang w:eastAsia="zh-CN"/>
              </w:rPr>
              <w:t>、</w:t>
            </w:r>
            <w:r>
              <w:rPr>
                <w:bCs/>
                <w:iCs/>
                <w:color w:val="000000"/>
                <w:sz w:val="24"/>
              </w:rPr>
              <w:t>2024年8月2</w:t>
            </w:r>
            <w:r>
              <w:rPr>
                <w:rFonts w:hint="eastAsia"/>
                <w:bCs/>
                <w:iCs/>
                <w:color w:val="000000"/>
                <w:sz w:val="24"/>
                <w:lang w:val="en-US" w:eastAsia="zh-CN"/>
              </w:rPr>
              <w:t>9</w:t>
            </w:r>
            <w:r>
              <w:rPr>
                <w:bCs/>
                <w:iCs/>
                <w:color w:val="000000"/>
                <w:sz w:val="24"/>
              </w:rPr>
              <w:t>日</w:t>
            </w:r>
          </w:p>
        </w:tc>
      </w:tr>
      <w:tr w14:paraId="4173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21179CBE">
            <w:pPr>
              <w:spacing w:line="360" w:lineRule="auto"/>
              <w:rPr>
                <w:bCs/>
                <w:iCs/>
                <w:color w:val="000000"/>
                <w:sz w:val="24"/>
              </w:rPr>
            </w:pPr>
            <w:r>
              <w:rPr>
                <w:bCs/>
                <w:iCs/>
                <w:color w:val="000000"/>
                <w:sz w:val="24"/>
              </w:rPr>
              <w:t>地点</w:t>
            </w:r>
          </w:p>
        </w:tc>
        <w:tc>
          <w:tcPr>
            <w:tcW w:w="6614" w:type="dxa"/>
            <w:tcBorders>
              <w:top w:val="single" w:color="auto" w:sz="4" w:space="0"/>
              <w:left w:val="single" w:color="auto" w:sz="4" w:space="0"/>
              <w:bottom w:val="single" w:color="auto" w:sz="4" w:space="0"/>
              <w:right w:val="single" w:color="auto" w:sz="4" w:space="0"/>
            </w:tcBorders>
            <w:shd w:val="clear" w:color="auto" w:fill="auto"/>
          </w:tcPr>
          <w:p w14:paraId="6B2ACB25">
            <w:pPr>
              <w:spacing w:line="480" w:lineRule="atLeast"/>
              <w:rPr>
                <w:bCs/>
                <w:iCs/>
                <w:color w:val="000000"/>
                <w:sz w:val="24"/>
              </w:rPr>
            </w:pPr>
            <w:r>
              <w:rPr>
                <w:bCs/>
                <w:iCs/>
                <w:color w:val="000000"/>
                <w:sz w:val="24"/>
              </w:rPr>
              <w:t>公司会议室</w:t>
            </w:r>
          </w:p>
        </w:tc>
      </w:tr>
      <w:tr w14:paraId="09CE6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03DF79FC">
            <w:pPr>
              <w:spacing w:line="360" w:lineRule="auto"/>
              <w:rPr>
                <w:bCs/>
                <w:iCs/>
                <w:color w:val="000000"/>
                <w:sz w:val="24"/>
              </w:rPr>
            </w:pPr>
            <w:r>
              <w:rPr>
                <w:bCs/>
                <w:iCs/>
                <w:color w:val="000000"/>
                <w:sz w:val="24"/>
              </w:rPr>
              <w:t>上市公司接待人员姓名</w:t>
            </w:r>
          </w:p>
        </w:tc>
        <w:tc>
          <w:tcPr>
            <w:tcW w:w="6614" w:type="dxa"/>
            <w:tcBorders>
              <w:top w:val="single" w:color="auto" w:sz="4" w:space="0"/>
              <w:left w:val="single" w:color="auto" w:sz="4" w:space="0"/>
              <w:bottom w:val="single" w:color="auto" w:sz="4" w:space="0"/>
              <w:right w:val="single" w:color="auto" w:sz="4" w:space="0"/>
            </w:tcBorders>
            <w:shd w:val="clear" w:color="auto" w:fill="auto"/>
          </w:tcPr>
          <w:p w14:paraId="1AC939DF">
            <w:pPr>
              <w:spacing w:line="480" w:lineRule="atLeast"/>
              <w:rPr>
                <w:bCs/>
                <w:iCs/>
                <w:color w:val="000000"/>
                <w:sz w:val="24"/>
              </w:rPr>
            </w:pPr>
            <w:r>
              <w:rPr>
                <w:bCs/>
                <w:iCs/>
                <w:color w:val="000000"/>
                <w:sz w:val="24"/>
              </w:rPr>
              <w:t>董事、CTO徐玉鹏先生；副总经理、财务总监金良凯先生；副总经理、董事会秘书李大林先生</w:t>
            </w:r>
          </w:p>
        </w:tc>
      </w:tr>
      <w:tr w14:paraId="2A83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6A93C8C0">
            <w:pPr>
              <w:spacing w:line="360" w:lineRule="auto"/>
              <w:rPr>
                <w:bCs/>
                <w:iCs/>
                <w:color w:val="000000"/>
                <w:sz w:val="24"/>
              </w:rPr>
            </w:pPr>
            <w:r>
              <w:rPr>
                <w:bCs/>
                <w:iCs/>
                <w:color w:val="000000"/>
                <w:sz w:val="24"/>
              </w:rPr>
              <w:t>投资者关系活动主要内容介绍</w:t>
            </w:r>
          </w:p>
          <w:p w14:paraId="51E63F66">
            <w:pPr>
              <w:pStyle w:val="14"/>
            </w:pPr>
          </w:p>
        </w:tc>
        <w:tc>
          <w:tcPr>
            <w:tcW w:w="6614" w:type="dxa"/>
            <w:tcBorders>
              <w:top w:val="single" w:color="auto" w:sz="4" w:space="0"/>
              <w:left w:val="single" w:color="auto" w:sz="4" w:space="0"/>
              <w:bottom w:val="single" w:color="auto" w:sz="4" w:space="0"/>
              <w:right w:val="single" w:color="auto" w:sz="4" w:space="0"/>
            </w:tcBorders>
            <w:shd w:val="clear" w:color="auto" w:fill="auto"/>
          </w:tcPr>
          <w:p w14:paraId="70BDE8AF">
            <w:pPr>
              <w:spacing w:line="360" w:lineRule="auto"/>
              <w:ind w:firstLine="482" w:firstLineChars="200"/>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1.2024年上半年经营情况介绍？</w:t>
            </w:r>
          </w:p>
          <w:p w14:paraId="1F3597A8">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从市场</w:t>
            </w:r>
            <w:r>
              <w:rPr>
                <w:rFonts w:hint="eastAsia"/>
                <w:color w:val="000000" w:themeColor="text1"/>
                <w:sz w:val="24"/>
                <w14:textFill>
                  <w14:solidFill>
                    <w14:schemeClr w14:val="tx1"/>
                  </w14:solidFill>
                </w14:textFill>
              </w:rPr>
              <w:t>方面</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2024年</w:t>
            </w:r>
            <w:r>
              <w:rPr>
                <w:color w:val="000000" w:themeColor="text1"/>
                <w:sz w:val="24"/>
                <w14:textFill>
                  <w14:solidFill>
                    <w14:schemeClr w14:val="tx1"/>
                  </w14:solidFill>
                </w14:textFill>
              </w:rPr>
              <w:t>上半年得益于整个集成电路产业景气度的回暖</w:t>
            </w:r>
            <w:r>
              <w:rPr>
                <w:rFonts w:hint="eastAsia"/>
                <w:color w:val="000000" w:themeColor="text1"/>
                <w:sz w:val="24"/>
                <w14:textFill>
                  <w14:solidFill>
                    <w14:schemeClr w14:val="tx1"/>
                  </w14:solidFill>
                </w14:textFill>
              </w:rPr>
              <w:t>、部分客户所处领域的景气度回升</w:t>
            </w:r>
            <w:r>
              <w:rPr>
                <w:color w:val="000000" w:themeColor="text1"/>
                <w:sz w:val="24"/>
                <w14:textFill>
                  <w14:solidFill>
                    <w14:schemeClr w14:val="tx1"/>
                  </w14:solidFill>
                </w14:textFill>
              </w:rPr>
              <w:t>，公司在原有客户的</w:t>
            </w:r>
            <w:r>
              <w:rPr>
                <w:rFonts w:hint="eastAsia"/>
                <w:color w:val="000000" w:themeColor="text1"/>
                <w:sz w:val="24"/>
                <w14:textFill>
                  <w14:solidFill>
                    <w14:schemeClr w14:val="tx1"/>
                  </w14:solidFill>
                </w14:textFill>
              </w:rPr>
              <w:t>产品</w:t>
            </w:r>
            <w:r>
              <w:rPr>
                <w:color w:val="000000" w:themeColor="text1"/>
                <w:sz w:val="24"/>
                <w14:textFill>
                  <w14:solidFill>
                    <w14:schemeClr w14:val="tx1"/>
                  </w14:solidFill>
                </w14:textFill>
              </w:rPr>
              <w:t>份额上进一步提升，同时新客户尤其是台系大客户的拓展顺利，</w:t>
            </w:r>
            <w:r>
              <w:rPr>
                <w:rFonts w:hint="eastAsia"/>
                <w:color w:val="000000" w:themeColor="text1"/>
                <w:sz w:val="24"/>
                <w14:textFill>
                  <w14:solidFill>
                    <w14:schemeClr w14:val="tx1"/>
                  </w14:solidFill>
                </w14:textFill>
              </w:rPr>
              <w:t>公司稼动率整体呈稳定回升趋势</w:t>
            </w:r>
            <w:r>
              <w:rPr>
                <w:color w:val="000000" w:themeColor="text1"/>
                <w:sz w:val="24"/>
                <w14:textFill>
                  <w14:solidFill>
                    <w14:schemeClr w14:val="tx1"/>
                  </w14:solidFill>
                </w14:textFill>
              </w:rPr>
              <w:t>。上半年公司实现营收16.3亿元，同比增长超过65%。随着公司营业收入的增长，规模效应进一步体现，整体毛利率达到18%，</w:t>
            </w:r>
            <w:r>
              <w:rPr>
                <w:rFonts w:hint="eastAsia"/>
                <w:color w:val="000000" w:themeColor="text1"/>
                <w:sz w:val="24"/>
                <w14:textFill>
                  <w14:solidFill>
                    <w14:schemeClr w14:val="tx1"/>
                  </w14:solidFill>
                </w14:textFill>
              </w:rPr>
              <w:t>同比增加5.83个百分点，</w:t>
            </w:r>
            <w:r>
              <w:rPr>
                <w:color w:val="000000" w:themeColor="text1"/>
                <w:sz w:val="24"/>
                <w14:textFill>
                  <w14:solidFill>
                    <w14:schemeClr w14:val="tx1"/>
                  </w14:solidFill>
                </w14:textFill>
              </w:rPr>
              <w:t>公司上半年</w:t>
            </w:r>
            <w:r>
              <w:rPr>
                <w:rFonts w:hint="eastAsia"/>
                <w:color w:val="000000" w:themeColor="text1"/>
                <w:sz w:val="24"/>
                <w14:textFill>
                  <w14:solidFill>
                    <w14:schemeClr w14:val="tx1"/>
                  </w14:solidFill>
                </w14:textFill>
              </w:rPr>
              <w:t>实现</w:t>
            </w:r>
            <w:r>
              <w:rPr>
                <w:color w:val="000000" w:themeColor="text1"/>
                <w:sz w:val="24"/>
                <w14:textFill>
                  <w14:solidFill>
                    <w14:schemeClr w14:val="tx1"/>
                  </w14:solidFill>
                </w14:textFill>
              </w:rPr>
              <w:t>扭亏为盈，归属于上市公司股东的净利润超1,200万元，同比增加超过9,000万。</w:t>
            </w:r>
          </w:p>
          <w:p w14:paraId="27C77E92">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在新产品布局方面，公司在晶圆级封装和汽车电子等领域的产品线持续丰富，重点打造的“Bumping+CP+FC+FT”的一站式交付能力已经形成，</w:t>
            </w:r>
            <w:r>
              <w:rPr>
                <w:rFonts w:hint="eastAsia"/>
                <w:color w:val="000000" w:themeColor="text1"/>
                <w:sz w:val="24"/>
                <w14:textFill>
                  <w14:solidFill>
                    <w14:schemeClr w14:val="tx1"/>
                  </w14:solidFill>
                </w14:textFill>
              </w:rPr>
              <w:t>在品质/交付等方面优势明显，</w:t>
            </w:r>
            <w:r>
              <w:rPr>
                <w:color w:val="000000" w:themeColor="text1"/>
                <w:sz w:val="24"/>
                <w14:textFill>
                  <w14:solidFill>
                    <w14:schemeClr w14:val="tx1"/>
                  </w14:solidFill>
                </w14:textFill>
              </w:rPr>
              <w:t>对于先进制程特别是SoC类芯片领域的客户具备较强吸引力。新产品线如模组和汽车电子的部分产品顺利导入量产，公司将伴随客户一起成长。</w:t>
            </w:r>
          </w:p>
          <w:p w14:paraId="3A86C359">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在研发方面，公司持续</w:t>
            </w:r>
            <w:r>
              <w:rPr>
                <w:rFonts w:hint="eastAsia"/>
                <w:color w:val="000000" w:themeColor="text1"/>
                <w:sz w:val="24"/>
                <w14:textFill>
                  <w14:solidFill>
                    <w14:schemeClr w14:val="tx1"/>
                  </w14:solidFill>
                </w14:textFill>
              </w:rPr>
              <w:t>加大</w:t>
            </w:r>
            <w:r>
              <w:rPr>
                <w:color w:val="000000" w:themeColor="text1"/>
                <w:sz w:val="24"/>
                <w14:textFill>
                  <w14:solidFill>
                    <w14:schemeClr w14:val="tx1"/>
                  </w14:solidFill>
                </w14:textFill>
              </w:rPr>
              <w:t>研发投入，积极布局Fan-out/2.5D等先进封装领域，</w:t>
            </w:r>
            <w:r>
              <w:rPr>
                <w:rFonts w:hint="eastAsia"/>
                <w:color w:val="000000" w:themeColor="text1"/>
                <w:sz w:val="24"/>
                <w14:textFill>
                  <w14:solidFill>
                    <w14:schemeClr w14:val="tx1"/>
                  </w14:solidFill>
                </w14:textFill>
              </w:rPr>
              <w:t>2024年</w:t>
            </w:r>
            <w:r>
              <w:rPr>
                <w:color w:val="000000" w:themeColor="text1"/>
                <w:sz w:val="24"/>
                <w14:textFill>
                  <w14:solidFill>
                    <w14:schemeClr w14:val="tx1"/>
                  </w14:solidFill>
                </w14:textFill>
              </w:rPr>
              <w:t>上半年，Fan-out已经初步通线，处于量产前的导入阶段；公司在2.5D领域持续布局，核心站别的设备已经move in，正</w:t>
            </w:r>
            <w:r>
              <w:rPr>
                <w:rFonts w:hint="eastAsia"/>
                <w:color w:val="000000" w:themeColor="text1"/>
                <w:sz w:val="24"/>
                <w14:textFill>
                  <w14:solidFill>
                    <w14:schemeClr w14:val="tx1"/>
                  </w14:solidFill>
                </w14:textFill>
              </w:rPr>
              <w:t>属于</w:t>
            </w:r>
            <w:r>
              <w:rPr>
                <w:color w:val="000000" w:themeColor="text1"/>
                <w:sz w:val="24"/>
                <w14:textFill>
                  <w14:solidFill>
                    <w14:schemeClr w14:val="tx1"/>
                  </w14:solidFill>
                </w14:textFill>
              </w:rPr>
              <w:t>安装调试的过程中，先进封装的整体进度按计划稳步推进。</w:t>
            </w:r>
          </w:p>
          <w:p w14:paraId="523420B8">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展望下半年，随着集成电路行业整体去库存周期进入尾声，下游客户需求将得到一定修复，公司的产品线持续丰富，预计下半年营收</w:t>
            </w:r>
            <w:r>
              <w:rPr>
                <w:rFonts w:hint="eastAsia"/>
                <w:color w:val="000000" w:themeColor="text1"/>
                <w:sz w:val="24"/>
                <w14:textFill>
                  <w14:solidFill>
                    <w14:schemeClr w14:val="tx1"/>
                  </w14:solidFill>
                </w14:textFill>
              </w:rPr>
              <w:t>将</w:t>
            </w:r>
            <w:r>
              <w:rPr>
                <w:color w:val="000000" w:themeColor="text1"/>
                <w:sz w:val="24"/>
                <w14:textFill>
                  <w14:solidFill>
                    <w14:schemeClr w14:val="tx1"/>
                  </w14:solidFill>
                </w14:textFill>
              </w:rPr>
              <w:t>保持向上的态势</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公司</w:t>
            </w:r>
            <w:r>
              <w:rPr>
                <w:rFonts w:hint="eastAsia"/>
                <w:color w:val="000000" w:themeColor="text1"/>
                <w:sz w:val="24"/>
                <w14:textFill>
                  <w14:solidFill>
                    <w14:schemeClr w14:val="tx1"/>
                  </w14:solidFill>
                </w14:textFill>
              </w:rPr>
              <w:t>将坚持</w:t>
            </w:r>
            <w:r>
              <w:rPr>
                <w:color w:val="000000" w:themeColor="text1"/>
                <w:sz w:val="24"/>
                <w14:textFill>
                  <w14:solidFill>
                    <w14:schemeClr w14:val="tx1"/>
                  </w14:solidFill>
                </w14:textFill>
              </w:rPr>
              <w:t>中高端先进封装的定位和大客户战略，不断提升公司的</w:t>
            </w:r>
            <w:r>
              <w:rPr>
                <w:rFonts w:hint="eastAsia"/>
                <w:color w:val="000000" w:themeColor="text1"/>
                <w:sz w:val="24"/>
                <w14:textFill>
                  <w14:solidFill>
                    <w14:schemeClr w14:val="tx1"/>
                  </w14:solidFill>
                </w14:textFill>
              </w:rPr>
              <w:t>核心竞争力</w:t>
            </w:r>
            <w:r>
              <w:rPr>
                <w:color w:val="000000" w:themeColor="text1"/>
                <w:sz w:val="24"/>
                <w14:textFill>
                  <w14:solidFill>
                    <w14:schemeClr w14:val="tx1"/>
                  </w14:solidFill>
                </w14:textFill>
              </w:rPr>
              <w:t>和盈利能力。</w:t>
            </w:r>
          </w:p>
          <w:p w14:paraId="54171EB1">
            <w:pPr>
              <w:widowControl/>
              <w:numPr>
                <w:ilvl w:val="255"/>
                <w:numId w:val="0"/>
              </w:numPr>
              <w:spacing w:line="360" w:lineRule="auto"/>
              <w:ind w:firstLine="482" w:firstLineChars="200"/>
              <w:rPr>
                <w:b/>
                <w:bCs/>
                <w:sz w:val="24"/>
                <w:szCs w:val="21"/>
              </w:rPr>
            </w:pPr>
            <w:r>
              <w:rPr>
                <w:b/>
                <w:bCs/>
                <w:sz w:val="24"/>
              </w:rPr>
              <w:t>2.公司上半年毛利率提升明显的原因是什么？公司如何平衡折旧与产品结构升级的关系？未来毛利率的变化情况</w:t>
            </w:r>
            <w:r>
              <w:rPr>
                <w:b/>
                <w:bCs/>
                <w:sz w:val="24"/>
                <w:szCs w:val="21"/>
              </w:rPr>
              <w:t>？</w:t>
            </w:r>
          </w:p>
          <w:p w14:paraId="30BFE519">
            <w:pPr>
              <w:spacing w:line="360" w:lineRule="auto"/>
              <w:ind w:firstLine="480" w:firstLineChars="200"/>
              <w:rPr>
                <w:rFonts w:hint="eastAsia"/>
                <w:sz w:val="24"/>
              </w:rPr>
            </w:pPr>
            <w:r>
              <w:rPr>
                <w:rFonts w:hint="eastAsia"/>
                <w:sz w:val="24"/>
                <w:szCs w:val="21"/>
              </w:rPr>
              <w:t>2024年上半年</w:t>
            </w:r>
            <w:r>
              <w:rPr>
                <w:sz w:val="24"/>
                <w:szCs w:val="21"/>
              </w:rPr>
              <w:t>公司</w:t>
            </w:r>
            <w:r>
              <w:rPr>
                <w:rFonts w:hint="eastAsia"/>
                <w:sz w:val="24"/>
                <w:szCs w:val="21"/>
              </w:rPr>
              <w:t>营收规模快速提升，规模效应逐渐体现，</w:t>
            </w:r>
            <w:r>
              <w:rPr>
                <w:sz w:val="24"/>
                <w:szCs w:val="21"/>
              </w:rPr>
              <w:t>对毛利率有正向的提升作用</w:t>
            </w:r>
            <w:r>
              <w:rPr>
                <w:sz w:val="24"/>
              </w:rPr>
              <w:t>。</w:t>
            </w:r>
            <w:r>
              <w:rPr>
                <w:rFonts w:hint="eastAsia"/>
                <w:sz w:val="24"/>
              </w:rPr>
              <w:t>同时，随着公司稼动率持续保持高位，优先承接毛利率较好的产品，公司产品结构也有一定变化，FC类产品占比提升，综合导致公司上半年毛利提升较大。</w:t>
            </w:r>
          </w:p>
          <w:p w14:paraId="53086363">
            <w:pPr>
              <w:spacing w:line="360" w:lineRule="auto"/>
              <w:ind w:firstLine="480" w:firstLineChars="200"/>
              <w:rPr>
                <w:sz w:val="24"/>
              </w:rPr>
            </w:pPr>
            <w:r>
              <w:rPr>
                <w:rFonts w:hint="eastAsia"/>
                <w:sz w:val="24"/>
                <w:szCs w:val="21"/>
              </w:rPr>
              <w:t>长期来看，</w:t>
            </w:r>
            <w:r>
              <w:rPr>
                <w:sz w:val="24"/>
              </w:rPr>
              <w:t>影响毛利率的核心因素</w:t>
            </w:r>
            <w:r>
              <w:rPr>
                <w:rFonts w:hint="eastAsia"/>
                <w:sz w:val="24"/>
              </w:rPr>
              <w:t>包括</w:t>
            </w:r>
            <w:r>
              <w:rPr>
                <w:sz w:val="24"/>
              </w:rPr>
              <w:t>价格</w:t>
            </w:r>
            <w:r>
              <w:rPr>
                <w:rFonts w:hint="eastAsia"/>
                <w:sz w:val="24"/>
              </w:rPr>
              <w:t>、</w:t>
            </w:r>
            <w:r>
              <w:rPr>
                <w:sz w:val="24"/>
              </w:rPr>
              <w:t>稼动率</w:t>
            </w:r>
            <w:r>
              <w:rPr>
                <w:rFonts w:hint="eastAsia"/>
                <w:sz w:val="24"/>
              </w:rPr>
              <w:t>、产品结构以及新增投资产生的营收增量与新增折旧的动态平衡关系。</w:t>
            </w:r>
            <w:r>
              <w:rPr>
                <w:sz w:val="24"/>
              </w:rPr>
              <w:t>从目前来看，价格</w:t>
            </w:r>
            <w:r>
              <w:rPr>
                <w:rFonts w:hint="eastAsia"/>
                <w:sz w:val="24"/>
              </w:rPr>
              <w:t>已经触底；公司</w:t>
            </w:r>
            <w:r>
              <w:rPr>
                <w:sz w:val="24"/>
              </w:rPr>
              <w:t>稼动率</w:t>
            </w:r>
            <w:r>
              <w:rPr>
                <w:rFonts w:hint="eastAsia"/>
                <w:sz w:val="24"/>
              </w:rPr>
              <w:t>持续</w:t>
            </w:r>
            <w:r>
              <w:rPr>
                <w:sz w:val="24"/>
              </w:rPr>
              <w:t>处于较高水平</w:t>
            </w:r>
            <w:r>
              <w:rPr>
                <w:rFonts w:hint="eastAsia"/>
                <w:sz w:val="24"/>
              </w:rPr>
              <w:t>；来自晶圆级封装及FC类产品贡献营收将持续增加，产品结构持续优化；新增投资产能爬坡顺利，以上几个因素在未来应该都会对毛利率形成正向的影响</w:t>
            </w:r>
            <w:r>
              <w:rPr>
                <w:sz w:val="24"/>
              </w:rPr>
              <w:t xml:space="preserve">。 </w:t>
            </w:r>
          </w:p>
          <w:p w14:paraId="3260AD47">
            <w:pPr>
              <w:widowControl/>
              <w:numPr>
                <w:ilvl w:val="255"/>
                <w:numId w:val="0"/>
              </w:numPr>
              <w:spacing w:line="360" w:lineRule="auto"/>
              <w:ind w:firstLine="482" w:firstLineChars="200"/>
              <w:rPr>
                <w:b/>
                <w:bCs/>
                <w:sz w:val="24"/>
              </w:rPr>
            </w:pPr>
            <w:r>
              <w:rPr>
                <w:b/>
                <w:bCs/>
                <w:sz w:val="24"/>
              </w:rPr>
              <w:t>3.公司先进封装的节奏及客户导入情况？</w:t>
            </w:r>
          </w:p>
          <w:p w14:paraId="63D2E53D">
            <w:pPr>
              <w:spacing w:line="360" w:lineRule="auto"/>
              <w:ind w:firstLine="480" w:firstLineChars="200"/>
              <w:rPr>
                <w:sz w:val="24"/>
              </w:rPr>
            </w:pPr>
            <w:r>
              <w:rPr>
                <w:sz w:val="24"/>
              </w:rPr>
              <w:t>公司持续和客户保持沟通，正在进行量产前的项目研发</w:t>
            </w:r>
            <w:r>
              <w:rPr>
                <w:rFonts w:hint="eastAsia"/>
                <w:sz w:val="24"/>
              </w:rPr>
              <w:t>，</w:t>
            </w:r>
            <w:r>
              <w:rPr>
                <w:sz w:val="24"/>
              </w:rPr>
              <w:t>2.5D的设备已经move in，处在通线前期的设备安装调试阶段，公司正在对接国内客户的需求，随着工艺和量产能力的提升，相信能够吸引更多客户。</w:t>
            </w:r>
          </w:p>
          <w:p w14:paraId="0CF4F2BE">
            <w:pPr>
              <w:widowControl/>
              <w:numPr>
                <w:ilvl w:val="255"/>
                <w:numId w:val="0"/>
              </w:numPr>
              <w:spacing w:line="360" w:lineRule="auto"/>
              <w:ind w:firstLine="482" w:firstLineChars="200"/>
              <w:rPr>
                <w:b/>
                <w:bCs/>
                <w:sz w:val="24"/>
              </w:rPr>
            </w:pPr>
            <w:r>
              <w:rPr>
                <w:b/>
                <w:bCs/>
                <w:sz w:val="24"/>
              </w:rPr>
              <w:t>4.公司下游应用领域的需求增长情况及景气度展望？</w:t>
            </w:r>
          </w:p>
          <w:p w14:paraId="3837000A">
            <w:pPr>
              <w:spacing w:line="360" w:lineRule="auto"/>
              <w:ind w:firstLine="480" w:firstLineChars="200"/>
              <w:rPr>
                <w:sz w:val="24"/>
              </w:rPr>
            </w:pPr>
            <w:r>
              <w:rPr>
                <w:sz w:val="24"/>
              </w:rPr>
              <w:t>公司营收主要来自消费电子、工规、车规等领域。具体来说，IoT类客户占比50%~60%左右，PA类占比15%左右，安防领域占比15%，运算领域和汽车电子领域的营收绝对占比较低，但增速较快。从公司的观察看，下游IoT客户增量较为明显</w:t>
            </w:r>
            <w:r>
              <w:rPr>
                <w:rFonts w:hint="eastAsia"/>
                <w:sz w:val="24"/>
              </w:rPr>
              <w:t>，目前需求还比较乐观；PA领域二季度相对平淡，预计下半年会有所回暖。</w:t>
            </w:r>
          </w:p>
          <w:p w14:paraId="6EF2209B">
            <w:pPr>
              <w:widowControl/>
              <w:numPr>
                <w:ilvl w:val="255"/>
                <w:numId w:val="0"/>
              </w:numPr>
              <w:spacing w:line="360" w:lineRule="auto"/>
              <w:ind w:firstLine="482" w:firstLineChars="200"/>
              <w:rPr>
                <w:b/>
                <w:bCs/>
                <w:sz w:val="24"/>
              </w:rPr>
            </w:pPr>
            <w:r>
              <w:rPr>
                <w:b/>
                <w:bCs/>
                <w:sz w:val="24"/>
              </w:rPr>
              <w:t>5.公司如何看待下半年Bumping的竞争格局？</w:t>
            </w:r>
          </w:p>
          <w:p w14:paraId="16B8E4CB">
            <w:pPr>
              <w:spacing w:line="360" w:lineRule="auto"/>
              <w:ind w:firstLine="480" w:firstLineChars="200"/>
              <w:rPr>
                <w:sz w:val="24"/>
              </w:rPr>
            </w:pPr>
            <w:r>
              <w:rPr>
                <w:sz w:val="24"/>
              </w:rPr>
              <w:t>随着制程越来越先进，选择FC和Fan-out的客户将越来越多，相关需求会持续上升，公司Bumping的产量也在持续上升。</w:t>
            </w:r>
          </w:p>
          <w:p w14:paraId="60AED1A0">
            <w:pPr>
              <w:widowControl/>
              <w:numPr>
                <w:ilvl w:val="255"/>
                <w:numId w:val="0"/>
              </w:numPr>
              <w:spacing w:line="360" w:lineRule="auto"/>
              <w:ind w:firstLine="482" w:firstLineChars="200"/>
              <w:rPr>
                <w:b/>
                <w:bCs/>
                <w:sz w:val="24"/>
              </w:rPr>
            </w:pPr>
            <w:r>
              <w:rPr>
                <w:b/>
                <w:bCs/>
                <w:sz w:val="24"/>
              </w:rPr>
              <w:t>6.公司目前按封装形式拆分的收入结构有大变化吗？</w:t>
            </w:r>
          </w:p>
          <w:p w14:paraId="23690D64">
            <w:pPr>
              <w:spacing w:line="360" w:lineRule="auto"/>
              <w:ind w:firstLine="480" w:firstLineChars="200"/>
              <w:rPr>
                <w:sz w:val="24"/>
              </w:rPr>
            </w:pPr>
            <w:r>
              <w:rPr>
                <w:sz w:val="24"/>
              </w:rPr>
              <w:t>2024年上半年公司按照</w:t>
            </w:r>
            <w:r>
              <w:rPr>
                <w:rFonts w:hint="eastAsia"/>
                <w:sz w:val="24"/>
                <w:lang w:eastAsia="zh-CN"/>
              </w:rPr>
              <w:t>“</w:t>
            </w:r>
            <w:r>
              <w:rPr>
                <w:sz w:val="24"/>
              </w:rPr>
              <w:t>系统级封装（SiP）、高密度细间距凸点倒装产品（FC）、大尺寸/细间距扁平无引脚封装产品（QFN/DFN）、晶圆级封测产品（Bumping及WLP）</w:t>
            </w:r>
            <w:r>
              <w:rPr>
                <w:rFonts w:hint="eastAsia"/>
                <w:sz w:val="24"/>
                <w:lang w:eastAsia="zh-CN"/>
              </w:rPr>
              <w:t>、</w:t>
            </w:r>
            <w:r>
              <w:rPr>
                <w:sz w:val="24"/>
              </w:rPr>
              <w:t>微机电系统传感器（MEMS）</w:t>
            </w:r>
            <w:r>
              <w:rPr>
                <w:rFonts w:hint="eastAsia"/>
                <w:sz w:val="24"/>
                <w:lang w:eastAsia="zh-CN"/>
              </w:rPr>
              <w:t>”</w:t>
            </w:r>
            <w:r>
              <w:rPr>
                <w:sz w:val="24"/>
              </w:rPr>
              <w:t>5大类别进行划分，</w:t>
            </w:r>
            <w:r>
              <w:rPr>
                <w:rFonts w:hint="eastAsia"/>
                <w:sz w:val="24"/>
              </w:rPr>
              <w:t>各类产品营收规模均有较大提升，FC类产品占比有所提升</w:t>
            </w:r>
            <w:r>
              <w:rPr>
                <w:sz w:val="24"/>
              </w:rPr>
              <w:t>。</w:t>
            </w:r>
          </w:p>
          <w:p w14:paraId="679D9CCD">
            <w:pPr>
              <w:widowControl/>
              <w:numPr>
                <w:ilvl w:val="255"/>
                <w:numId w:val="0"/>
              </w:numPr>
              <w:spacing w:line="360" w:lineRule="auto"/>
              <w:ind w:firstLine="482" w:firstLineChars="200"/>
              <w:rPr>
                <w:b/>
                <w:bCs/>
                <w:sz w:val="24"/>
              </w:rPr>
            </w:pPr>
            <w:r>
              <w:rPr>
                <w:b/>
                <w:bCs/>
                <w:sz w:val="24"/>
              </w:rPr>
              <w:t>7.公司目前稼动率相对饱满，在考虑优化产品结构吗？</w:t>
            </w:r>
          </w:p>
          <w:p w14:paraId="27808305">
            <w:pPr>
              <w:widowControl/>
              <w:numPr>
                <w:ilvl w:val="255"/>
                <w:numId w:val="0"/>
              </w:numPr>
              <w:spacing w:line="360" w:lineRule="auto"/>
              <w:ind w:firstLine="480" w:firstLineChars="200"/>
              <w:rPr>
                <w:b/>
                <w:bCs/>
                <w:sz w:val="24"/>
              </w:rPr>
            </w:pPr>
            <w:r>
              <w:rPr>
                <w:sz w:val="24"/>
              </w:rPr>
              <w:t>公司专注于中高端封测，先进封装的营收占比会持续提升；在维持现有稼动率的同时，公司坚持做有门槛的</w:t>
            </w:r>
            <w:r>
              <w:rPr>
                <w:rFonts w:hint="eastAsia"/>
                <w:sz w:val="24"/>
              </w:rPr>
              <w:t>客户和</w:t>
            </w:r>
            <w:r>
              <w:rPr>
                <w:sz w:val="24"/>
              </w:rPr>
              <w:t>产品，避免陷入低价</w:t>
            </w:r>
            <w:r>
              <w:rPr>
                <w:rFonts w:hint="eastAsia"/>
                <w:sz w:val="24"/>
              </w:rPr>
              <w:t>内卷</w:t>
            </w:r>
            <w:r>
              <w:rPr>
                <w:sz w:val="24"/>
              </w:rPr>
              <w:t>。</w:t>
            </w:r>
          </w:p>
          <w:p w14:paraId="7240F915">
            <w:pPr>
              <w:numPr>
                <w:ilvl w:val="255"/>
                <w:numId w:val="0"/>
              </w:numPr>
              <w:spacing w:line="360" w:lineRule="auto"/>
              <w:ind w:firstLine="482" w:firstLineChars="200"/>
              <w:rPr>
                <w:b/>
                <w:bCs/>
                <w:sz w:val="24"/>
              </w:rPr>
            </w:pPr>
            <w:r>
              <w:rPr>
                <w:b/>
                <w:bCs/>
                <w:sz w:val="24"/>
              </w:rPr>
              <w:t>8.公司选购设备和材料时候的具体考量是什么？是否有在推进国产替代？</w:t>
            </w:r>
          </w:p>
          <w:p w14:paraId="0CDFA64C">
            <w:pPr>
              <w:widowControl/>
              <w:numPr>
                <w:ilvl w:val="255"/>
                <w:numId w:val="0"/>
              </w:numPr>
              <w:spacing w:line="360" w:lineRule="auto"/>
              <w:ind w:firstLine="480" w:firstLineChars="200"/>
              <w:rPr>
                <w:sz w:val="24"/>
              </w:rPr>
            </w:pPr>
            <w:r>
              <w:rPr>
                <w:sz w:val="24"/>
              </w:rPr>
              <w:t>公司在采购材料和设备时会优先考虑是否满足公司技术要求以及可靠性；其次会考虑供应链安全，寻找多家供应商。</w:t>
            </w:r>
          </w:p>
          <w:p w14:paraId="48306DEB">
            <w:pPr>
              <w:widowControl/>
              <w:numPr>
                <w:ilvl w:val="255"/>
                <w:numId w:val="0"/>
              </w:numPr>
              <w:spacing w:line="360" w:lineRule="auto"/>
              <w:ind w:firstLine="480" w:firstLineChars="200"/>
              <w:rPr>
                <w:sz w:val="24"/>
              </w:rPr>
            </w:pPr>
            <w:r>
              <w:rPr>
                <w:sz w:val="24"/>
              </w:rPr>
              <w:t>公司坚定不移支持国产替代，持续推进国产设备和材料的导入。</w:t>
            </w:r>
          </w:p>
          <w:p w14:paraId="6D4A674F">
            <w:pPr>
              <w:widowControl/>
              <w:numPr>
                <w:ilvl w:val="-1"/>
                <w:numId w:val="0"/>
              </w:numPr>
              <w:spacing w:line="360" w:lineRule="auto"/>
              <w:ind w:firstLine="482" w:firstLineChars="200"/>
              <w:rPr>
                <w:b/>
                <w:bCs/>
                <w:sz w:val="24"/>
              </w:rPr>
            </w:pPr>
            <w:r>
              <w:rPr>
                <w:rFonts w:hint="eastAsia"/>
                <w:b/>
                <w:bCs/>
                <w:sz w:val="24"/>
                <w:lang w:val="en-US" w:eastAsia="zh-CN"/>
              </w:rPr>
              <w:t>9.</w:t>
            </w:r>
            <w:r>
              <w:rPr>
                <w:b/>
                <w:bCs/>
                <w:sz w:val="24"/>
              </w:rPr>
              <w:t xml:space="preserve">今年的折旧情况及后续的折旧趋势展望？ </w:t>
            </w:r>
          </w:p>
          <w:p w14:paraId="19B72391">
            <w:pPr>
              <w:spacing w:line="360" w:lineRule="auto"/>
              <w:ind w:firstLine="480" w:firstLineChars="200"/>
              <w:rPr>
                <w:bCs/>
                <w:iCs/>
                <w:color w:val="000000"/>
                <w:sz w:val="24"/>
              </w:rPr>
            </w:pPr>
            <w:r>
              <w:rPr>
                <w:rFonts w:hint="eastAsia"/>
                <w:bCs/>
                <w:iCs/>
                <w:color w:val="000000"/>
                <w:sz w:val="24"/>
              </w:rPr>
              <w:t>从全年来看，</w:t>
            </w:r>
            <w:r>
              <w:rPr>
                <w:bCs/>
                <w:iCs/>
                <w:color w:val="000000"/>
                <w:sz w:val="24"/>
              </w:rPr>
              <w:t>公司今年全年的折旧摊销大约8亿</w:t>
            </w:r>
            <w:r>
              <w:rPr>
                <w:rFonts w:hint="eastAsia"/>
                <w:bCs/>
                <w:iCs/>
                <w:color w:val="000000"/>
                <w:sz w:val="24"/>
              </w:rPr>
              <w:t>，</w:t>
            </w:r>
            <w:r>
              <w:rPr>
                <w:sz w:val="24"/>
              </w:rPr>
              <w:t>明年折旧的绝对金额预计仍会上涨，但相信随着营收规模的增长会有所摊薄。</w:t>
            </w:r>
          </w:p>
          <w:p w14:paraId="34DD5620">
            <w:pPr>
              <w:widowControl/>
              <w:numPr>
                <w:ilvl w:val="255"/>
                <w:numId w:val="0"/>
              </w:numPr>
              <w:spacing w:line="360" w:lineRule="auto"/>
              <w:ind w:firstLine="482" w:firstLineChars="200"/>
              <w:rPr>
                <w:b/>
                <w:iCs/>
                <w:color w:val="000000"/>
                <w:sz w:val="24"/>
              </w:rPr>
            </w:pPr>
            <w:r>
              <w:rPr>
                <w:rFonts w:hint="eastAsia"/>
                <w:b/>
                <w:iCs/>
                <w:color w:val="000000"/>
                <w:sz w:val="24"/>
              </w:rPr>
              <w:t>10</w:t>
            </w:r>
            <w:r>
              <w:rPr>
                <w:rFonts w:hint="eastAsia"/>
                <w:b/>
                <w:iCs/>
                <w:color w:val="000000"/>
                <w:sz w:val="24"/>
                <w:lang w:val="en-US" w:eastAsia="zh-CN"/>
              </w:rPr>
              <w:t>.</w:t>
            </w:r>
            <w:r>
              <w:rPr>
                <w:rFonts w:hint="eastAsia"/>
                <w:b/>
                <w:iCs/>
                <w:color w:val="000000"/>
                <w:sz w:val="24"/>
              </w:rPr>
              <w:t>上半年公司原料端基板和引线框架价格变动对公司利润的影响有多少，下半年库存余额是否会有跌价风险？</w:t>
            </w:r>
          </w:p>
          <w:p w14:paraId="0B75A753">
            <w:pPr>
              <w:widowControl/>
              <w:numPr>
                <w:ilvl w:val="255"/>
                <w:numId w:val="0"/>
              </w:numPr>
              <w:spacing w:line="360" w:lineRule="auto"/>
              <w:ind w:firstLine="480" w:firstLineChars="200"/>
              <w:rPr>
                <w:bCs/>
                <w:iCs/>
                <w:color w:val="000000"/>
                <w:sz w:val="24"/>
              </w:rPr>
            </w:pPr>
            <w:r>
              <w:rPr>
                <w:rFonts w:hint="eastAsia"/>
                <w:bCs/>
                <w:iCs/>
                <w:color w:val="000000"/>
                <w:sz w:val="24"/>
              </w:rPr>
              <w:t>2024年上半年公司在原材料方面主要通过与供应商持续议价以及引入国产优质供应商来实现成本降低。公司库存主要为原材料，由于公司的基础材料大多为客户端定制的产品，因此我们会根据客户约定的使用期限和回购条款综合评估材料价值，公司已经充分计提了存货跌价准备。</w:t>
            </w:r>
          </w:p>
        </w:tc>
      </w:tr>
      <w:tr w14:paraId="183F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3F2A63CB">
            <w:pPr>
              <w:spacing w:line="360" w:lineRule="auto"/>
              <w:rPr>
                <w:bCs/>
                <w:iCs/>
                <w:color w:val="000000"/>
                <w:sz w:val="24"/>
              </w:rPr>
            </w:pPr>
            <w:r>
              <w:rPr>
                <w:bCs/>
                <w:iCs/>
                <w:color w:val="000000"/>
                <w:sz w:val="24"/>
              </w:rPr>
              <w:t>附件清单（如有）</w:t>
            </w:r>
          </w:p>
        </w:tc>
        <w:tc>
          <w:tcPr>
            <w:tcW w:w="6614" w:type="dxa"/>
            <w:tcBorders>
              <w:top w:val="single" w:color="auto" w:sz="4" w:space="0"/>
              <w:left w:val="single" w:color="auto" w:sz="4" w:space="0"/>
              <w:bottom w:val="single" w:color="auto" w:sz="4" w:space="0"/>
              <w:right w:val="single" w:color="auto" w:sz="4" w:space="0"/>
            </w:tcBorders>
            <w:shd w:val="clear" w:color="auto" w:fill="auto"/>
          </w:tcPr>
          <w:p w14:paraId="719804A0">
            <w:pPr>
              <w:spacing w:line="360" w:lineRule="auto"/>
              <w:rPr>
                <w:bCs/>
                <w:iCs/>
                <w:color w:val="000000"/>
                <w:sz w:val="24"/>
              </w:rPr>
            </w:pPr>
            <w:r>
              <w:rPr>
                <w:bCs/>
                <w:iCs/>
                <w:color w:val="000000"/>
                <w:sz w:val="24"/>
              </w:rPr>
              <w:t>《参会人员名单》</w:t>
            </w:r>
          </w:p>
        </w:tc>
      </w:tr>
      <w:tr w14:paraId="095C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7D38441A">
            <w:pPr>
              <w:spacing w:line="360" w:lineRule="auto"/>
              <w:rPr>
                <w:bCs/>
                <w:iCs/>
                <w:color w:val="000000"/>
                <w:sz w:val="24"/>
              </w:rPr>
            </w:pPr>
            <w:r>
              <w:rPr>
                <w:bCs/>
                <w:iCs/>
                <w:color w:val="000000"/>
                <w:sz w:val="24"/>
              </w:rPr>
              <w:t>日期</w:t>
            </w:r>
          </w:p>
        </w:tc>
        <w:tc>
          <w:tcPr>
            <w:tcW w:w="6614" w:type="dxa"/>
            <w:tcBorders>
              <w:top w:val="single" w:color="auto" w:sz="4" w:space="0"/>
              <w:left w:val="single" w:color="auto" w:sz="4" w:space="0"/>
              <w:bottom w:val="single" w:color="auto" w:sz="4" w:space="0"/>
              <w:right w:val="single" w:color="auto" w:sz="4" w:space="0"/>
            </w:tcBorders>
            <w:shd w:val="clear" w:color="auto" w:fill="auto"/>
          </w:tcPr>
          <w:p w14:paraId="1E4DCE2F">
            <w:pPr>
              <w:spacing w:line="360" w:lineRule="auto"/>
              <w:rPr>
                <w:bCs/>
                <w:iCs/>
                <w:color w:val="000000"/>
                <w:sz w:val="24"/>
              </w:rPr>
            </w:pPr>
            <w:r>
              <w:rPr>
                <w:bCs/>
                <w:iCs/>
                <w:color w:val="000000"/>
                <w:sz w:val="24"/>
              </w:rPr>
              <w:t>2024年8月2</w:t>
            </w:r>
            <w:r>
              <w:rPr>
                <w:rFonts w:hint="default"/>
                <w:bCs/>
                <w:iCs/>
                <w:color w:val="000000"/>
                <w:sz w:val="24"/>
                <w:lang w:val="en-US"/>
              </w:rPr>
              <w:t>8</w:t>
            </w:r>
            <w:r>
              <w:rPr>
                <w:bCs/>
                <w:iCs/>
                <w:color w:val="000000"/>
                <w:sz w:val="24"/>
              </w:rPr>
              <w:t>日和</w:t>
            </w:r>
            <w:r>
              <w:rPr>
                <w:rFonts w:hint="default"/>
                <w:bCs/>
                <w:iCs/>
                <w:color w:val="000000"/>
                <w:sz w:val="24"/>
                <w:lang w:val="en-US"/>
              </w:rPr>
              <w:t>2024</w:t>
            </w:r>
            <w:r>
              <w:rPr>
                <w:rFonts w:hint="eastAsia"/>
                <w:bCs/>
                <w:iCs/>
                <w:color w:val="000000"/>
                <w:sz w:val="24"/>
                <w:lang w:val="en-US" w:eastAsia="zh-CN"/>
              </w:rPr>
              <w:t>年</w:t>
            </w:r>
            <w:bookmarkStart w:id="0" w:name="_GoBack"/>
            <w:bookmarkEnd w:id="0"/>
            <w:r>
              <w:rPr>
                <w:bCs/>
                <w:iCs/>
                <w:color w:val="000000"/>
                <w:sz w:val="24"/>
              </w:rPr>
              <w:t>8月2</w:t>
            </w:r>
            <w:r>
              <w:rPr>
                <w:rFonts w:hint="default"/>
                <w:bCs/>
                <w:iCs/>
                <w:color w:val="000000"/>
                <w:sz w:val="24"/>
                <w:lang w:val="en-US"/>
              </w:rPr>
              <w:t>9</w:t>
            </w:r>
            <w:r>
              <w:rPr>
                <w:bCs/>
                <w:iCs/>
                <w:color w:val="000000"/>
                <w:sz w:val="24"/>
              </w:rPr>
              <w:t>日</w:t>
            </w:r>
          </w:p>
        </w:tc>
      </w:tr>
    </w:tbl>
    <w:p w14:paraId="794F0C82">
      <w:pPr>
        <w:widowControl/>
        <w:spacing w:line="360" w:lineRule="auto"/>
        <w:ind w:firstLine="480" w:firstLineChars="200"/>
        <w:jc w:val="left"/>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xZmYzYTI1NTQ5MDVlMDVlNmUzZGU5ZjYwYmIzYWUifQ=="/>
  </w:docVars>
  <w:rsids>
    <w:rsidRoot w:val="005A297F"/>
    <w:rsid w:val="00007F79"/>
    <w:rsid w:val="00153202"/>
    <w:rsid w:val="00236D69"/>
    <w:rsid w:val="00256CAC"/>
    <w:rsid w:val="002A1EF8"/>
    <w:rsid w:val="002C415F"/>
    <w:rsid w:val="002F054D"/>
    <w:rsid w:val="00300F8D"/>
    <w:rsid w:val="00324005"/>
    <w:rsid w:val="003665A5"/>
    <w:rsid w:val="003C4982"/>
    <w:rsid w:val="00445B42"/>
    <w:rsid w:val="00454CFF"/>
    <w:rsid w:val="00482089"/>
    <w:rsid w:val="004B4526"/>
    <w:rsid w:val="00537524"/>
    <w:rsid w:val="00546E16"/>
    <w:rsid w:val="005560B8"/>
    <w:rsid w:val="005724C2"/>
    <w:rsid w:val="005A297F"/>
    <w:rsid w:val="005C6E9E"/>
    <w:rsid w:val="0060673F"/>
    <w:rsid w:val="006300B4"/>
    <w:rsid w:val="00663E06"/>
    <w:rsid w:val="006D2D5E"/>
    <w:rsid w:val="006F2D3B"/>
    <w:rsid w:val="00704FB9"/>
    <w:rsid w:val="00720B4D"/>
    <w:rsid w:val="007361B0"/>
    <w:rsid w:val="007410BB"/>
    <w:rsid w:val="00751B3D"/>
    <w:rsid w:val="00771110"/>
    <w:rsid w:val="00777E25"/>
    <w:rsid w:val="007A01A0"/>
    <w:rsid w:val="007A75CD"/>
    <w:rsid w:val="007B05EC"/>
    <w:rsid w:val="007D2D2F"/>
    <w:rsid w:val="00831B84"/>
    <w:rsid w:val="00840138"/>
    <w:rsid w:val="00840451"/>
    <w:rsid w:val="008B5F5E"/>
    <w:rsid w:val="008B6F3E"/>
    <w:rsid w:val="008C7BEC"/>
    <w:rsid w:val="008E0109"/>
    <w:rsid w:val="00901559"/>
    <w:rsid w:val="00906860"/>
    <w:rsid w:val="00956492"/>
    <w:rsid w:val="009E010A"/>
    <w:rsid w:val="00A16FBF"/>
    <w:rsid w:val="00A34B1F"/>
    <w:rsid w:val="00A369D6"/>
    <w:rsid w:val="00A64A2B"/>
    <w:rsid w:val="00A87ADE"/>
    <w:rsid w:val="00A97E93"/>
    <w:rsid w:val="00B014D9"/>
    <w:rsid w:val="00B41B67"/>
    <w:rsid w:val="00B65B95"/>
    <w:rsid w:val="00B82980"/>
    <w:rsid w:val="00B9304D"/>
    <w:rsid w:val="00C22AF1"/>
    <w:rsid w:val="00C56B9A"/>
    <w:rsid w:val="00CF48F4"/>
    <w:rsid w:val="00D62C5C"/>
    <w:rsid w:val="00D84DB9"/>
    <w:rsid w:val="00DE2B9B"/>
    <w:rsid w:val="00E1308D"/>
    <w:rsid w:val="00E23082"/>
    <w:rsid w:val="00E66305"/>
    <w:rsid w:val="00E739FE"/>
    <w:rsid w:val="00EA50D7"/>
    <w:rsid w:val="00F64F18"/>
    <w:rsid w:val="00FB7D30"/>
    <w:rsid w:val="00FC41D6"/>
    <w:rsid w:val="00FE2D0B"/>
    <w:rsid w:val="03292D43"/>
    <w:rsid w:val="03560383"/>
    <w:rsid w:val="06D531E2"/>
    <w:rsid w:val="12A13D58"/>
    <w:rsid w:val="1860015A"/>
    <w:rsid w:val="19B6216F"/>
    <w:rsid w:val="1BF805D5"/>
    <w:rsid w:val="1F2B52D1"/>
    <w:rsid w:val="207B66B3"/>
    <w:rsid w:val="20946656"/>
    <w:rsid w:val="25D72578"/>
    <w:rsid w:val="26D71022"/>
    <w:rsid w:val="2AC84E9F"/>
    <w:rsid w:val="2BC35AD1"/>
    <w:rsid w:val="2CE54A62"/>
    <w:rsid w:val="30A27C8C"/>
    <w:rsid w:val="30E402B5"/>
    <w:rsid w:val="43F2013F"/>
    <w:rsid w:val="45501780"/>
    <w:rsid w:val="46F82CE2"/>
    <w:rsid w:val="4B5E36E6"/>
    <w:rsid w:val="4C1A05E7"/>
    <w:rsid w:val="4D0D13F2"/>
    <w:rsid w:val="4DC405FC"/>
    <w:rsid w:val="4E3A0F2E"/>
    <w:rsid w:val="4EA8761A"/>
    <w:rsid w:val="57B108DE"/>
    <w:rsid w:val="57C3214C"/>
    <w:rsid w:val="5FBB57DE"/>
    <w:rsid w:val="60B9101E"/>
    <w:rsid w:val="62B1172F"/>
    <w:rsid w:val="640F4210"/>
    <w:rsid w:val="660475F8"/>
    <w:rsid w:val="690802CD"/>
    <w:rsid w:val="69C2507E"/>
    <w:rsid w:val="6A5C341E"/>
    <w:rsid w:val="6DDF5540"/>
    <w:rsid w:val="6E4B6D81"/>
    <w:rsid w:val="707833D1"/>
    <w:rsid w:val="70C51DC1"/>
    <w:rsid w:val="7510063F"/>
    <w:rsid w:val="76DF0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index 5"/>
    <w:next w:val="1"/>
    <w:qFormat/>
    <w:uiPriority w:val="0"/>
    <w:pPr>
      <w:widowControl w:val="0"/>
      <w:ind w:left="1680"/>
      <w:jc w:val="both"/>
    </w:pPr>
    <w:rPr>
      <w:rFonts w:ascii="黑体" w:hAnsi="Calibri" w:eastAsia="黑体" w:cs="Arial"/>
      <w:kern w:val="2"/>
      <w:sz w:val="32"/>
      <w:szCs w:val="32"/>
      <w:lang w:val="en-US" w:eastAsia="zh-CN" w:bidi="ar-SA"/>
    </w:rPr>
  </w:style>
  <w:style w:type="paragraph" w:styleId="4">
    <w:name w:val="annotation text"/>
    <w:basedOn w:val="1"/>
    <w:link w:val="17"/>
    <w:semiHidden/>
    <w:unhideWhenUsed/>
    <w:qFormat/>
    <w:uiPriority w:val="99"/>
    <w:pPr>
      <w:jc w:val="left"/>
    </w:pPr>
  </w:style>
  <w:style w:type="paragraph" w:styleId="5">
    <w:name w:val="Balloon Text"/>
    <w:basedOn w:val="1"/>
    <w:link w:val="19"/>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semiHidden/>
    <w:unhideWhenUsed/>
    <w:qFormat/>
    <w:uiPriority w:val="99"/>
    <w:pPr>
      <w:spacing w:beforeAutospacing="1" w:afterAutospacing="1"/>
      <w:jc w:val="left"/>
    </w:pPr>
    <w:rPr>
      <w:kern w:val="0"/>
      <w:sz w:val="24"/>
    </w:rPr>
  </w:style>
  <w:style w:type="paragraph" w:styleId="9">
    <w:name w:val="annotation subject"/>
    <w:basedOn w:val="4"/>
    <w:next w:val="4"/>
    <w:link w:val="18"/>
    <w:semiHidden/>
    <w:unhideWhenUsed/>
    <w:qFormat/>
    <w:uiPriority w:val="99"/>
    <w:rPr>
      <w:b/>
      <w:bCs/>
    </w:rPr>
  </w:style>
  <w:style w:type="character" w:styleId="12">
    <w:name w:val="Emphasis"/>
    <w:basedOn w:val="11"/>
    <w:qFormat/>
    <w:uiPriority w:val="20"/>
    <w:rPr>
      <w:i/>
    </w:rPr>
  </w:style>
  <w:style w:type="character" w:styleId="13">
    <w:name w:val="annotation reference"/>
    <w:basedOn w:val="11"/>
    <w:semiHidden/>
    <w:unhideWhenUsed/>
    <w:qFormat/>
    <w:uiPriority w:val="99"/>
    <w:rPr>
      <w:sz w:val="21"/>
      <w:szCs w:val="21"/>
    </w:rPr>
  </w:style>
  <w:style w:type="paragraph" w:customStyle="1" w:styleId="14">
    <w:name w:val="Normal Indent1"/>
    <w:next w:val="3"/>
    <w:qFormat/>
    <w:uiPriority w:val="0"/>
    <w:pPr>
      <w:widowControl w:val="0"/>
      <w:ind w:firstLine="420" w:firstLineChars="200"/>
      <w:jc w:val="both"/>
    </w:pPr>
    <w:rPr>
      <w:rFonts w:ascii="Times New Roman" w:hAnsi="Times New Roman" w:eastAsia="宋体" w:cs="Times New Roman"/>
      <w:kern w:val="2"/>
      <w:sz w:val="21"/>
      <w:szCs w:val="21"/>
      <w:lang w:val="en-US" w:eastAsia="zh-CN" w:bidi="ar-SA"/>
    </w:r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character" w:customStyle="1" w:styleId="17">
    <w:name w:val="批注文字 字符"/>
    <w:basedOn w:val="11"/>
    <w:link w:val="4"/>
    <w:semiHidden/>
    <w:qFormat/>
    <w:uiPriority w:val="99"/>
    <w:rPr>
      <w:rFonts w:ascii="Times New Roman" w:hAnsi="Times New Roman" w:eastAsia="宋体" w:cs="Times New Roman"/>
      <w:szCs w:val="24"/>
    </w:rPr>
  </w:style>
  <w:style w:type="character" w:customStyle="1" w:styleId="18">
    <w:name w:val="批注主题 字符"/>
    <w:basedOn w:val="17"/>
    <w:link w:val="9"/>
    <w:semiHidden/>
    <w:qFormat/>
    <w:uiPriority w:val="99"/>
    <w:rPr>
      <w:rFonts w:ascii="Times New Roman" w:hAnsi="Times New Roman" w:eastAsia="宋体" w:cs="Times New Roman"/>
      <w:b/>
      <w:bCs/>
      <w:szCs w:val="24"/>
    </w:rPr>
  </w:style>
  <w:style w:type="character" w:customStyle="1" w:styleId="19">
    <w:name w:val="批注框文本 字符"/>
    <w:basedOn w:val="11"/>
    <w:link w:val="5"/>
    <w:semiHidden/>
    <w:qFormat/>
    <w:uiPriority w:val="99"/>
    <w:rPr>
      <w:rFonts w:ascii="Times New Roman" w:hAnsi="Times New Roman" w:eastAsia="宋体" w:cs="Times New Roman"/>
      <w:sz w:val="18"/>
      <w:szCs w:val="18"/>
    </w:rPr>
  </w:style>
  <w:style w:type="paragraph" w:customStyle="1" w:styleId="20">
    <w:name w:val="修订1"/>
    <w:hidden/>
    <w:semiHidden/>
    <w:qFormat/>
    <w:uiPriority w:val="99"/>
    <w:rPr>
      <w:rFonts w:ascii="Times New Roman" w:hAnsi="Times New Roman" w:eastAsia="宋体" w:cs="Times New Roman"/>
      <w:kern w:val="2"/>
      <w:sz w:val="21"/>
      <w:szCs w:val="24"/>
      <w:lang w:val="en-US" w:eastAsia="zh-CN" w:bidi="ar-SA"/>
    </w:rPr>
  </w:style>
  <w:style w:type="paragraph" w:styleId="21">
    <w:name w:val="List Paragraph"/>
    <w:basedOn w:val="1"/>
    <w:qFormat/>
    <w:uiPriority w:val="0"/>
    <w:pPr>
      <w:ind w:firstLine="420" w:firstLineChars="200"/>
    </w:pPr>
  </w:style>
  <w:style w:type="paragraph" w:customStyle="1" w:styleId="2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3">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Forehope</Company>
  <Pages>4</Pages>
  <Words>1996</Words>
  <Characters>2172</Characters>
  <Lines>20</Lines>
  <Paragraphs>5</Paragraphs>
  <TotalTime>1</TotalTime>
  <ScaleCrop>false</ScaleCrop>
  <LinksUpToDate>false</LinksUpToDate>
  <CharactersWithSpaces>2301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2024-08-30T08:05:00Z</dcterms:created>
  <dc:creator>周钡钡</dc:creator>
  <cp:lastModifiedBy>N22341A</cp:lastModifiedBy>
  <dcterms:modified xsi:type="dcterms:W3CDTF">2024-08-30T09:08:02Z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FE03DDBDE3DA4BC2B654FB3BB96F68A5_13</vt:lpwstr>
  </property>
</Properties>
</file>