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C6542">
      <w:pPr>
        <w:spacing w:before="156" w:beforeLines="50" w:after="156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</w:t>
      </w:r>
      <w:r>
        <w:rPr>
          <w:rFonts w:hint="eastAsia" w:ascii="Times New Roman" w:hAnsi="Times New Roman"/>
          <w:bCs/>
          <w:iCs/>
          <w:color w:val="000000"/>
          <w:sz w:val="24"/>
        </w:rPr>
        <w:t>688</w:t>
      </w:r>
      <w:r>
        <w:rPr>
          <w:rFonts w:ascii="Times New Roman" w:hAnsi="Times New Roman"/>
          <w:bCs/>
          <w:iCs/>
          <w:color w:val="000000"/>
          <w:sz w:val="24"/>
        </w:rPr>
        <w:t>717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证券简称：艾罗能源</w:t>
      </w:r>
    </w:p>
    <w:p w14:paraId="20856620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浙江艾罗网络能源技术股份有限公司</w:t>
      </w:r>
    </w:p>
    <w:p w14:paraId="38ABA89A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2C6FE0A8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编号：</w:t>
      </w:r>
      <w:r>
        <w:rPr>
          <w:rFonts w:hint="eastAsia" w:ascii="Times New Roman" w:hAnsi="Times New Roman"/>
          <w:bCs/>
          <w:iCs/>
          <w:color w:val="000000"/>
          <w:sz w:val="24"/>
        </w:rPr>
        <w:t>202</w:t>
      </w:r>
      <w:r>
        <w:rPr>
          <w:rFonts w:ascii="Times New Roman" w:hAnsi="Times New Roman"/>
          <w:bCs/>
          <w:iCs/>
          <w:color w:val="000000"/>
          <w:sz w:val="24"/>
        </w:rPr>
        <w:t>4</w:t>
      </w:r>
      <w:r>
        <w:rPr>
          <w:rFonts w:hint="eastAsia" w:ascii="宋体" w:hAnsi="宋体"/>
          <w:bCs/>
          <w:iCs/>
          <w:color w:val="000000"/>
          <w:sz w:val="24"/>
        </w:rPr>
        <w:t>-</w:t>
      </w:r>
      <w:r>
        <w:rPr>
          <w:rFonts w:ascii="Times New Roman" w:hAnsi="Times New Roman"/>
          <w:bCs/>
          <w:iCs/>
          <w:color w:val="000000"/>
          <w:sz w:val="24"/>
        </w:rPr>
        <w:t>003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7233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B0A5629">
            <w:pPr>
              <w:spacing w:line="480" w:lineRule="atLeast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</w:tcPr>
          <w:p w14:paraId="36984786"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分析师会议</w:t>
            </w:r>
          </w:p>
          <w:p w14:paraId="0AFCB759"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媒体采访   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业绩说明会</w:t>
            </w:r>
          </w:p>
          <w:p w14:paraId="1C1298BE"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新闻发布会           </w:t>
            </w: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路演活动</w:t>
            </w:r>
          </w:p>
          <w:p w14:paraId="107A6879">
            <w:pPr>
              <w:tabs>
                <w:tab w:val="left" w:pos="2690"/>
                <w:tab w:val="center" w:pos="3199"/>
              </w:tabs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现场参观             </w:t>
            </w:r>
            <w:r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电话会议</w:t>
            </w:r>
          </w:p>
          <w:p w14:paraId="4306AD51">
            <w:pPr>
              <w:spacing w:line="360" w:lineRule="auto"/>
              <w:ind w:firstLine="480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iCs/>
                <w:sz w:val="24"/>
                <w:szCs w:val="24"/>
              </w:rPr>
              <w:t>其他 （请文字说明其他活动内容）</w:t>
            </w:r>
          </w:p>
        </w:tc>
      </w:tr>
      <w:tr w14:paraId="4CA7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08" w:type="dxa"/>
            <w:vAlign w:val="center"/>
          </w:tcPr>
          <w:p w14:paraId="4B61CCD9">
            <w:pPr>
              <w:spacing w:line="480" w:lineRule="atLeast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614" w:type="dxa"/>
            <w:vAlign w:val="center"/>
          </w:tcPr>
          <w:p w14:paraId="01FC71D5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招商证券、鹏华基金、博时基金、富国基金、嘉合基金、长江证券、财通证券、华创证券、德邦证券、中信建投证券等约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家机构代表</w:t>
            </w:r>
          </w:p>
        </w:tc>
      </w:tr>
      <w:tr w14:paraId="159E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908" w:type="dxa"/>
            <w:vAlign w:val="center"/>
          </w:tcPr>
          <w:p w14:paraId="59810AD3">
            <w:pPr>
              <w:spacing w:line="480" w:lineRule="atLeast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</w:tcPr>
          <w:p w14:paraId="46892009">
            <w:pPr>
              <w:spacing w:line="480" w:lineRule="atLeast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2024年8月31日</w:t>
            </w:r>
          </w:p>
        </w:tc>
      </w:tr>
      <w:tr w14:paraId="2929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908" w:type="dxa"/>
            <w:vAlign w:val="center"/>
          </w:tcPr>
          <w:p w14:paraId="0A65FBB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vAlign w:val="center"/>
          </w:tcPr>
          <w:p w14:paraId="05765F12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电话形式</w:t>
            </w:r>
          </w:p>
        </w:tc>
      </w:tr>
      <w:tr w14:paraId="743E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6F15AB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上市公司接待</w:t>
            </w:r>
          </w:p>
          <w:p w14:paraId="343289FB"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614" w:type="dxa"/>
            <w:vAlign w:val="center"/>
          </w:tcPr>
          <w:p w14:paraId="2516FD8D">
            <w:pPr>
              <w:spacing w:line="276" w:lineRule="auto"/>
              <w:jc w:val="left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董事会秘书 盛建富</w:t>
            </w:r>
            <w:r>
              <w:rPr>
                <w:rFonts w:hint="eastAsia" w:ascii="Times New Roman" w:hAnsi="Times New Roman" w:eastAsia="宋体" w:cs="Times New Roman"/>
                <w:bCs/>
                <w:iCs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财务总监 闫强</w:t>
            </w:r>
          </w:p>
        </w:tc>
      </w:tr>
      <w:tr w14:paraId="7969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10AC7CF9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4443231D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14:paraId="0DC45E0C">
            <w:pPr>
              <w:pStyle w:val="14"/>
              <w:spacing w:before="156" w:after="156" w:afterLines="50"/>
              <w:ind w:firstLine="482"/>
              <w:rPr>
                <w:lang w:bidi="en-US"/>
              </w:rPr>
            </w:pPr>
            <w:r>
              <w:rPr>
                <w:rFonts w:hint="eastAsia"/>
                <w:b/>
                <w:bCs/>
                <w:szCs w:val="21"/>
              </w:rPr>
              <w:t>一、2</w:t>
            </w:r>
            <w:r>
              <w:rPr>
                <w:b/>
                <w:bCs/>
                <w:szCs w:val="21"/>
              </w:rPr>
              <w:t>024</w:t>
            </w:r>
            <w:r>
              <w:rPr>
                <w:rFonts w:hint="eastAsia"/>
                <w:b/>
                <w:bCs/>
                <w:szCs w:val="21"/>
              </w:rPr>
              <w:t>年半年度概述</w:t>
            </w:r>
          </w:p>
          <w:p w14:paraId="6568FA70"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年上半年，储能行业竞争加剧，在面对严峻的市场竞争环境下，公司始终坚持以技术创新为核心驱动力，持续加大研发投入，积极拓展国内外市场，保持了主营业务的平稳发展。</w:t>
            </w:r>
          </w:p>
          <w:p w14:paraId="63688173"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月，公司实现营业收入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158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361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万元，同比下降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%，二季度环比一季度提高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%；归属于上市公司股东的净利润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万元，同比减少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%，二季度环比一季度提高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103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%。公司综合毛利率为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%，较上期下降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个百分点。</w:t>
            </w:r>
          </w:p>
          <w:p w14:paraId="1B25BD62"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场开拓方面：在巩固原有德国、捷克、意大利等欧洲市场的基础上，公司积极拓展新兴市场，在巴基斯坦、乌克兰、印度等区域市场均成功实现产品销售。同时，公司在美国、日本市场与松下电器、夏普能源等国际知名企业合作顺利，实现产品销售。</w:t>
            </w:r>
          </w:p>
          <w:p w14:paraId="7EEF0E5E"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产品方面：公司持续保持高研发投入，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年上半年研发费用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亿元，同比增长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98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。公司坚持产品创新和技术迭代，积极拓展产品门类。上半年推出了户用低压单相储能逆变器、低压储能电池、微型逆变器等产品，持续丰富产品线及产品应用场景。同时，公司积极布局工商业储能产品，上半年向市场推出了AELIO、TRENE系列工商业储能产品，并成功实现销售。</w:t>
            </w:r>
          </w:p>
          <w:p w14:paraId="38DA2151">
            <w:pPr>
              <w:pStyle w:val="14"/>
              <w:spacing w:before="156" w:after="156" w:afterLines="50"/>
              <w:ind w:firstLine="482"/>
              <w:rPr>
                <w:szCs w:val="21"/>
              </w:rPr>
            </w:pPr>
            <w:r>
              <w:rPr>
                <w:b/>
                <w:bCs/>
                <w:szCs w:val="21"/>
              </w:rPr>
              <w:t>（2）互动交流环节</w:t>
            </w:r>
          </w:p>
          <w:p w14:paraId="2F032DC5">
            <w:pPr>
              <w:pStyle w:val="14"/>
              <w:spacing w:before="156" w:after="156" w:afterLines="50"/>
              <w:ind w:firstLine="480"/>
              <w:rPr>
                <w:rFonts w:ascii="宋体" w:hAnsi="宋体" w:cs="宋体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4"/>
              </w:rPr>
              <w:t>Q</w:t>
            </w:r>
            <w:r>
              <w:rPr>
                <w:rFonts w:hint="eastAsia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</w:rPr>
              <w:t>：</w:t>
            </w: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>公司</w:t>
            </w:r>
            <w:r>
              <w:rPr>
                <w:rFonts w:hint="eastAsia" w:cs="宋体"/>
                <w:szCs w:val="24"/>
                <w:shd w:val="clear" w:color="auto" w:fill="FFFFFF"/>
              </w:rPr>
              <w:t>2024</w:t>
            </w: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>年的整体业绩目标规划是怎样的？</w:t>
            </w:r>
          </w:p>
          <w:p w14:paraId="54E3CAF0">
            <w:pPr>
              <w:pStyle w:val="14"/>
              <w:spacing w:before="156" w:after="156" w:afterLines="50"/>
              <w:ind w:firstLine="480"/>
              <w:rPr>
                <w:rFonts w:asciiTheme="minorEastAsia" w:hAnsiTheme="minorEastAsia"/>
              </w:rPr>
            </w:pP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>公司一季度营业收入</w:t>
            </w:r>
            <w:r>
              <w:rPr>
                <w:rFonts w:hint="eastAsia" w:cs="宋体"/>
                <w:szCs w:val="24"/>
                <w:shd w:val="clear" w:color="auto" w:fill="FFFFFF"/>
              </w:rPr>
              <w:t>6</w:t>
            </w: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>.</w:t>
            </w:r>
            <w:r>
              <w:rPr>
                <w:rFonts w:hint="eastAsia" w:cs="宋体"/>
                <w:szCs w:val="24"/>
                <w:shd w:val="clear" w:color="auto" w:fill="FFFFFF"/>
              </w:rPr>
              <w:t>84</w:t>
            </w: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>亿，二季度营业收入</w:t>
            </w:r>
            <w:r>
              <w:rPr>
                <w:rFonts w:hint="eastAsia" w:cs="宋体"/>
                <w:szCs w:val="24"/>
                <w:shd w:val="clear" w:color="auto" w:fill="FFFFFF"/>
              </w:rPr>
              <w:t>8</w:t>
            </w: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>.</w:t>
            </w:r>
            <w:r>
              <w:rPr>
                <w:rFonts w:hint="eastAsia" w:cs="宋体"/>
                <w:szCs w:val="24"/>
                <w:shd w:val="clear" w:color="auto" w:fill="FFFFFF"/>
              </w:rPr>
              <w:t>99</w:t>
            </w:r>
            <w:r>
              <w:rPr>
                <w:rFonts w:hint="eastAsia" w:ascii="宋体" w:hAnsi="宋体" w:cs="宋体"/>
                <w:szCs w:val="24"/>
                <w:shd w:val="clear" w:color="auto" w:fill="FFFFFF"/>
              </w:rPr>
              <w:t>亿，环比</w:t>
            </w:r>
            <w:r>
              <w:rPr>
                <w:rFonts w:hint="eastAsia" w:ascii="宋体" w:hAnsi="宋体" w:cs="宋体"/>
                <w:szCs w:val="24"/>
              </w:rPr>
              <w:t>提高</w:t>
            </w:r>
            <w:r>
              <w:rPr>
                <w:rFonts w:hint="eastAsia" w:cs="宋体"/>
                <w:szCs w:val="24"/>
              </w:rPr>
              <w:t>31</w:t>
            </w:r>
            <w:r>
              <w:rPr>
                <w:rFonts w:hint="eastAsia" w:ascii="宋体" w:hAnsi="宋体" w:cs="宋体"/>
                <w:szCs w:val="24"/>
              </w:rPr>
              <w:t>.</w:t>
            </w:r>
            <w:r>
              <w:rPr>
                <w:rFonts w:hint="eastAsia" w:cs="宋体"/>
                <w:szCs w:val="24"/>
              </w:rPr>
              <w:t>43</w:t>
            </w:r>
            <w:r>
              <w:rPr>
                <w:rFonts w:hint="eastAsia" w:ascii="宋体" w:hAnsi="宋体" w:cs="宋体"/>
                <w:szCs w:val="24"/>
              </w:rPr>
              <w:t>%，年内业绩逐季提升，全年营业收入目标</w:t>
            </w:r>
            <w:r>
              <w:rPr>
                <w:rFonts w:hint="eastAsia" w:cs="宋体"/>
                <w:szCs w:val="24"/>
              </w:rPr>
              <w:t>40</w:t>
            </w:r>
            <w:r>
              <w:rPr>
                <w:rFonts w:hint="eastAsia" w:ascii="宋体" w:hAnsi="宋体" w:cs="宋体"/>
                <w:szCs w:val="24"/>
              </w:rPr>
              <w:t>亿</w:t>
            </w:r>
            <w:r>
              <w:rPr>
                <w:rFonts w:hint="eastAsia" w:asciiTheme="minorEastAsia" w:hAnsiTheme="minorEastAsia"/>
              </w:rPr>
              <w:t>。</w:t>
            </w:r>
          </w:p>
          <w:p w14:paraId="7385881F">
            <w:pPr>
              <w:pStyle w:val="14"/>
              <w:spacing w:before="156" w:after="156" w:afterLines="50"/>
              <w:ind w:firstLine="480"/>
              <w:rPr>
                <w:szCs w:val="24"/>
              </w:rPr>
            </w:pPr>
            <w:r>
              <w:rPr>
                <w:szCs w:val="24"/>
              </w:rPr>
              <w:t>Q2：</w:t>
            </w:r>
            <w:r>
              <w:rPr>
                <w:rFonts w:hint="eastAsia"/>
                <w:szCs w:val="24"/>
              </w:rPr>
              <w:t>公司库存情况如何？</w:t>
            </w:r>
          </w:p>
          <w:p w14:paraId="1B4CDF94">
            <w:pPr>
              <w:pStyle w:val="14"/>
              <w:spacing w:before="156" w:after="156" w:afterLines="50"/>
              <w:ind w:firstLine="4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截至2</w:t>
            </w:r>
            <w:r>
              <w:rPr>
                <w:bCs/>
                <w:szCs w:val="24"/>
              </w:rPr>
              <w:t>024</w:t>
            </w:r>
            <w:r>
              <w:rPr>
                <w:rFonts w:hint="eastAsia"/>
                <w:bCs/>
                <w:szCs w:val="24"/>
              </w:rPr>
              <w:t>年6月3</w:t>
            </w:r>
            <w:r>
              <w:rPr>
                <w:bCs/>
                <w:szCs w:val="24"/>
              </w:rPr>
              <w:t>0</w:t>
            </w:r>
            <w:r>
              <w:rPr>
                <w:rFonts w:hint="eastAsia"/>
                <w:bCs/>
                <w:szCs w:val="24"/>
              </w:rPr>
              <w:t>日，公司的存货金额为1</w:t>
            </w:r>
            <w:r>
              <w:rPr>
                <w:bCs/>
                <w:szCs w:val="24"/>
              </w:rPr>
              <w:t>0.94</w:t>
            </w:r>
            <w:r>
              <w:rPr>
                <w:rFonts w:hint="eastAsia"/>
                <w:bCs/>
                <w:szCs w:val="24"/>
              </w:rPr>
              <w:t>亿元，原材料3</w:t>
            </w:r>
            <w:r>
              <w:rPr>
                <w:bCs/>
                <w:szCs w:val="24"/>
              </w:rPr>
              <w:t>.48</w:t>
            </w:r>
            <w:r>
              <w:rPr>
                <w:rFonts w:hint="eastAsia"/>
                <w:bCs/>
                <w:szCs w:val="24"/>
              </w:rPr>
              <w:t>亿元，成品7</w:t>
            </w:r>
            <w:r>
              <w:rPr>
                <w:bCs/>
                <w:szCs w:val="24"/>
              </w:rPr>
              <w:t>.45</w:t>
            </w:r>
            <w:r>
              <w:rPr>
                <w:rFonts w:hint="eastAsia"/>
                <w:bCs/>
                <w:szCs w:val="24"/>
              </w:rPr>
              <w:t>亿元。公司自身保持合理的库存水平，以满足海外区域客户要求的交付周期。</w:t>
            </w:r>
          </w:p>
          <w:p w14:paraId="5C84D7FB">
            <w:pPr>
              <w:pStyle w:val="14"/>
              <w:spacing w:before="156" w:after="156" w:afterLines="50"/>
              <w:ind w:firstLine="480"/>
              <w:rPr>
                <w:szCs w:val="24"/>
              </w:rPr>
            </w:pPr>
            <w:r>
              <w:rPr>
                <w:szCs w:val="24"/>
              </w:rPr>
              <w:t>Q3：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年上半年的费用情况如何？</w:t>
            </w:r>
          </w:p>
          <w:p w14:paraId="17D2E88F">
            <w:pPr>
              <w:pStyle w:val="17"/>
              <w:spacing w:before="156" w:beforeLines="50" w:after="156" w:afterLines="50"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月，销售费用</w:t>
            </w:r>
            <w:r>
              <w:rPr>
                <w:rFonts w:hint="eastAsia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,</w:t>
            </w:r>
            <w:r>
              <w:rPr>
                <w:rFonts w:hint="eastAsia" w:cs="宋体"/>
                <w:sz w:val="24"/>
                <w:szCs w:val="24"/>
              </w:rPr>
              <w:t>476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万元，同比增长</w:t>
            </w:r>
            <w:r>
              <w:rPr>
                <w:rFonts w:hint="eastAsia" w:cs="宋体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</w:rPr>
              <w:t>36</w:t>
            </w:r>
            <w:r>
              <w:rPr>
                <w:rFonts w:hint="eastAsia" w:ascii="宋体" w:hAnsi="宋体" w:cs="宋体"/>
                <w:sz w:val="24"/>
                <w:szCs w:val="24"/>
              </w:rPr>
              <w:t>%，主要原因系公司新市场拓展，加大市场投入；管理费用</w:t>
            </w:r>
            <w:r>
              <w:rPr>
                <w:rFonts w:hint="eastAsia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,</w:t>
            </w:r>
            <w:r>
              <w:rPr>
                <w:rFonts w:hint="eastAsia" w:cs="宋体"/>
                <w:sz w:val="24"/>
                <w:szCs w:val="24"/>
              </w:rPr>
              <w:t>844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万元，同比增长</w:t>
            </w:r>
            <w:r>
              <w:rPr>
                <w:rFonts w:hint="eastAsia" w:cs="宋体"/>
                <w:sz w:val="24"/>
                <w:szCs w:val="24"/>
              </w:rPr>
              <w:t>54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%，主要原因系人员增长导致的费用增加；研发费用</w:t>
            </w:r>
            <w:r>
              <w:rPr>
                <w:rFonts w:hint="eastAsia" w:cs="宋体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,</w:t>
            </w:r>
            <w:r>
              <w:rPr>
                <w:rFonts w:hint="eastAsia" w:cs="宋体"/>
                <w:sz w:val="24"/>
                <w:szCs w:val="24"/>
              </w:rPr>
              <w:t>786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</w:rPr>
              <w:t>06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万元，同比增长</w:t>
            </w:r>
            <w:r>
              <w:rPr>
                <w:rFonts w:hint="eastAsia" w:cs="宋体"/>
                <w:sz w:val="24"/>
                <w:szCs w:val="24"/>
              </w:rPr>
              <w:t>98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</w:rPr>
              <w:t>73</w:t>
            </w:r>
            <w:r>
              <w:rPr>
                <w:rFonts w:hint="eastAsia" w:ascii="宋体" w:hAnsi="宋体" w:cs="宋体"/>
                <w:sz w:val="24"/>
                <w:szCs w:val="24"/>
              </w:rPr>
              <w:t>%，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宋体" w:hAnsi="宋体" w:cs="宋体"/>
                <w:sz w:val="24"/>
                <w:szCs w:val="24"/>
              </w:rPr>
              <w:t>要原因系公司为了满足新产品开发、技术创新、产品迭代等战略发展需要持续引进研发人才，持续加大研发投入，同时营业收入同比减少，导致研发投入占比提高。</w:t>
            </w:r>
          </w:p>
          <w:p w14:paraId="13A94C34">
            <w:pPr>
              <w:pStyle w:val="6"/>
              <w:spacing w:before="156" w:beforeLines="50" w:beforeAutospacing="0" w:after="156" w:afterLines="50" w:line="360" w:lineRule="auto"/>
              <w:ind w:firstLine="480" w:firstLineChars="200"/>
              <w:rPr>
                <w:rFonts w:ascii="宋体" w:hAnsi="宋体" w:eastAsia="宋体" w:cs="宋体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Q</w:t>
            </w:r>
            <w:r>
              <w:rPr>
                <w:rFonts w:hint="eastAsia" w:ascii="Times New Roman" w:hAnsi="Times New Roman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：公司海外市场情况？</w:t>
            </w:r>
          </w:p>
          <w:p w14:paraId="598E57AC">
            <w:pPr>
              <w:pStyle w:val="17"/>
              <w:spacing w:before="156" w:beforeLines="50" w:after="156" w:afterLines="50"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欧洲市场情况：公司产品主要销往捷克、德国、英国等欧洲地区，</w:t>
            </w:r>
            <w:r>
              <w:rPr>
                <w:rFonts w:hint="eastAsia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月份销售额相较于</w:t>
            </w:r>
            <w:r>
              <w:rPr>
                <w:rFonts w:hint="eastAsia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月有明显提升，</w:t>
            </w:r>
            <w:r>
              <w:rPr>
                <w:rFonts w:hint="eastAsia" w:cs="宋体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  <w:r>
              <w:rPr>
                <w:rFonts w:hint="eastAsia" w:cs="宋体"/>
                <w:sz w:val="24"/>
                <w:szCs w:val="24"/>
              </w:rPr>
              <w:t>8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月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有假期影响，目前在正常的恢复中。针对欧洲市场，公司一方面挖掘新的市场，比如乌克兰、匈牙利等，另一方面是发掘欧洲市场的新的应用场景（工商业储能）。</w:t>
            </w:r>
          </w:p>
          <w:p w14:paraId="3F937BF6">
            <w:pPr>
              <w:pStyle w:val="17"/>
              <w:spacing w:before="156" w:beforeLines="50" w:after="156" w:afterLines="50"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新兴市场情况：公司在巴基斯坦、乌克兰、印度等地区加大了产品和渠道的投入，</w:t>
            </w:r>
            <w:r>
              <w:rPr>
                <w:rFonts w:hint="eastAsia" w:cs="宋体"/>
                <w:sz w:val="24"/>
                <w:szCs w:val="24"/>
              </w:rPr>
              <w:t>2024</w:t>
            </w:r>
            <w:r>
              <w:rPr>
                <w:rFonts w:hint="eastAsia" w:ascii="宋体" w:hAnsi="宋体" w:cs="宋体"/>
                <w:sz w:val="24"/>
                <w:szCs w:val="24"/>
              </w:rPr>
              <w:t>年上半年均成功实现销售。</w:t>
            </w:r>
          </w:p>
          <w:p w14:paraId="7B8C545B">
            <w:pPr>
              <w:pStyle w:val="17"/>
              <w:spacing w:before="156" w:beforeLines="50" w:after="156" w:afterLines="50"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</w:t>
            </w:r>
            <w:r>
              <w:rPr>
                <w:rFonts w:hint="eastAsia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:公司工商业储能情况？</w:t>
            </w:r>
          </w:p>
          <w:p w14:paraId="638332FB">
            <w:pPr>
              <w:pStyle w:val="18"/>
              <w:spacing w:before="156" w:beforeLines="50" w:beforeAutospacing="0" w:after="156" w:afterLines="50" w:line="360" w:lineRule="auto"/>
              <w:ind w:left="0"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月，工商业储能销售收入不高，新产品刚刚开始形成销售，目前订单充足，预计Q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开始形成一定销售规模。市场需求已经起来了，欧洲的电力市场比较发达，工商业储能能够在动态电价，VPP，辅助服务（集中英国市场）等方向盈利，公司比较看好这个产品对未来的贡献。</w:t>
            </w:r>
          </w:p>
          <w:p w14:paraId="1F62BE8A">
            <w:pPr>
              <w:pStyle w:val="18"/>
              <w:spacing w:after="156"/>
              <w:ind w:left="360"/>
            </w:pPr>
          </w:p>
          <w:p w14:paraId="62D825BD">
            <w:pPr>
              <w:pStyle w:val="6"/>
              <w:spacing w:before="156" w:beforeLines="50" w:beforeAutospacing="0" w:after="156" w:afterLines="50" w:line="360" w:lineRule="auto"/>
              <w:ind w:firstLine="48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Q</w:t>
            </w:r>
            <w:r>
              <w:rPr>
                <w:rFonts w:hint="eastAsia" w:ascii="Times New Roman" w:hAnsi="Times New Roman" w:eastAsia="宋体" w:cs="宋体"/>
              </w:rPr>
              <w:t>5</w:t>
            </w:r>
            <w:r>
              <w:rPr>
                <w:rFonts w:hint="eastAsia" w:ascii="宋体" w:hAnsi="宋体" w:eastAsia="宋体" w:cs="宋体"/>
              </w:rPr>
              <w:t>:公司的中长期规划？</w:t>
            </w:r>
          </w:p>
          <w:p w14:paraId="5EF17578">
            <w:pPr>
              <w:spacing w:before="156" w:beforeLines="50" w:after="156" w:afterLines="50"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全面布局储能市场，深挖每一类需求。</w:t>
            </w:r>
          </w:p>
          <w:p w14:paraId="233CEE21">
            <w:pPr>
              <w:pStyle w:val="6"/>
              <w:spacing w:before="156" w:beforeLines="50" w:beforeAutospacing="0" w:after="156" w:afterLines="50" w:line="360" w:lineRule="auto"/>
              <w:ind w:firstLine="480" w:firstLineChars="20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一是持续开发新品，储备增长点。二是加强欧洲之外区域的市场开拓。</w:t>
            </w:r>
          </w:p>
          <w:p w14:paraId="25CE60ED">
            <w:pPr>
              <w:pStyle w:val="14"/>
              <w:spacing w:before="156"/>
              <w:ind w:firstLine="480"/>
              <w:rPr>
                <w:szCs w:val="24"/>
              </w:rPr>
            </w:pPr>
          </w:p>
        </w:tc>
      </w:tr>
      <w:tr w14:paraId="13D4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08" w:type="dxa"/>
            <w:vAlign w:val="center"/>
          </w:tcPr>
          <w:p w14:paraId="516C408C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vAlign w:val="center"/>
          </w:tcPr>
          <w:p w14:paraId="40F50BDB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无</w:t>
            </w:r>
          </w:p>
        </w:tc>
      </w:tr>
      <w:tr w14:paraId="6D7A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62A225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vAlign w:val="center"/>
          </w:tcPr>
          <w:p w14:paraId="017E832D">
            <w:pPr>
              <w:spacing w:line="360" w:lineRule="auto"/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color w:val="000000"/>
                <w:sz w:val="24"/>
              </w:rPr>
              <w:t>2024年8月31日</w:t>
            </w:r>
          </w:p>
        </w:tc>
      </w:tr>
    </w:tbl>
    <w:p w14:paraId="3C1AE89A">
      <w:pPr>
        <w:spacing w:before="15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NjgwYzhkNzUzNGYwMmYxYjlkYmUzZDgzN2FkYzQifQ=="/>
  </w:docVars>
  <w:rsids>
    <w:rsidRoot w:val="00212596"/>
    <w:rsid w:val="000141DF"/>
    <w:rsid w:val="00095B02"/>
    <w:rsid w:val="000D119F"/>
    <w:rsid w:val="000E097B"/>
    <w:rsid w:val="00110025"/>
    <w:rsid w:val="00185DAD"/>
    <w:rsid w:val="001936BE"/>
    <w:rsid w:val="001B2630"/>
    <w:rsid w:val="001C717B"/>
    <w:rsid w:val="001D6AE5"/>
    <w:rsid w:val="001F30CB"/>
    <w:rsid w:val="00212596"/>
    <w:rsid w:val="00233385"/>
    <w:rsid w:val="00235884"/>
    <w:rsid w:val="002D7942"/>
    <w:rsid w:val="002F2335"/>
    <w:rsid w:val="00440945"/>
    <w:rsid w:val="00533373"/>
    <w:rsid w:val="005B6470"/>
    <w:rsid w:val="005D688C"/>
    <w:rsid w:val="00625942"/>
    <w:rsid w:val="00655A66"/>
    <w:rsid w:val="006633A4"/>
    <w:rsid w:val="00665DEF"/>
    <w:rsid w:val="006E44BD"/>
    <w:rsid w:val="006E7137"/>
    <w:rsid w:val="007076D3"/>
    <w:rsid w:val="00733EF7"/>
    <w:rsid w:val="00780008"/>
    <w:rsid w:val="007D5F90"/>
    <w:rsid w:val="00813852"/>
    <w:rsid w:val="0081578D"/>
    <w:rsid w:val="0086257A"/>
    <w:rsid w:val="0093669A"/>
    <w:rsid w:val="00946262"/>
    <w:rsid w:val="0094708C"/>
    <w:rsid w:val="009D4471"/>
    <w:rsid w:val="00A106EF"/>
    <w:rsid w:val="00A94AB1"/>
    <w:rsid w:val="00B37768"/>
    <w:rsid w:val="00BC55AA"/>
    <w:rsid w:val="00C208BC"/>
    <w:rsid w:val="00C250C2"/>
    <w:rsid w:val="00C80018"/>
    <w:rsid w:val="00C81BA3"/>
    <w:rsid w:val="00D027FF"/>
    <w:rsid w:val="00D12DD1"/>
    <w:rsid w:val="00E110DD"/>
    <w:rsid w:val="00E7241C"/>
    <w:rsid w:val="00E765F9"/>
    <w:rsid w:val="00E807EE"/>
    <w:rsid w:val="00ED255A"/>
    <w:rsid w:val="00F16B13"/>
    <w:rsid w:val="00F90A89"/>
    <w:rsid w:val="047E7774"/>
    <w:rsid w:val="0E3560E0"/>
    <w:rsid w:val="1C144612"/>
    <w:rsid w:val="30315976"/>
    <w:rsid w:val="304E7940"/>
    <w:rsid w:val="31A0459F"/>
    <w:rsid w:val="353B3F30"/>
    <w:rsid w:val="3D68150D"/>
    <w:rsid w:val="3DF53AF1"/>
    <w:rsid w:val="3F656A41"/>
    <w:rsid w:val="44E93C84"/>
    <w:rsid w:val="65426400"/>
    <w:rsid w:val="7B3311D9"/>
    <w:rsid w:val="7EA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after="50" w:afterLines="5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after="50" w:afterLines="50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link w:val="16"/>
    <w:unhideWhenUsed/>
    <w:qFormat/>
    <w:uiPriority w:val="99"/>
    <w:pPr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60" w:line="276" w:lineRule="auto"/>
      <w:jc w:val="left"/>
    </w:pPr>
    <w:rPr>
      <w:rFonts w:ascii="等线" w:hAnsi="等线" w:eastAsia="等线" w:cs="Times New Roman"/>
      <w:sz w:val="24"/>
      <w:szCs w:val="24"/>
    </w:rPr>
  </w:style>
  <w:style w:type="paragraph" w:customStyle="1" w:styleId="9">
    <w:name w:val="文件一级标题"/>
    <w:basedOn w:val="1"/>
    <w:qFormat/>
    <w:uiPriority w:val="0"/>
    <w:pPr>
      <w:keepNext/>
      <w:keepLines/>
      <w:pageBreakBefore/>
      <w:spacing w:after="50" w:afterLines="50"/>
      <w:jc w:val="left"/>
      <w:outlineLvl w:val="0"/>
    </w:pPr>
    <w:rPr>
      <w:rFonts w:eastAsia="黑体"/>
      <w:b/>
      <w:bCs/>
      <w:sz w:val="32"/>
      <w:szCs w:val="28"/>
    </w:rPr>
  </w:style>
  <w:style w:type="paragraph" w:customStyle="1" w:styleId="10">
    <w:name w:val="001-文件一级标题"/>
    <w:basedOn w:val="1"/>
    <w:qFormat/>
    <w:uiPriority w:val="0"/>
    <w:pPr>
      <w:keepNext/>
      <w:keepLines/>
      <w:pageBreakBefore/>
      <w:spacing w:after="50" w:afterLines="50"/>
      <w:jc w:val="left"/>
      <w:outlineLvl w:val="0"/>
    </w:pPr>
    <w:rPr>
      <w:rFonts w:eastAsia="黑体"/>
      <w:b/>
      <w:bCs/>
      <w:sz w:val="32"/>
      <w:szCs w:val="28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semiHidden/>
    <w:qFormat/>
    <w:uiPriority w:val="9"/>
    <w:rPr>
      <w:rFonts w:eastAsia="黑体" w:asciiTheme="majorHAnsi" w:hAnsiTheme="majorHAnsi" w:cstheme="majorBidi"/>
      <w:b/>
      <w:bCs/>
      <w:sz w:val="28"/>
      <w:szCs w:val="32"/>
    </w:rPr>
  </w:style>
  <w:style w:type="paragraph" w:styleId="13">
    <w:name w:val="No Spacing"/>
    <w:qFormat/>
    <w:uiPriority w:val="1"/>
    <w:pPr>
      <w:jc w:val="both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  <w14:ligatures w14:val="standardContextual"/>
    </w:rPr>
  </w:style>
  <w:style w:type="paragraph" w:customStyle="1" w:styleId="14">
    <w:name w:val="005正文"/>
    <w:qFormat/>
    <w:uiPriority w:val="99"/>
    <w:pPr>
      <w:widowControl w:val="0"/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5">
    <w:name w:val="批注框文本 字符"/>
    <w:basedOn w:val="8"/>
    <w:link w:val="4"/>
    <w:semiHidden/>
    <w:qFormat/>
    <w:uiPriority w:val="99"/>
    <w:rPr>
      <w:rFonts w:asciiTheme="minorHAnsi" w:hAnsiTheme="minorHAnsi" w:eastAsiaTheme="minorEastAsia" w:cstheme="minorBidi"/>
      <w:sz w:val="18"/>
      <w:szCs w:val="18"/>
      <w14:ligatures w14:val="none"/>
    </w:rPr>
  </w:style>
  <w:style w:type="character" w:customStyle="1" w:styleId="16">
    <w:name w:val="HTML 预设格式 字符"/>
    <w:basedOn w:val="8"/>
    <w:link w:val="5"/>
    <w:qFormat/>
    <w:uiPriority w:val="99"/>
    <w:rPr>
      <w:rFonts w:ascii="宋体" w:hAnsi="宋体"/>
      <w:kern w:val="0"/>
      <w:sz w:val="24"/>
      <w:szCs w:val="24"/>
      <w14:ligatures w14:val="none"/>
    </w:rPr>
  </w:style>
  <w:style w:type="paragraph" w:customStyle="1" w:styleId="1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列出段落1"/>
    <w:basedOn w:val="1"/>
    <w:qFormat/>
    <w:uiPriority w:val="0"/>
    <w:pPr>
      <w:spacing w:before="100" w:beforeAutospacing="1" w:after="160" w:line="276" w:lineRule="auto"/>
      <w:ind w:left="720"/>
      <w:contextualSpacing/>
      <w:jc w:val="left"/>
    </w:pPr>
    <w:rPr>
      <w:rFonts w:ascii="等线" w:hAnsi="等线" w:eastAsia="等线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1391</Words>
  <Characters>1583</Characters>
  <Lines>12</Lines>
  <Paragraphs>3</Paragraphs>
  <TotalTime>65</TotalTime>
  <ScaleCrop>false</ScaleCrop>
  <LinksUpToDate>false</LinksUpToDate>
  <CharactersWithSpaces>1721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2024-01-17T06:42:00Z</dcterms:created>
  <dc:creator>Songxh</dc:creator>
  <cp:lastModifiedBy>wt</cp:lastModifiedBy>
  <dcterms:modified xsi:type="dcterms:W3CDTF">2024-09-01T06:56:47Z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EFD212333CC44414B7D8C9299711D036_13</vt:lpwstr>
  </property>
</Properties>
</file>