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E0B24">
      <w:pPr>
        <w:ind w:firstLine="120" w:firstLineChars="50"/>
        <w:rPr>
          <w:rFonts w:ascii="宋体" w:hAnsi="宋体"/>
          <w:b/>
          <w:bCs/>
          <w:iCs/>
          <w:color w:val="000000"/>
        </w:rPr>
      </w:pPr>
      <w:r>
        <w:rPr>
          <w:bCs/>
          <w:iCs/>
          <w:color w:val="000000"/>
        </w:rPr>
        <w:t>证券代码：</w:t>
      </w:r>
      <w:r>
        <w:rPr>
          <w:rFonts w:hint="eastAsia"/>
          <w:bCs/>
          <w:iCs/>
          <w:color w:val="000000"/>
        </w:rPr>
        <w:t>6</w:t>
      </w:r>
      <w:r>
        <w:rPr>
          <w:bCs/>
          <w:iCs/>
          <w:color w:val="000000"/>
        </w:rPr>
        <w:t>88429                                                                   证券简称：</w:t>
      </w:r>
      <w:r>
        <w:rPr>
          <w:rFonts w:hint="eastAsia"/>
          <w:bCs/>
          <w:iCs/>
          <w:color w:val="000000"/>
        </w:rPr>
        <w:t>时创能源</w:t>
      </w:r>
    </w:p>
    <w:p w14:paraId="1D8F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2"/>
        <w:jc w:val="center"/>
        <w:textAlignment w:val="auto"/>
        <w:rPr>
          <w:rFonts w:hint="eastAsia" w:ascii="宋体" w:hAnsi="宋体"/>
          <w:b/>
          <w:bCs/>
          <w:i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iCs/>
          <w:color w:val="000000"/>
          <w:sz w:val="36"/>
          <w:szCs w:val="36"/>
        </w:rPr>
        <w:t>常州时创能源股份有限公司</w:t>
      </w:r>
    </w:p>
    <w:p w14:paraId="557E4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2"/>
        <w:jc w:val="center"/>
        <w:textAlignment w:val="auto"/>
        <w:rPr>
          <w:rFonts w:ascii="宋体" w:hAnsi="宋体"/>
          <w:b/>
          <w:bCs/>
          <w:i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iCs/>
          <w:color w:val="000000"/>
          <w:sz w:val="36"/>
          <w:szCs w:val="36"/>
        </w:rPr>
        <w:t>投资者关系活动记录表</w:t>
      </w:r>
    </w:p>
    <w:p w14:paraId="68311C80">
      <w:pPr>
        <w:spacing w:line="400" w:lineRule="exact"/>
        <w:ind w:firstLine="480"/>
        <w:rPr>
          <w:rFonts w:hint="eastAsia" w:ascii="宋体" w:hAnsi="宋体" w:eastAsia="宋体"/>
          <w:bCs/>
          <w:iCs/>
          <w:color w:val="000000"/>
          <w:lang w:eastAsia="zh-CN"/>
        </w:rPr>
      </w:pPr>
      <w:r>
        <w:rPr>
          <w:rFonts w:hint="eastAsia" w:ascii="宋体" w:hAnsi="宋体"/>
          <w:bCs/>
          <w:iCs/>
          <w:color w:val="000000"/>
        </w:rPr>
        <w:t xml:space="preserve">                                              </w:t>
      </w:r>
      <w:r>
        <w:rPr>
          <w:rFonts w:hint="eastAsia" w:ascii="宋体" w:hAnsi="宋体"/>
          <w:bCs/>
          <w:iCs/>
          <w:color w:val="000000"/>
          <w:lang w:val="en-US" w:eastAsia="zh-CN"/>
        </w:rPr>
        <w:t xml:space="preserve">    </w:t>
      </w:r>
      <w:r>
        <w:rPr>
          <w:rFonts w:hint="eastAsia" w:ascii="宋体" w:hAnsi="宋体"/>
          <w:bCs/>
          <w:iCs/>
          <w:color w:val="000000"/>
        </w:rPr>
        <w:t xml:space="preserve"> 编号：2</w:t>
      </w:r>
      <w:r>
        <w:rPr>
          <w:rFonts w:ascii="宋体" w:hAnsi="宋体"/>
          <w:bCs/>
          <w:iCs/>
          <w:color w:val="000000"/>
        </w:rPr>
        <w:t>02</w:t>
      </w:r>
      <w:r>
        <w:rPr>
          <w:rFonts w:hint="eastAsia" w:ascii="宋体" w:hAnsi="宋体"/>
          <w:bCs/>
          <w:iCs/>
          <w:color w:val="000000"/>
          <w:lang w:val="en-US" w:eastAsia="zh-CN"/>
        </w:rPr>
        <w:t>4</w:t>
      </w:r>
      <w:r>
        <w:rPr>
          <w:rFonts w:ascii="宋体" w:hAnsi="宋体"/>
          <w:bCs/>
          <w:iCs/>
          <w:color w:val="000000"/>
        </w:rPr>
        <w:t>-</w:t>
      </w:r>
      <w:r>
        <w:rPr>
          <w:rFonts w:hint="eastAsia" w:ascii="宋体" w:hAnsi="宋体"/>
          <w:bCs/>
          <w:iCs/>
          <w:color w:val="000000"/>
        </w:rPr>
        <w:t>0</w:t>
      </w:r>
      <w:r>
        <w:rPr>
          <w:rFonts w:ascii="宋体" w:hAnsi="宋体"/>
          <w:bCs/>
          <w:iCs/>
          <w:color w:val="000000"/>
        </w:rPr>
        <w:t>0</w:t>
      </w:r>
      <w:r>
        <w:rPr>
          <w:rFonts w:hint="eastAsia" w:ascii="宋体" w:hAnsi="宋体"/>
          <w:bCs/>
          <w:iCs/>
          <w:color w:val="000000"/>
          <w:lang w:val="en-US" w:eastAsia="zh-CN"/>
        </w:rPr>
        <w:t>2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6611"/>
      </w:tblGrid>
      <w:tr w14:paraId="1B8F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6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投资者关系活动类别</w:t>
            </w:r>
          </w:p>
        </w:tc>
        <w:tc>
          <w:tcPr>
            <w:tcW w:w="3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43198">
            <w:pPr>
              <w:ind w:firstLine="0" w:firstLineChars="0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特定对象调研       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</w:rPr>
              <w:t>分析师会议</w:t>
            </w:r>
          </w:p>
          <w:p w14:paraId="5B0F7BC5">
            <w:pPr>
              <w:ind w:firstLine="0" w:firstLineChars="0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媒体采访           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</w:rPr>
              <w:t>业绩说明会</w:t>
            </w:r>
          </w:p>
          <w:p w14:paraId="7C0C0F73">
            <w:pPr>
              <w:ind w:firstLine="0" w:firstLineChars="0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新闻发布会          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</w:rPr>
              <w:t>路演活动</w:t>
            </w:r>
          </w:p>
          <w:p w14:paraId="75B9BBA4">
            <w:pPr>
              <w:tabs>
                <w:tab w:val="left" w:pos="3045"/>
                <w:tab w:val="center" w:pos="3199"/>
              </w:tabs>
              <w:ind w:firstLine="0" w:firstLineChars="0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</w:rPr>
              <w:t>现场参观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ab/>
            </w:r>
          </w:p>
          <w:p w14:paraId="71606EFF">
            <w:pPr>
              <w:tabs>
                <w:tab w:val="center" w:pos="3199"/>
              </w:tabs>
              <w:ind w:firstLine="0" w:firstLineChars="0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□</w:t>
            </w:r>
            <w:r>
              <w:rPr>
                <w:rFonts w:hint="eastAsia" w:ascii="宋体" w:hAnsi="宋体" w:eastAsia="宋体" w:cs="宋体"/>
              </w:rPr>
              <w:t xml:space="preserve">其他 </w:t>
            </w:r>
          </w:p>
        </w:tc>
      </w:tr>
      <w:tr w14:paraId="1D72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6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参与单位名称及人员姓名</w:t>
            </w:r>
          </w:p>
        </w:tc>
        <w:tc>
          <w:tcPr>
            <w:tcW w:w="3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9DBD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  <w:t>线上参与公司2024年半年度业绩说明会的投资者</w:t>
            </w:r>
          </w:p>
        </w:tc>
      </w:tr>
      <w:tr w14:paraId="3687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时间</w:t>
            </w:r>
          </w:p>
        </w:tc>
        <w:tc>
          <w:tcPr>
            <w:tcW w:w="3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3F46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  <w:t>2024年9月2日(星期一) 上午10:00-11:00</w:t>
            </w:r>
          </w:p>
        </w:tc>
      </w:tr>
      <w:tr w14:paraId="6761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3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地点</w:t>
            </w:r>
          </w:p>
        </w:tc>
        <w:tc>
          <w:tcPr>
            <w:tcW w:w="3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A58B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进门财经APP/进门财经小程序</w:t>
            </w:r>
          </w:p>
        </w:tc>
      </w:tr>
      <w:tr w14:paraId="031C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5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3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5DA7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董事长：符黎明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  <w:t>先生</w:t>
            </w:r>
          </w:p>
          <w:p w14:paraId="321C9DF8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董事会秘书：夏晶晶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  <w:t>女士</w:t>
            </w:r>
          </w:p>
          <w:p w14:paraId="0EE505D1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财务总监：彭友才</w:t>
            </w:r>
            <w:r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  <w:t>先生</w:t>
            </w:r>
          </w:p>
        </w:tc>
      </w:tr>
      <w:tr w14:paraId="0386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投资者关系活动主要内容介绍</w:t>
            </w:r>
          </w:p>
          <w:p w14:paraId="366C7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</w:p>
        </w:tc>
        <w:tc>
          <w:tcPr>
            <w:tcW w:w="3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831C1"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  <w:t>Q1：叠栅组件新技术战略合作方面，和大厂合作进度怎么样？有没有更明显的潜在合作方式？</w:t>
            </w:r>
          </w:p>
          <w:p w14:paraId="6AD2484E">
            <w:pPr>
              <w:ind w:firstLine="480"/>
              <w:rPr>
                <w:rFonts w:hint="default" w:ascii="宋体" w:hAnsi="宋体" w:eastAsia="宋体" w:cs="宋体"/>
                <w:i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公司高度重视并正在积极推进与头部大厂接洽合作的事项，</w:t>
            </w:r>
            <w:r>
              <w:rPr>
                <w:rFonts w:hint="eastAsia" w:ascii="宋体" w:hAnsi="宋体" w:cs="宋体"/>
                <w:iCs/>
                <w:color w:val="000000"/>
                <w:lang w:val="en-US" w:eastAsia="zh-CN"/>
              </w:rPr>
              <w:t>感谢您对公司的关注。</w:t>
            </w:r>
          </w:p>
          <w:p w14:paraId="202CCEA6"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  <w:t>Q2：潜在的合作伙伴主要关心的产品指标有哪些？比如性能、投资额、认证数据等？</w:t>
            </w:r>
          </w:p>
          <w:p w14:paraId="0CB64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产品方面，主要关注良率、功率的达成、技术的可靠性认证等；成本方面，主要关心设备的投资成本等。</w:t>
            </w:r>
          </w:p>
          <w:p w14:paraId="2CE45593"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  <w:t>Q3：HJT是否也可以和叠栅技术结合，如何看待这个优劣势？</w:t>
            </w:r>
          </w:p>
          <w:p w14:paraId="1FA81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iCs/>
                <w:color w:val="000000"/>
              </w:rPr>
              <w:t>叠栅技术用于HJT既可以提效也可以降本，对于HJT同样适用。目前TOPCon行业应用量更大。</w:t>
            </w:r>
          </w:p>
          <w:p w14:paraId="5C24F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  <w:t>Q4：叠栅组件从单面改成双面叠栅，性能会有什么差异？</w:t>
            </w:r>
          </w:p>
          <w:p w14:paraId="10221CA6">
            <w:pPr>
              <w:ind w:firstLine="480"/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如果做成双面叠栅，可以</w:t>
            </w:r>
            <w:r>
              <w:rPr>
                <w:rFonts w:hint="eastAsia" w:ascii="宋体" w:hAnsi="宋体" w:cs="宋体"/>
                <w:lang w:val="en-US" w:eastAsia="zh-CN"/>
              </w:rPr>
              <w:t>节省</w:t>
            </w:r>
            <w:r>
              <w:rPr>
                <w:rFonts w:hint="eastAsia" w:ascii="宋体" w:hAnsi="宋体" w:eastAsia="宋体" w:cs="宋体"/>
              </w:rPr>
              <w:t>银浆，主要是降本。双面叠栅还会提升双面率，会高于80%。单面包装的时候可能有弯曲，双面叠栅没有翘曲。</w:t>
            </w:r>
          </w:p>
          <w:p w14:paraId="07B1CBC6"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  <w:t>Q5：想请教一下公司上半年光伏湿制程辅助品、电池的出货情况</w:t>
            </w:r>
            <w:r>
              <w:rPr>
                <w:rFonts w:hint="eastAsia" w:ascii="宋体" w:hAnsi="宋体" w:eastAsia="宋体" w:cs="宋体"/>
                <w:b/>
                <w:kern w:val="0"/>
              </w:rPr>
              <w:t>？</w:t>
            </w:r>
          </w:p>
          <w:p w14:paraId="0534F76A">
            <w:pPr>
              <w:ind w:firstLine="480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公司上半年营收约2.68亿，其中湿制程辅助品约1.65亿，营收对比同期增长5</w:t>
            </w:r>
            <w:r>
              <w:rPr>
                <w:rFonts w:hint="eastAsia" w:ascii="宋体" w:hAnsi="宋体" w:cs="宋体"/>
                <w:bCs/>
                <w:iCs/>
                <w:color w:val="000000"/>
                <w:lang w:val="en-US" w:eastAsia="zh-CN"/>
              </w:rPr>
              <w:t>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6个百分点，电池营收约9100万，同比下降主要受行业单价下跌的影响，同时，公司上半年光伏电池处于P到N的转型。目前，公司3GW TOPCon产线已投产。</w:t>
            </w:r>
          </w:p>
          <w:p w14:paraId="5C045AF3"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  <w:t>Q6：传统做TOPCon企业，都用激光诱导烧结来做，公司新投产线有这个工艺吗？还是直接做双POLO？</w:t>
            </w:r>
          </w:p>
          <w:p w14:paraId="2E21F405">
            <w:pPr>
              <w:ind w:firstLine="480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有的，公司保留激光诱导工艺。</w:t>
            </w:r>
          </w:p>
          <w:p w14:paraId="679B3230"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color w:val="000000"/>
              </w:rPr>
              <w:t>Q7：公司怎么看半片电池的发展？有没有专利保护方面的问题？</w:t>
            </w:r>
          </w:p>
          <w:p w14:paraId="52AE4B2C">
            <w:pPr>
              <w:ind w:firstLine="48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关于半片电池，公司申请了边皮料使用方面的专利，半片技术的应用对越高效的电池效果越好。未来，公司希望把自己打造成光伏行业原创技术输出平台，保持科创属性，以技术创新对行业技术迭代做出贡献。</w:t>
            </w:r>
          </w:p>
        </w:tc>
      </w:tr>
      <w:tr w14:paraId="7F3A2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1DFF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附件清单（如有）</w:t>
            </w:r>
          </w:p>
        </w:tc>
        <w:tc>
          <w:tcPr>
            <w:tcW w:w="3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19B93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无</w:t>
            </w:r>
          </w:p>
        </w:tc>
      </w:tr>
      <w:tr w14:paraId="1CBD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B499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</w:rPr>
              <w:t>日期</w:t>
            </w:r>
          </w:p>
        </w:tc>
        <w:tc>
          <w:tcPr>
            <w:tcW w:w="3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350BC">
            <w:pPr>
              <w:ind w:firstLine="0" w:firstLineChars="0"/>
              <w:jc w:val="both"/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/>
                <w:lang w:val="en-US" w:eastAsia="zh-CN"/>
              </w:rPr>
              <w:t>2024年9月2日</w:t>
            </w:r>
          </w:p>
        </w:tc>
      </w:tr>
    </w:tbl>
    <w:p w14:paraId="1E713E18"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58908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39BE0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C2897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05359"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C0D91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63379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NzhmNmJjZDVkNTVmZWY3ZGQ0ZDEwMDU2YjM4OWUifQ=="/>
  </w:docVars>
  <w:rsids>
    <w:rsidRoot w:val="00B62A85"/>
    <w:rsid w:val="0007719D"/>
    <w:rsid w:val="0016792A"/>
    <w:rsid w:val="00234653"/>
    <w:rsid w:val="002631D3"/>
    <w:rsid w:val="0033014A"/>
    <w:rsid w:val="003B0E41"/>
    <w:rsid w:val="00455FC8"/>
    <w:rsid w:val="0046075E"/>
    <w:rsid w:val="004C03B2"/>
    <w:rsid w:val="004E1C69"/>
    <w:rsid w:val="005979D5"/>
    <w:rsid w:val="00631848"/>
    <w:rsid w:val="0064611C"/>
    <w:rsid w:val="006A0350"/>
    <w:rsid w:val="006A1730"/>
    <w:rsid w:val="006D4E49"/>
    <w:rsid w:val="00705316"/>
    <w:rsid w:val="007370AF"/>
    <w:rsid w:val="0075614D"/>
    <w:rsid w:val="00762E71"/>
    <w:rsid w:val="00800501"/>
    <w:rsid w:val="009121B1"/>
    <w:rsid w:val="009144F2"/>
    <w:rsid w:val="00937B71"/>
    <w:rsid w:val="00946A77"/>
    <w:rsid w:val="0097053C"/>
    <w:rsid w:val="009705D3"/>
    <w:rsid w:val="009C7259"/>
    <w:rsid w:val="00A20E82"/>
    <w:rsid w:val="00A8679F"/>
    <w:rsid w:val="00B62A85"/>
    <w:rsid w:val="00B665B2"/>
    <w:rsid w:val="00BC35BC"/>
    <w:rsid w:val="00BD3125"/>
    <w:rsid w:val="00BF0C90"/>
    <w:rsid w:val="00C57509"/>
    <w:rsid w:val="00C641E2"/>
    <w:rsid w:val="00C75C44"/>
    <w:rsid w:val="00D170EE"/>
    <w:rsid w:val="00D82ACE"/>
    <w:rsid w:val="00DA5B0D"/>
    <w:rsid w:val="00DB4961"/>
    <w:rsid w:val="00DB7521"/>
    <w:rsid w:val="00E71219"/>
    <w:rsid w:val="00EC3669"/>
    <w:rsid w:val="00EE496B"/>
    <w:rsid w:val="00EF53BB"/>
    <w:rsid w:val="00EF69BD"/>
    <w:rsid w:val="00F36B64"/>
    <w:rsid w:val="00F37304"/>
    <w:rsid w:val="00F42818"/>
    <w:rsid w:val="00F5722F"/>
    <w:rsid w:val="00F7412C"/>
    <w:rsid w:val="00FB0ECB"/>
    <w:rsid w:val="00FD5AA4"/>
    <w:rsid w:val="068C115E"/>
    <w:rsid w:val="0BB64094"/>
    <w:rsid w:val="1A11228E"/>
    <w:rsid w:val="1ECF2212"/>
    <w:rsid w:val="2F1959F0"/>
    <w:rsid w:val="32D80B04"/>
    <w:rsid w:val="346E6803"/>
    <w:rsid w:val="435C1F1C"/>
    <w:rsid w:val="4F263318"/>
    <w:rsid w:val="6E1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005正文"/>
    <w:qFormat/>
    <w:uiPriority w:val="0"/>
    <w:pPr>
      <w:widowControl w:val="0"/>
      <w:spacing w:before="50" w:before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1643</Words>
  <Characters>1721</Characters>
  <Lines>14</Lines>
  <Paragraphs>3</Paragraphs>
  <TotalTime>4</TotalTime>
  <ScaleCrop>false</ScaleCrop>
  <LinksUpToDate>false</LinksUpToDate>
  <CharactersWithSpaces>1872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2023-09-06T07:12:00Z</dcterms:created>
  <dc:creator>李 霞</dc:creator>
  <cp:lastModifiedBy>因果</cp:lastModifiedBy>
  <dcterms:modified xsi:type="dcterms:W3CDTF">2024-09-03T07:18:23Z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A49ABB285EE247C598FC82A3174110A1_12</vt:lpwstr>
  </property>
</Properties>
</file>