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06</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FE"/>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半年报线上交流会</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500" w:lineRule="exact"/>
              <w:rPr>
                <w:rFonts w:hint="default" w:ascii="宋体" w:hAnsi="宋体" w:eastAsia="宋体" w:cs="微软雅黑"/>
                <w:sz w:val="24"/>
                <w:shd w:val="clear" w:color="auto" w:fill="FFFFFF"/>
                <w:lang w:val="en-US" w:eastAsia="zh-CN"/>
              </w:rPr>
            </w:pPr>
            <w:r>
              <w:rPr>
                <w:rFonts w:hint="default" w:ascii="宋体" w:hAnsi="宋体" w:eastAsia="宋体" w:cs="微软雅黑"/>
                <w:sz w:val="24"/>
                <w:shd w:val="clear" w:color="auto" w:fill="FFFFFF"/>
                <w:lang w:val="en-US" w:eastAsia="zh-CN"/>
              </w:rPr>
              <w:t>华夏基金、创金合信、中华保险、嘉实基金、博道基金、龙航资产、北京金百镕投资、朱雀基金、信达证券、天风医药、国盛证券、财通医药、</w:t>
            </w:r>
            <w:r>
              <w:rPr>
                <w:rFonts w:hint="eastAsia" w:ascii="宋体" w:hAnsi="宋体" w:cs="微软雅黑"/>
                <w:sz w:val="24"/>
                <w:shd w:val="clear" w:color="auto" w:fill="FFFFFF"/>
                <w:lang w:val="en-US" w:eastAsia="zh-CN"/>
              </w:rPr>
              <w:t>东方证券</w:t>
            </w:r>
            <w:r>
              <w:rPr>
                <w:rFonts w:hint="default" w:ascii="宋体" w:hAnsi="宋体" w:eastAsia="宋体" w:cs="微软雅黑"/>
                <w:sz w:val="24"/>
                <w:shd w:val="clear" w:color="auto" w:fill="FFFFFF"/>
                <w:lang w:val="en-US" w:eastAsia="zh-CN"/>
              </w:rPr>
              <w:t>资管、利安人寿、方正医药、大成基金、华安基金、富安达基金、华宝基金、拾萃资本、</w:t>
            </w:r>
            <w:r>
              <w:rPr>
                <w:rFonts w:hint="default" w:ascii="宋体" w:hAnsi="宋体" w:eastAsia="宋体" w:cs="微软雅黑"/>
                <w:color w:val="000000" w:themeColor="text1"/>
                <w:sz w:val="24"/>
                <w:shd w:val="clear" w:color="auto" w:fill="FFFFFF"/>
                <w:lang w:val="en-US" w:eastAsia="zh-CN"/>
                <w14:textFill>
                  <w14:solidFill>
                    <w14:schemeClr w14:val="tx1"/>
                  </w14:solidFill>
                </w14:textFill>
              </w:rPr>
              <w:t>湖南财信</w:t>
            </w:r>
            <w:r>
              <w:rPr>
                <w:rFonts w:hint="default" w:ascii="宋体" w:hAnsi="宋体" w:eastAsia="宋体" w:cs="微软雅黑"/>
                <w:sz w:val="24"/>
                <w:shd w:val="clear" w:color="auto" w:fill="FFFFFF"/>
                <w:lang w:val="en-US" w:eastAsia="zh-CN"/>
              </w:rPr>
              <w:t>、度势投资、诺德基金、</w:t>
            </w:r>
            <w:r>
              <w:rPr>
                <w:rFonts w:hint="eastAsia" w:ascii="宋体" w:hAnsi="宋体" w:cs="微软雅黑"/>
                <w:sz w:val="24"/>
                <w:shd w:val="clear" w:color="auto" w:fill="FFFFFF"/>
                <w:lang w:val="en-US" w:eastAsia="zh-CN"/>
              </w:rPr>
              <w:t>国海证券、</w:t>
            </w:r>
            <w:r>
              <w:rPr>
                <w:rFonts w:hint="default" w:ascii="宋体" w:hAnsi="宋体" w:eastAsia="宋体" w:cs="微软雅黑"/>
                <w:sz w:val="24"/>
                <w:shd w:val="clear" w:color="auto" w:fill="FFFFFF"/>
                <w:lang w:val="en-US" w:eastAsia="zh-CN"/>
              </w:rPr>
              <w:t>鹤禧投资、金元顺安基金、长城财富资管、正德泰投资、沣京资本、国联证券、紫阁投资、华安证券、中信证券、青榕投资、鑫元基金、普莱德、中邮证券、浙商证券、中金公司、申万宏源、开源证券、中信建投证券、中英人寿、碧云资本Greencourt、锐智资本、国信证券、中融汇信、长江证券、东北证券、BlackRock Asset Management、易鑫安投研、海南希瓦、光大证券、</w:t>
            </w:r>
            <w:r>
              <w:rPr>
                <w:rFonts w:hint="default" w:ascii="宋体" w:hAnsi="宋体" w:eastAsia="宋体" w:cs="微软雅黑"/>
                <w:sz w:val="24"/>
                <w:highlight w:val="none"/>
                <w:shd w:val="clear" w:color="auto" w:fill="FFFFFF"/>
                <w:lang w:val="en-US" w:eastAsia="zh-CN"/>
              </w:rPr>
              <w:t>海南钰泰私募</w:t>
            </w:r>
            <w:r>
              <w:rPr>
                <w:rFonts w:hint="default" w:ascii="宋体" w:hAnsi="宋体" w:eastAsia="宋体" w:cs="微软雅黑"/>
                <w:sz w:val="24"/>
                <w:shd w:val="clear" w:color="auto" w:fill="FFFFFF"/>
                <w:lang w:val="en-US" w:eastAsia="zh-CN"/>
              </w:rPr>
              <w:t>、进门财经、上海理成资产、山西证券、东方证券、慎知资产、呈瑞投资、民生证券、上银基金、和君资本、长安基金、</w:t>
            </w:r>
            <w:r>
              <w:rPr>
                <w:rFonts w:hint="default" w:ascii="宋体" w:hAnsi="宋体" w:eastAsia="宋体" w:cs="微软雅黑"/>
                <w:color w:val="000000" w:themeColor="text1"/>
                <w:sz w:val="24"/>
                <w:shd w:val="clear" w:color="auto" w:fill="FFFFFF"/>
                <w:lang w:val="en-US" w:eastAsia="zh-CN"/>
                <w14:textFill>
                  <w14:solidFill>
                    <w14:schemeClr w14:val="tx1"/>
                  </w14:solidFill>
                </w14:textFill>
              </w:rPr>
              <w:t>华能贵诚</w:t>
            </w:r>
            <w:r>
              <w:rPr>
                <w:rFonts w:hint="default" w:ascii="宋体" w:hAnsi="宋体" w:eastAsia="宋体" w:cs="微软雅黑"/>
                <w:sz w:val="24"/>
                <w:shd w:val="clear" w:color="auto" w:fill="FFFFFF"/>
                <w:lang w:val="en-US" w:eastAsia="zh-CN"/>
              </w:rPr>
              <w:t>、中信建投经管、东吴证券、银河基金、方物私募、信达医药、上海贵源投资、广发证券、海通</w:t>
            </w:r>
            <w:r>
              <w:rPr>
                <w:rFonts w:hint="eastAsia" w:ascii="宋体" w:hAnsi="宋体" w:cs="微软雅黑"/>
                <w:sz w:val="24"/>
                <w:shd w:val="clear" w:color="auto" w:fill="FFFFFF"/>
                <w:lang w:val="en-US" w:eastAsia="zh-CN"/>
              </w:rPr>
              <w:t>证券</w:t>
            </w:r>
            <w:r>
              <w:rPr>
                <w:rFonts w:hint="default" w:ascii="宋体" w:hAnsi="宋体" w:eastAsia="宋体" w:cs="微软雅黑"/>
                <w:sz w:val="24"/>
                <w:shd w:val="clear" w:color="auto" w:fill="FFFFFF"/>
                <w:lang w:val="en-US" w:eastAsia="zh-CN"/>
              </w:rPr>
              <w:t>、深圳度量资本、亚太保险、中金医药、中国健康基金、国君医药、兴业证券、中意资产、东方资产、兴合基金</w:t>
            </w:r>
            <w:r>
              <w:rPr>
                <w:rFonts w:hint="eastAsia" w:ascii="宋体" w:hAnsi="宋体" w:cs="微软雅黑"/>
                <w:sz w:val="24"/>
                <w:shd w:val="clear" w:color="auto" w:fill="FFFFFF"/>
                <w:lang w:val="en-US" w:eastAsia="zh-CN"/>
              </w:rPr>
              <w:t>。</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widowControl/>
              <w:spacing w:line="360" w:lineRule="auto"/>
              <w:textAlignment w:val="baseline"/>
              <w:rPr>
                <w:rFonts w:hint="eastAsia" w:ascii="宋体" w:hAnsi="宋体" w:eastAsia="宋体" w:cs="微软雅黑"/>
                <w:color w:val="auto"/>
                <w:sz w:val="24"/>
                <w:shd w:val="clear" w:color="auto" w:fill="FFFFFF"/>
                <w:lang w:val="en-US" w:eastAsia="zh-CN"/>
              </w:rPr>
            </w:pP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8</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29日-30</w:t>
            </w:r>
            <w:r>
              <w:rPr>
                <w:rFonts w:hint="eastAsia" w:ascii="宋体" w:hAnsi="宋体" w:eastAsia="宋体" w:cs="微软雅黑"/>
                <w:color w:val="auto"/>
                <w:sz w:val="24"/>
                <w:shd w:val="clear" w:color="auto" w:fill="FFFFFF"/>
                <w:lang w:val="en-US" w:eastAsia="zh-CN"/>
              </w:rPr>
              <w:t>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微软雅黑"/>
                <w:color w:val="auto"/>
                <w:sz w:val="24"/>
                <w:shd w:val="clear" w:color="auto" w:fill="FFFFFF"/>
                <w:lang w:val="en-US" w:eastAsia="zh-CN"/>
              </w:rPr>
              <w:t>线上交流、北京中国大饭店</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057086B7">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556701A0">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董事、副总经理、董事会秘书：郭军玲</w:t>
            </w:r>
          </w:p>
          <w:p w14:paraId="60DB161F">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14:paraId="0B0AADAD">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134E2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lang w:val="en-US" w:eastAsia="zh-CN"/>
              </w:rPr>
            </w:pPr>
            <w:r>
              <w:rPr>
                <w:rFonts w:hint="eastAsia"/>
                <w:b/>
                <w:bCs/>
                <w:sz w:val="24"/>
                <w:lang w:val="en-US" w:eastAsia="zh-CN"/>
              </w:rPr>
              <w:t>一、公司2024年上半年经营概况</w:t>
            </w:r>
          </w:p>
          <w:p w14:paraId="07E80DF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2024年是机遇与挑战并存的一年，面对复杂的市场环境和多重冲击，公司仍然保持了营收的正增长，上半年实现营业收入3.38亿元，同比增长0.93%；公司毛利率为68.22%，较去年同期稳中有升。与此同时，公司持续加大研发、营销体系建设以及管理人员储备，研发投入超0.65亿元，占营业收入的比例达19.44%，研发人员及营销人员分别增加百余人，净利润增长短期承压。</w:t>
            </w:r>
          </w:p>
          <w:p w14:paraId="2BEA547A">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高投入”展示了公司对技术创新、产品力提升的坚持与追求，虽然短期影响公司净利润表现，但持续助力公司取得丰硕成果。报告期内，公司新增专利199项，累计获得1,702项，其中新增发明专利52项，远超去年全年的32项，有效发明专利突破百项；新增核心技术8项；新增II类注册证6项、累计324项。</w:t>
            </w:r>
          </w:p>
          <w:p w14:paraId="2E6D51DB">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同时，公司产品体系得到不断丰富，半年报披露的新产品及在研项目涉及的新产品中，不少产品被市场广泛关注，如AI理疗机器人、微高压氧舱、康复机器人系列、呼吸训练低频电治疗仪及精神心理类、脑机接口产品等。长远来看，持续丰富的产品体系将为公司带来更多创新与竞争优势。</w:t>
            </w:r>
            <w:r>
              <w:rPr>
                <w:rFonts w:hint="eastAsia" w:ascii="宋体" w:hAnsi="宋体" w:eastAsia="宋体" w:cs="宋体"/>
                <w:sz w:val="24"/>
                <w:highlight w:val="none"/>
                <w:lang w:val="en-US" w:eastAsia="zh-CN"/>
              </w:rPr>
              <w:br w:type="textWrapping"/>
            </w:r>
            <w:r>
              <w:rPr>
                <w:rFonts w:hint="eastAsia" w:ascii="宋体" w:hAnsi="宋体" w:eastAsia="宋体" w:cs="宋体"/>
                <w:sz w:val="24"/>
                <w:highlight w:val="none"/>
                <w:lang w:val="en-US" w:eastAsia="zh-CN"/>
              </w:rPr>
              <w:t xml:space="preserve">    展望未来，公司将积极应对挑战，坚定布局全院临床康复一体化，同时拥抱变化，加快出海进程，加大居家康复、养老市场等布局，以开放的姿态与行业优秀代表开展多渠道合作。长坡厚雪，康复赛道值得我们共同期待！</w:t>
            </w:r>
          </w:p>
          <w:p w14:paraId="3B0DA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lang w:val="en-US" w:eastAsia="zh-CN"/>
              </w:rPr>
            </w:pPr>
            <w:r>
              <w:rPr>
                <w:rFonts w:hint="eastAsia"/>
                <w:b/>
                <w:bCs/>
                <w:sz w:val="24"/>
                <w:lang w:val="en-US" w:eastAsia="zh-CN"/>
              </w:rPr>
              <w:t>二、互动问答</w:t>
            </w:r>
          </w:p>
          <w:p w14:paraId="656E0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lang w:val="en-US" w:eastAsia="zh-CN"/>
              </w:rPr>
              <w:t>1、公司上半年各项费用增幅较大，净利润、现金流均大幅下滑，请问什么原因？公司发展战略和业务布局是否有大的变化？</w:t>
            </w:r>
          </w:p>
          <w:p w14:paraId="4EF2B037">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面对复杂的市场环境，公司在保持营收正增长的同时，毛利率稳中有升；净利润下滑主要系报告期内公司持续加大研发和销售活动投入，研发费用、销售费用上升等因素所致；经营活动产生的现金流量净额下滑主要系报告期内购买商品接受劳务支付的现金、支付的职工薪酬和付现费用的增加，以及收到的其他与经营活动有关的现金减少所致。</w:t>
            </w:r>
          </w:p>
          <w:p w14:paraId="4C1E70B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公司的战略布局始终围绕以下两大方向：（1）院内市场，将坚定不移推行“全院临床康复一体化解决方案”，在优势领域精耕细作，针对二、三级公立医院这一高占比的最优客群，转变传统营销思路，紧跟国家政策、敏锐发掘临床需求，通过产学研转化、临床转化、技术委托、并购投资等方式迅速实现产品转化，推动产品结构的不断优化、产品竞争力的不断提升，进而提升赢单率与经营业绩。（2）院外市场，加快布局出海、居家TOC、社区、电商、银发产业等板块，打造贯穿康复产业上、中、下游的“康养全生态产业链”，形成第二增长曲线。</w:t>
            </w:r>
          </w:p>
          <w:p w14:paraId="48CAF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val="0"/>
                <w:bCs w:val="0"/>
                <w:sz w:val="24"/>
                <w:szCs w:val="24"/>
                <w:lang w:val="en-US" w:eastAsia="zh-CN"/>
              </w:rPr>
            </w:pPr>
            <w:r>
              <w:rPr>
                <w:rFonts w:hint="eastAsia"/>
                <w:b/>
                <w:bCs/>
                <w:sz w:val="24"/>
                <w:lang w:val="en-US" w:eastAsia="zh-CN"/>
              </w:rPr>
              <w:t>2、公司</w:t>
            </w:r>
            <w:r>
              <w:rPr>
                <w:rFonts w:hint="eastAsia"/>
                <w:b/>
                <w:bCs/>
                <w:sz w:val="24"/>
                <w:szCs w:val="24"/>
              </w:rPr>
              <w:t>在脑机接口领域的规划和未来预期？有没有近阶段脑机相关产品拿证发布计划？</w:t>
            </w:r>
          </w:p>
          <w:p w14:paraId="59F2AADB">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公司在脑机接口领域布局较早，目前仍以非侵入式为主，已申报了众多专利，且已有专利获得授权，各项工作正在有序推进：1、产品：脑电采集装置、针对新生儿脑监测、大脑注意力问题、焦虑、抑郁及情绪控制等问题，形成脑功能诊疗一体的解决方案，产品已进入注册检测阶段，预计明年上半年开始陆续取证。2、自主技术及人才：引入国内精神心理领域知名专家，吸纳掌握脑机接口技术的资深技术人员，加速公司多通道的脑电信息采集装置的取证速度及自研产品上市进程。</w:t>
            </w:r>
          </w:p>
          <w:p w14:paraId="6E098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3、请公司介绍一下出海业务的进展、出口产品的利润水平如何？</w:t>
            </w:r>
          </w:p>
          <w:p w14:paraId="3E0D9B0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公司出海业务仍聚焦一带一路沿线国家和地区，各项工作按计划顺利推进。截至目前，在欧盟CE认证方面，技术文档审评工作稳步推进，预计明年上半年首批4款产品能够取证；下一批次的产品正在准备技术文档；在多国注册方面，今年4月底已有9款产品获得乌兹别克斯坦注册证书，7月初新增1款产品获得印度尼西亚注册证书；另有多款产品正在注册中。因公司出海业务营收基数较低，今年上半年已翻倍增长，预期未来两三年会有不错的表现。</w:t>
            </w:r>
          </w:p>
          <w:p w14:paraId="72B0D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4、看到公司半年报中提到了检验检测实验室，请公司领导解释一下其功能、定位和对公司业务发展起到的作用？</w:t>
            </w:r>
          </w:p>
          <w:p w14:paraId="36F83B5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公司的检验检测中心实验室系公司为保证产品取证及技术创新迭代的效率，并最大限度降低产品质量风险，加速产品上市进程而成立的，目前下设电气安全试验室、机械环境试验室、气候环境试验室、电磁兼容试验室等，可提供包括产品功能检测、性能检测、电气安全检测、电磁兼容检测、气候环境检测、机械环境检测及医用软件检测等700多项检测服务，目前该检测实验室正在申办CNAS、CMA认证，未来可以为康复行业内中小企业有偿提供全流程检验检测服务。</w:t>
            </w:r>
          </w:p>
          <w:p w14:paraId="2644C7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5、</w:t>
            </w:r>
            <w:r>
              <w:rPr>
                <w:rFonts w:hint="eastAsia"/>
                <w:b/>
                <w:bCs/>
                <w:sz w:val="24"/>
                <w:szCs w:val="24"/>
              </w:rPr>
              <w:t>请公司拆分一下院内和院外收入，及TOC端收入？</w:t>
            </w:r>
          </w:p>
          <w:p w14:paraId="557AD1D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答：1、院内市场依然是公司的基本盘，但院内客群结构今年发生了一定变化，二甲依然是主力客群，占院内市场超三成，民营医院</w:t>
            </w:r>
            <w:r>
              <w:rPr>
                <w:rFonts w:hint="eastAsia" w:ascii="宋体" w:hAnsi="宋体" w:cs="宋体"/>
                <w:sz w:val="24"/>
                <w:highlight w:val="none"/>
                <w:lang w:val="en-US" w:eastAsia="zh-CN"/>
              </w:rPr>
              <w:t>及社区卫生服务中心</w:t>
            </w:r>
            <w:r>
              <w:rPr>
                <w:rFonts w:hint="eastAsia" w:ascii="宋体" w:hAnsi="宋体" w:eastAsia="宋体" w:cs="宋体"/>
                <w:sz w:val="24"/>
                <w:highlight w:val="none"/>
                <w:lang w:val="en-US" w:eastAsia="zh-CN"/>
              </w:rPr>
              <w:t>占比有所提升。2、院外市场：出海、TOC</w:t>
            </w:r>
            <w:r>
              <w:rPr>
                <w:rFonts w:hint="eastAsia" w:ascii="宋体" w:hAnsi="宋体" w:cs="宋体"/>
                <w:sz w:val="24"/>
                <w:highlight w:val="none"/>
                <w:lang w:val="en-US" w:eastAsia="zh-CN"/>
              </w:rPr>
              <w:t>及</w:t>
            </w:r>
            <w:r>
              <w:rPr>
                <w:rFonts w:hint="eastAsia" w:ascii="宋体" w:hAnsi="宋体" w:eastAsia="宋体" w:cs="宋体"/>
                <w:sz w:val="24"/>
                <w:highlight w:val="none"/>
                <w:lang w:val="en-US" w:eastAsia="zh-CN"/>
              </w:rPr>
              <w:t>军队训练伤三大板块均有较大幅度增长，TOC端正在加速推进，已储备数十款型号，将结合市场调研分析，适时推向市场。</w:t>
            </w:r>
          </w:p>
          <w:p w14:paraId="5DDA95DD">
            <w:pPr>
              <w:spacing w:line="360" w:lineRule="auto"/>
              <w:ind w:firstLine="482" w:firstLineChars="200"/>
              <w:rPr>
                <w:rFonts w:hint="eastAsia" w:ascii="宋体" w:hAnsi="宋体" w:eastAsia="宋体" w:cs="宋体"/>
                <w:sz w:val="24"/>
                <w:highlight w:val="none"/>
                <w:lang w:val="en-US" w:eastAsia="zh-CN"/>
              </w:rPr>
            </w:pPr>
            <w:r>
              <w:rPr>
                <w:rFonts w:hint="eastAsia"/>
                <w:b/>
                <w:bCs/>
                <w:sz w:val="24"/>
                <w:szCs w:val="24"/>
                <w:lang w:val="en-US" w:eastAsia="zh-CN"/>
              </w:rPr>
              <w:t>6、</w:t>
            </w:r>
            <w:r>
              <w:rPr>
                <w:rFonts w:hint="eastAsia"/>
                <w:b/>
                <w:bCs/>
                <w:sz w:val="24"/>
                <w:szCs w:val="24"/>
              </w:rPr>
              <w:t>上半年有不少专利申报和研发立项，全年研发费用率预期以及新产品推出方面有哪些重要进展？</w:t>
            </w:r>
            <w:r>
              <w:rPr>
                <w:rFonts w:hint="eastAsia"/>
                <w:b/>
                <w:bCs/>
                <w:sz w:val="24"/>
                <w:szCs w:val="24"/>
              </w:rPr>
              <w:br w:type="textWrapping"/>
            </w:r>
            <w:r>
              <w:rPr>
                <w:rFonts w:hint="eastAsia"/>
                <w:b/>
                <w:bCs/>
                <w:sz w:val="24"/>
                <w:szCs w:val="24"/>
                <w:lang w:val="en-US" w:eastAsia="zh-CN"/>
              </w:rPr>
              <w:t xml:space="preserve">    </w:t>
            </w:r>
            <w:r>
              <w:rPr>
                <w:rFonts w:hint="eastAsia" w:ascii="宋体" w:hAnsi="宋体" w:eastAsia="宋体" w:cs="宋体"/>
                <w:sz w:val="24"/>
                <w:highlight w:val="none"/>
                <w:lang w:val="en-US" w:eastAsia="zh-CN"/>
              </w:rPr>
              <w:t>答：为保持公司在康复行业中的技术领先地位，公司在总部、郑州、天津、南京、成都、深圳、上海、杭州、西安等地设立了研发中心，引进各地高端康复技术人才，报告期内均已陆续启用。</w:t>
            </w:r>
          </w:p>
          <w:p w14:paraId="768BDC3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上半年，除新增专利、注册证等成果外，公司陆续推出红外热辐射治疗仪、定向透药治疗仪、超声电导定向透药仪等全新产品和产品组合。目前在研项目涵盖了多个前沿领域，如畅销单品压电式冲击波的技术迭代项目、医疗信息化相关的失能老人云平台及县乡村一体化云平台项目、智能养老照护关键技术、上下肢康复机器人项目、脑机接口领域的脑电采集分析及设备驱动项目</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适用于民用产康美容美体市场的低频产康产品</w:t>
            </w:r>
            <w:r>
              <w:rPr>
                <w:rFonts w:hint="eastAsia" w:ascii="宋体" w:hAnsi="宋体" w:cs="宋体"/>
                <w:sz w:val="24"/>
                <w:highlight w:val="none"/>
                <w:lang w:val="en-US" w:eastAsia="zh-CN"/>
              </w:rPr>
              <w:t>以及</w:t>
            </w:r>
            <w:r>
              <w:rPr>
                <w:rFonts w:hint="eastAsia" w:ascii="宋体" w:hAnsi="宋体" w:eastAsia="宋体" w:cs="宋体"/>
                <w:sz w:val="24"/>
                <w:highlight w:val="none"/>
                <w:lang w:val="en-US" w:eastAsia="zh-CN"/>
              </w:rPr>
              <w:t>针对军队训练伤、柔性牵引、康复工程、中医养生、居家、电商等方向的在研项目，均有实质性突破。公司将持续加大研发投入、高端人才引进，聚焦产品力提升，助力公司业绩稳中提升。</w:t>
            </w:r>
          </w:p>
          <w:p w14:paraId="56CF3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7、</w:t>
            </w:r>
            <w:r>
              <w:rPr>
                <w:rFonts w:hint="eastAsia"/>
                <w:b/>
                <w:bCs/>
                <w:sz w:val="24"/>
                <w:szCs w:val="24"/>
              </w:rPr>
              <w:t>近期市场需求有什么变化，设备以旧换新对咱们是否有一定帮助</w:t>
            </w:r>
            <w:r>
              <w:rPr>
                <w:rFonts w:hint="eastAsia"/>
                <w:b/>
                <w:bCs/>
                <w:sz w:val="24"/>
                <w:szCs w:val="24"/>
                <w:lang w:eastAsia="zh-CN"/>
              </w:rPr>
              <w:t>？</w:t>
            </w:r>
          </w:p>
          <w:p w14:paraId="5DB54F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highlight w:val="none"/>
                <w:lang w:val="en-US" w:eastAsia="zh-CN"/>
              </w:rPr>
              <w:t>答：设备更新是市场最为关注的政策之一</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近期新疆、安徽等地陆续公布县域医共体设备以旧换新采购需求的征集公告</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2016年-2018年是二级以上医院设立康复科、采购康复医疗器械规模较大的几年，此期间医疗机构采购的设备基本已达平均6-8年的使用寿命</w:t>
            </w:r>
            <w:r>
              <w:rPr>
                <w:rFonts w:hint="eastAsia" w:ascii="宋体" w:hAnsi="宋体" w:cs="宋体"/>
                <w:sz w:val="24"/>
                <w:highlight w:val="none"/>
                <w:lang w:val="en-US" w:eastAsia="zh-CN"/>
              </w:rPr>
              <w:t>。</w:t>
            </w:r>
            <w:bookmarkStart w:id="0" w:name="_GoBack"/>
            <w:bookmarkEnd w:id="0"/>
            <w:r>
              <w:rPr>
                <w:rFonts w:hint="eastAsia" w:ascii="宋体" w:hAnsi="宋体" w:eastAsia="宋体" w:cs="宋体"/>
                <w:sz w:val="24"/>
                <w:highlight w:val="none"/>
                <w:lang w:val="en-US" w:eastAsia="zh-CN"/>
              </w:rPr>
              <w:t>公司作为专注且深耕大康复全赛道的企业，已推出“以旧换新”方案，还将继续深入研究国家政策，及时响应有关部门的号召，并积极把握该市场机遇。</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56" w:type="pct"/>
            <w:vAlign w:val="center"/>
          </w:tcPr>
          <w:p w14:paraId="583E074C">
            <w:pPr>
              <w:spacing w:line="360" w:lineRule="auto"/>
              <w:jc w:val="center"/>
              <w:textAlignment w:val="baseline"/>
              <w:rPr>
                <w:rFonts w:ascii="宋体" w:hAnsi="宋体" w:cs="宋体"/>
                <w:sz w:val="24"/>
              </w:rPr>
            </w:pPr>
            <w:r>
              <w:rPr>
                <w:rFonts w:hint="eastAsia" w:ascii="宋体" w:hAnsi="宋体" w:cs="宋体"/>
                <w:sz w:val="24"/>
              </w:rPr>
              <w:t>附件清单（如有）</w:t>
            </w:r>
          </w:p>
        </w:tc>
        <w:tc>
          <w:tcPr>
            <w:tcW w:w="4143" w:type="pct"/>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rPr>
              <w:t>无</w:t>
            </w:r>
          </w:p>
        </w:tc>
      </w:tr>
    </w:tbl>
    <w:p w14:paraId="52BEB81D">
      <w:pPr>
        <w:textAlignment w:val="baseline"/>
        <w:rPr>
          <w:sz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870265"/>
    <w:rsid w:val="01A26920"/>
    <w:rsid w:val="0216715F"/>
    <w:rsid w:val="02691984"/>
    <w:rsid w:val="02CD49E7"/>
    <w:rsid w:val="033B559F"/>
    <w:rsid w:val="03575C81"/>
    <w:rsid w:val="036439CE"/>
    <w:rsid w:val="03C81CAD"/>
    <w:rsid w:val="041D6583"/>
    <w:rsid w:val="04277401"/>
    <w:rsid w:val="045F053F"/>
    <w:rsid w:val="04637F7B"/>
    <w:rsid w:val="046B00D8"/>
    <w:rsid w:val="049D5915"/>
    <w:rsid w:val="04BE1293"/>
    <w:rsid w:val="04BF220D"/>
    <w:rsid w:val="04D72AF2"/>
    <w:rsid w:val="04E64653"/>
    <w:rsid w:val="050339CA"/>
    <w:rsid w:val="0518526D"/>
    <w:rsid w:val="055661F0"/>
    <w:rsid w:val="055E570F"/>
    <w:rsid w:val="062E0EE8"/>
    <w:rsid w:val="068224FD"/>
    <w:rsid w:val="06C13B3D"/>
    <w:rsid w:val="072721A9"/>
    <w:rsid w:val="07574EF8"/>
    <w:rsid w:val="080428EA"/>
    <w:rsid w:val="08716E9D"/>
    <w:rsid w:val="08F5760F"/>
    <w:rsid w:val="090B4D2E"/>
    <w:rsid w:val="09357AE4"/>
    <w:rsid w:val="0972111F"/>
    <w:rsid w:val="099159BD"/>
    <w:rsid w:val="09C56BAD"/>
    <w:rsid w:val="09E55D95"/>
    <w:rsid w:val="09E85EF0"/>
    <w:rsid w:val="0A005A20"/>
    <w:rsid w:val="0A1E12A6"/>
    <w:rsid w:val="0A290C66"/>
    <w:rsid w:val="0A430D0D"/>
    <w:rsid w:val="0A5B1BB3"/>
    <w:rsid w:val="0AAF62C1"/>
    <w:rsid w:val="0ACA5492"/>
    <w:rsid w:val="0AF344E1"/>
    <w:rsid w:val="0B19118C"/>
    <w:rsid w:val="0B377B97"/>
    <w:rsid w:val="0B731780"/>
    <w:rsid w:val="0B770C6E"/>
    <w:rsid w:val="0BEB51B8"/>
    <w:rsid w:val="0C060244"/>
    <w:rsid w:val="0C4E121F"/>
    <w:rsid w:val="0C5F0ACF"/>
    <w:rsid w:val="0C8841C3"/>
    <w:rsid w:val="0CB7144A"/>
    <w:rsid w:val="0D38267F"/>
    <w:rsid w:val="0DAC5CEB"/>
    <w:rsid w:val="0DE7790B"/>
    <w:rsid w:val="0DEE30B8"/>
    <w:rsid w:val="0EE9136F"/>
    <w:rsid w:val="0EED1247"/>
    <w:rsid w:val="0EFA57E8"/>
    <w:rsid w:val="0F227143"/>
    <w:rsid w:val="0F3A71A4"/>
    <w:rsid w:val="0F4378A5"/>
    <w:rsid w:val="0FBF2BE4"/>
    <w:rsid w:val="0FC14074"/>
    <w:rsid w:val="10615A49"/>
    <w:rsid w:val="1077526D"/>
    <w:rsid w:val="10A87B1C"/>
    <w:rsid w:val="10CA5CE4"/>
    <w:rsid w:val="10DF5FFA"/>
    <w:rsid w:val="114E06C3"/>
    <w:rsid w:val="116A4DD1"/>
    <w:rsid w:val="124F22DB"/>
    <w:rsid w:val="12AD766B"/>
    <w:rsid w:val="12C56763"/>
    <w:rsid w:val="12DD62D4"/>
    <w:rsid w:val="12E34E3B"/>
    <w:rsid w:val="12F64B6E"/>
    <w:rsid w:val="133D454B"/>
    <w:rsid w:val="13DC2025"/>
    <w:rsid w:val="13F714E7"/>
    <w:rsid w:val="14011A1D"/>
    <w:rsid w:val="14C211B5"/>
    <w:rsid w:val="14CA2EEF"/>
    <w:rsid w:val="151612A0"/>
    <w:rsid w:val="151632A6"/>
    <w:rsid w:val="15264B7B"/>
    <w:rsid w:val="154E494C"/>
    <w:rsid w:val="158226E9"/>
    <w:rsid w:val="159468C1"/>
    <w:rsid w:val="15D64855"/>
    <w:rsid w:val="16806E4B"/>
    <w:rsid w:val="16981584"/>
    <w:rsid w:val="16DA6555"/>
    <w:rsid w:val="16DE7B60"/>
    <w:rsid w:val="16F001A5"/>
    <w:rsid w:val="170830C2"/>
    <w:rsid w:val="171657DF"/>
    <w:rsid w:val="17306175"/>
    <w:rsid w:val="174340FA"/>
    <w:rsid w:val="174A2515"/>
    <w:rsid w:val="177B4D4E"/>
    <w:rsid w:val="178A7F7B"/>
    <w:rsid w:val="186500A0"/>
    <w:rsid w:val="18FF22A3"/>
    <w:rsid w:val="192F2B88"/>
    <w:rsid w:val="197113F3"/>
    <w:rsid w:val="19721FA4"/>
    <w:rsid w:val="19E660B9"/>
    <w:rsid w:val="1A1558FF"/>
    <w:rsid w:val="1A226249"/>
    <w:rsid w:val="1A2B77F4"/>
    <w:rsid w:val="1A2C531A"/>
    <w:rsid w:val="1A311D2E"/>
    <w:rsid w:val="1A403AC3"/>
    <w:rsid w:val="1AA650CC"/>
    <w:rsid w:val="1B216501"/>
    <w:rsid w:val="1B324BB2"/>
    <w:rsid w:val="1B593C49"/>
    <w:rsid w:val="1BA86C22"/>
    <w:rsid w:val="1C6074FD"/>
    <w:rsid w:val="1C705992"/>
    <w:rsid w:val="1C7555A5"/>
    <w:rsid w:val="1C794E17"/>
    <w:rsid w:val="1CC0489D"/>
    <w:rsid w:val="1CC740CD"/>
    <w:rsid w:val="1CF6536C"/>
    <w:rsid w:val="1CFF0FE4"/>
    <w:rsid w:val="1D3369BF"/>
    <w:rsid w:val="1D434E54"/>
    <w:rsid w:val="1D4D7A81"/>
    <w:rsid w:val="1D641DA6"/>
    <w:rsid w:val="1E552791"/>
    <w:rsid w:val="1E636E30"/>
    <w:rsid w:val="1EAB40D4"/>
    <w:rsid w:val="1F8C5A11"/>
    <w:rsid w:val="1F9A0F77"/>
    <w:rsid w:val="1FA2783D"/>
    <w:rsid w:val="20733DD8"/>
    <w:rsid w:val="20AE4CDA"/>
    <w:rsid w:val="21BE0F4D"/>
    <w:rsid w:val="21DF2A1E"/>
    <w:rsid w:val="225B2C40"/>
    <w:rsid w:val="22743BFB"/>
    <w:rsid w:val="22E5075C"/>
    <w:rsid w:val="22F32E79"/>
    <w:rsid w:val="23A674E7"/>
    <w:rsid w:val="23F30C56"/>
    <w:rsid w:val="241B58CB"/>
    <w:rsid w:val="2432352D"/>
    <w:rsid w:val="24A843FE"/>
    <w:rsid w:val="24B9191D"/>
    <w:rsid w:val="24EA0140"/>
    <w:rsid w:val="24EC4023"/>
    <w:rsid w:val="25125E18"/>
    <w:rsid w:val="25221195"/>
    <w:rsid w:val="252B4B4C"/>
    <w:rsid w:val="2530083E"/>
    <w:rsid w:val="258473A0"/>
    <w:rsid w:val="25A93CC2"/>
    <w:rsid w:val="25AD37B3"/>
    <w:rsid w:val="25AE6362"/>
    <w:rsid w:val="25AE752B"/>
    <w:rsid w:val="26103D41"/>
    <w:rsid w:val="262D66A1"/>
    <w:rsid w:val="26377A39"/>
    <w:rsid w:val="26527412"/>
    <w:rsid w:val="268D3829"/>
    <w:rsid w:val="26B469DD"/>
    <w:rsid w:val="26EE4F80"/>
    <w:rsid w:val="270519ED"/>
    <w:rsid w:val="27473D41"/>
    <w:rsid w:val="27AE4545"/>
    <w:rsid w:val="28137B19"/>
    <w:rsid w:val="2835183D"/>
    <w:rsid w:val="28524CE0"/>
    <w:rsid w:val="28A6141D"/>
    <w:rsid w:val="28AB04B8"/>
    <w:rsid w:val="28BF18AD"/>
    <w:rsid w:val="28C01A4F"/>
    <w:rsid w:val="28E60D8A"/>
    <w:rsid w:val="29042E92"/>
    <w:rsid w:val="29080D00"/>
    <w:rsid w:val="291D0077"/>
    <w:rsid w:val="29366C06"/>
    <w:rsid w:val="29417EE1"/>
    <w:rsid w:val="29975175"/>
    <w:rsid w:val="2A2F1425"/>
    <w:rsid w:val="2A5561C7"/>
    <w:rsid w:val="2A9328B0"/>
    <w:rsid w:val="2B05199B"/>
    <w:rsid w:val="2B150495"/>
    <w:rsid w:val="2B41357D"/>
    <w:rsid w:val="2C041C52"/>
    <w:rsid w:val="2C600318"/>
    <w:rsid w:val="2C723060"/>
    <w:rsid w:val="2C780B98"/>
    <w:rsid w:val="2CC34063"/>
    <w:rsid w:val="2CFA6009"/>
    <w:rsid w:val="2D313E78"/>
    <w:rsid w:val="2D341132"/>
    <w:rsid w:val="2D7C3FFA"/>
    <w:rsid w:val="2DBF0527"/>
    <w:rsid w:val="2DD45655"/>
    <w:rsid w:val="2E8337A3"/>
    <w:rsid w:val="2EAD4823"/>
    <w:rsid w:val="2EC706A8"/>
    <w:rsid w:val="2F31338F"/>
    <w:rsid w:val="2F863D2C"/>
    <w:rsid w:val="2F947791"/>
    <w:rsid w:val="2FA10F19"/>
    <w:rsid w:val="2FF75A01"/>
    <w:rsid w:val="30474804"/>
    <w:rsid w:val="30995F4B"/>
    <w:rsid w:val="30B3704F"/>
    <w:rsid w:val="30EA3353"/>
    <w:rsid w:val="31A06404"/>
    <w:rsid w:val="32594F85"/>
    <w:rsid w:val="3264344B"/>
    <w:rsid w:val="32650132"/>
    <w:rsid w:val="32EC51EE"/>
    <w:rsid w:val="33114C55"/>
    <w:rsid w:val="33890C8F"/>
    <w:rsid w:val="33B51A84"/>
    <w:rsid w:val="34007320"/>
    <w:rsid w:val="342235BE"/>
    <w:rsid w:val="343D21A6"/>
    <w:rsid w:val="346B5B38"/>
    <w:rsid w:val="34821163"/>
    <w:rsid w:val="34983880"/>
    <w:rsid w:val="355E5766"/>
    <w:rsid w:val="35A56E1E"/>
    <w:rsid w:val="35A95619"/>
    <w:rsid w:val="35C11842"/>
    <w:rsid w:val="363F7524"/>
    <w:rsid w:val="36A24542"/>
    <w:rsid w:val="36B14785"/>
    <w:rsid w:val="36D52B69"/>
    <w:rsid w:val="37670924"/>
    <w:rsid w:val="377F0D27"/>
    <w:rsid w:val="378C172C"/>
    <w:rsid w:val="37AE6F16"/>
    <w:rsid w:val="38AA0E16"/>
    <w:rsid w:val="38E77EB3"/>
    <w:rsid w:val="394144E6"/>
    <w:rsid w:val="3944168C"/>
    <w:rsid w:val="39730417"/>
    <w:rsid w:val="39F33306"/>
    <w:rsid w:val="39F50D55"/>
    <w:rsid w:val="3A3C2EFF"/>
    <w:rsid w:val="3AB17449"/>
    <w:rsid w:val="3AB331C1"/>
    <w:rsid w:val="3ACF6EC9"/>
    <w:rsid w:val="3AD256A8"/>
    <w:rsid w:val="3ADE5D64"/>
    <w:rsid w:val="3B220900"/>
    <w:rsid w:val="3BD258C9"/>
    <w:rsid w:val="3BFA660F"/>
    <w:rsid w:val="3C021254"/>
    <w:rsid w:val="3C266594"/>
    <w:rsid w:val="3C2C1E7C"/>
    <w:rsid w:val="3C6504EB"/>
    <w:rsid w:val="3CBA5241"/>
    <w:rsid w:val="3D0A1093"/>
    <w:rsid w:val="3D0B03CE"/>
    <w:rsid w:val="3D186896"/>
    <w:rsid w:val="3DB46334"/>
    <w:rsid w:val="3E5720B6"/>
    <w:rsid w:val="3EDB4A95"/>
    <w:rsid w:val="3EFB28CA"/>
    <w:rsid w:val="3F1E1189"/>
    <w:rsid w:val="3F591E5E"/>
    <w:rsid w:val="3F6470DE"/>
    <w:rsid w:val="3F7D3D9E"/>
    <w:rsid w:val="3FA11C4E"/>
    <w:rsid w:val="3FA3758D"/>
    <w:rsid w:val="400D03D9"/>
    <w:rsid w:val="40A81C49"/>
    <w:rsid w:val="40F57964"/>
    <w:rsid w:val="41E33C60"/>
    <w:rsid w:val="429743D8"/>
    <w:rsid w:val="429F7DBC"/>
    <w:rsid w:val="42B42504"/>
    <w:rsid w:val="4348021F"/>
    <w:rsid w:val="43811A9E"/>
    <w:rsid w:val="43CF6B92"/>
    <w:rsid w:val="441A605F"/>
    <w:rsid w:val="443133A9"/>
    <w:rsid w:val="444B2BC9"/>
    <w:rsid w:val="448B4867"/>
    <w:rsid w:val="44A00989"/>
    <w:rsid w:val="44DC56E3"/>
    <w:rsid w:val="44E346A3"/>
    <w:rsid w:val="45294080"/>
    <w:rsid w:val="4550785F"/>
    <w:rsid w:val="45667082"/>
    <w:rsid w:val="45837C34"/>
    <w:rsid w:val="45B646EB"/>
    <w:rsid w:val="45CA5863"/>
    <w:rsid w:val="45DD34FC"/>
    <w:rsid w:val="45EA1A61"/>
    <w:rsid w:val="45FF21BE"/>
    <w:rsid w:val="4606438D"/>
    <w:rsid w:val="46133AD2"/>
    <w:rsid w:val="46815F57"/>
    <w:rsid w:val="46A83CD3"/>
    <w:rsid w:val="46AA19E5"/>
    <w:rsid w:val="478F0B12"/>
    <w:rsid w:val="49561C02"/>
    <w:rsid w:val="49C56A6D"/>
    <w:rsid w:val="4AAD0D44"/>
    <w:rsid w:val="4AB13D76"/>
    <w:rsid w:val="4AB37677"/>
    <w:rsid w:val="4AD827D0"/>
    <w:rsid w:val="4B307A26"/>
    <w:rsid w:val="4B387D17"/>
    <w:rsid w:val="4BAA266A"/>
    <w:rsid w:val="4BDE3E16"/>
    <w:rsid w:val="4BE1003F"/>
    <w:rsid w:val="4C1F3C81"/>
    <w:rsid w:val="4C237A7B"/>
    <w:rsid w:val="4C5D11DF"/>
    <w:rsid w:val="4C6F2904"/>
    <w:rsid w:val="4DB017E2"/>
    <w:rsid w:val="4DB82445"/>
    <w:rsid w:val="4DF54449"/>
    <w:rsid w:val="4DFA78CC"/>
    <w:rsid w:val="4E67795E"/>
    <w:rsid w:val="4EFA0F67"/>
    <w:rsid w:val="4F257D14"/>
    <w:rsid w:val="4F6A54BA"/>
    <w:rsid w:val="4F8C3B89"/>
    <w:rsid w:val="4F8D1B6C"/>
    <w:rsid w:val="4FA64CF5"/>
    <w:rsid w:val="4FB629B4"/>
    <w:rsid w:val="4FE70DC0"/>
    <w:rsid w:val="4FF80DAE"/>
    <w:rsid w:val="505228B2"/>
    <w:rsid w:val="50A176B3"/>
    <w:rsid w:val="50E52925"/>
    <w:rsid w:val="512D7E41"/>
    <w:rsid w:val="51312C3A"/>
    <w:rsid w:val="515472E0"/>
    <w:rsid w:val="5179696D"/>
    <w:rsid w:val="51B86EB8"/>
    <w:rsid w:val="51C92E73"/>
    <w:rsid w:val="520D7203"/>
    <w:rsid w:val="527137BB"/>
    <w:rsid w:val="52C06024"/>
    <w:rsid w:val="52CF44B9"/>
    <w:rsid w:val="534327B1"/>
    <w:rsid w:val="53515E9C"/>
    <w:rsid w:val="53B01CE2"/>
    <w:rsid w:val="53FC2370"/>
    <w:rsid w:val="53FE280A"/>
    <w:rsid w:val="540E1FEE"/>
    <w:rsid w:val="54596730"/>
    <w:rsid w:val="54E3249D"/>
    <w:rsid w:val="554F7B33"/>
    <w:rsid w:val="55B41744"/>
    <w:rsid w:val="55E13102"/>
    <w:rsid w:val="563947B3"/>
    <w:rsid w:val="563F1955"/>
    <w:rsid w:val="567D422C"/>
    <w:rsid w:val="56B57CAD"/>
    <w:rsid w:val="56BB2A06"/>
    <w:rsid w:val="570566FB"/>
    <w:rsid w:val="570A5ABF"/>
    <w:rsid w:val="570D63DD"/>
    <w:rsid w:val="572F3F71"/>
    <w:rsid w:val="57323268"/>
    <w:rsid w:val="57D165DD"/>
    <w:rsid w:val="57FA1FD8"/>
    <w:rsid w:val="581872E3"/>
    <w:rsid w:val="587F00E5"/>
    <w:rsid w:val="58BE23EE"/>
    <w:rsid w:val="58E87019"/>
    <w:rsid w:val="594E52BA"/>
    <w:rsid w:val="59D96D24"/>
    <w:rsid w:val="59E44CEE"/>
    <w:rsid w:val="5A461504"/>
    <w:rsid w:val="5A50759E"/>
    <w:rsid w:val="5AB126F6"/>
    <w:rsid w:val="5ABE5803"/>
    <w:rsid w:val="5AC661A1"/>
    <w:rsid w:val="5AF05506"/>
    <w:rsid w:val="5B101B12"/>
    <w:rsid w:val="5B2A7F91"/>
    <w:rsid w:val="5B8C350C"/>
    <w:rsid w:val="5BA41A87"/>
    <w:rsid w:val="5BC528FD"/>
    <w:rsid w:val="5BD83D69"/>
    <w:rsid w:val="5BEA4A06"/>
    <w:rsid w:val="5BF64864"/>
    <w:rsid w:val="5C3972D9"/>
    <w:rsid w:val="5C4264A7"/>
    <w:rsid w:val="5C460B25"/>
    <w:rsid w:val="5C473312"/>
    <w:rsid w:val="5C582B91"/>
    <w:rsid w:val="5D243653"/>
    <w:rsid w:val="5D6879E4"/>
    <w:rsid w:val="5D906F22"/>
    <w:rsid w:val="5DEC23C3"/>
    <w:rsid w:val="5DFC134E"/>
    <w:rsid w:val="5E2D4789"/>
    <w:rsid w:val="5F166FCB"/>
    <w:rsid w:val="5F2D37C3"/>
    <w:rsid w:val="5F577D10"/>
    <w:rsid w:val="5F731C30"/>
    <w:rsid w:val="5F900245"/>
    <w:rsid w:val="6008725C"/>
    <w:rsid w:val="60B30F76"/>
    <w:rsid w:val="60BB7E2A"/>
    <w:rsid w:val="60EC59B8"/>
    <w:rsid w:val="6101310B"/>
    <w:rsid w:val="61266653"/>
    <w:rsid w:val="619D4FB6"/>
    <w:rsid w:val="62035F2D"/>
    <w:rsid w:val="6215177B"/>
    <w:rsid w:val="6259543B"/>
    <w:rsid w:val="628506F0"/>
    <w:rsid w:val="62C6161E"/>
    <w:rsid w:val="63302D52"/>
    <w:rsid w:val="634B7B8C"/>
    <w:rsid w:val="63502DF1"/>
    <w:rsid w:val="635400CA"/>
    <w:rsid w:val="636447A9"/>
    <w:rsid w:val="638C5AAE"/>
    <w:rsid w:val="63B741AB"/>
    <w:rsid w:val="6457430E"/>
    <w:rsid w:val="64680FC0"/>
    <w:rsid w:val="64FB0EFC"/>
    <w:rsid w:val="650049A6"/>
    <w:rsid w:val="656211BC"/>
    <w:rsid w:val="65A672FB"/>
    <w:rsid w:val="66164CAE"/>
    <w:rsid w:val="666A0329"/>
    <w:rsid w:val="66AC6CBF"/>
    <w:rsid w:val="66ED2D08"/>
    <w:rsid w:val="679703E1"/>
    <w:rsid w:val="679D64DC"/>
    <w:rsid w:val="67BF277A"/>
    <w:rsid w:val="67D11A4E"/>
    <w:rsid w:val="67F5421D"/>
    <w:rsid w:val="681C56E8"/>
    <w:rsid w:val="687F26E6"/>
    <w:rsid w:val="68A5237F"/>
    <w:rsid w:val="69024A99"/>
    <w:rsid w:val="693004E4"/>
    <w:rsid w:val="69E431A6"/>
    <w:rsid w:val="6AD9782B"/>
    <w:rsid w:val="6AE52674"/>
    <w:rsid w:val="6AEA7C8A"/>
    <w:rsid w:val="6B0A3E88"/>
    <w:rsid w:val="6B19056F"/>
    <w:rsid w:val="6B377539"/>
    <w:rsid w:val="6B95269F"/>
    <w:rsid w:val="6BB362CE"/>
    <w:rsid w:val="6BFC6846"/>
    <w:rsid w:val="6C494E84"/>
    <w:rsid w:val="6C613F7C"/>
    <w:rsid w:val="6C9A45DE"/>
    <w:rsid w:val="6CA200F0"/>
    <w:rsid w:val="6CB81EF4"/>
    <w:rsid w:val="6CC12C6C"/>
    <w:rsid w:val="6D473E2C"/>
    <w:rsid w:val="6D633D24"/>
    <w:rsid w:val="6DC347C2"/>
    <w:rsid w:val="6DD469CF"/>
    <w:rsid w:val="6DF36E56"/>
    <w:rsid w:val="6DFB3F5C"/>
    <w:rsid w:val="6E5C0E9F"/>
    <w:rsid w:val="6E694ECD"/>
    <w:rsid w:val="6E865F1C"/>
    <w:rsid w:val="6E922B12"/>
    <w:rsid w:val="6EC5521F"/>
    <w:rsid w:val="6ED70525"/>
    <w:rsid w:val="6EEB2223"/>
    <w:rsid w:val="6F4656AB"/>
    <w:rsid w:val="6FAF5BE3"/>
    <w:rsid w:val="6FB548D7"/>
    <w:rsid w:val="6FD1766A"/>
    <w:rsid w:val="6FEA6736"/>
    <w:rsid w:val="702B2CA3"/>
    <w:rsid w:val="7036127C"/>
    <w:rsid w:val="709F32C5"/>
    <w:rsid w:val="70D15E8E"/>
    <w:rsid w:val="70D50E7A"/>
    <w:rsid w:val="70E92792"/>
    <w:rsid w:val="716B31A7"/>
    <w:rsid w:val="71870F05"/>
    <w:rsid w:val="718A6DE4"/>
    <w:rsid w:val="71900706"/>
    <w:rsid w:val="71E27C5B"/>
    <w:rsid w:val="72231CD3"/>
    <w:rsid w:val="725956F5"/>
    <w:rsid w:val="72F04FBF"/>
    <w:rsid w:val="73287B32"/>
    <w:rsid w:val="73412411"/>
    <w:rsid w:val="73604214"/>
    <w:rsid w:val="73724CC1"/>
    <w:rsid w:val="73D64EF9"/>
    <w:rsid w:val="73E13BF4"/>
    <w:rsid w:val="741D62AC"/>
    <w:rsid w:val="745A5011"/>
    <w:rsid w:val="75194855"/>
    <w:rsid w:val="75393146"/>
    <w:rsid w:val="75680129"/>
    <w:rsid w:val="759B3BBA"/>
    <w:rsid w:val="75A153E9"/>
    <w:rsid w:val="75CA0DE4"/>
    <w:rsid w:val="75F77062"/>
    <w:rsid w:val="76876CD5"/>
    <w:rsid w:val="76F61765"/>
    <w:rsid w:val="76F84DDB"/>
    <w:rsid w:val="77254BCD"/>
    <w:rsid w:val="77307466"/>
    <w:rsid w:val="77582D17"/>
    <w:rsid w:val="77E141C3"/>
    <w:rsid w:val="77ED2216"/>
    <w:rsid w:val="77F24622"/>
    <w:rsid w:val="7855375D"/>
    <w:rsid w:val="786848E4"/>
    <w:rsid w:val="79060EF9"/>
    <w:rsid w:val="79162B2F"/>
    <w:rsid w:val="79362696"/>
    <w:rsid w:val="79853D2E"/>
    <w:rsid w:val="7A001197"/>
    <w:rsid w:val="7A4E3C65"/>
    <w:rsid w:val="7AC13EAA"/>
    <w:rsid w:val="7AFA627F"/>
    <w:rsid w:val="7B046B46"/>
    <w:rsid w:val="7B3E48AE"/>
    <w:rsid w:val="7B6E2211"/>
    <w:rsid w:val="7BC938EC"/>
    <w:rsid w:val="7BE654C8"/>
    <w:rsid w:val="7C2F7314"/>
    <w:rsid w:val="7C7278F9"/>
    <w:rsid w:val="7CCA3AE8"/>
    <w:rsid w:val="7D197F5B"/>
    <w:rsid w:val="7D32101D"/>
    <w:rsid w:val="7D85105A"/>
    <w:rsid w:val="7DA939D5"/>
    <w:rsid w:val="7DDF2F52"/>
    <w:rsid w:val="7E0B5511"/>
    <w:rsid w:val="7E543940"/>
    <w:rsid w:val="7E5820D7"/>
    <w:rsid w:val="7E87391A"/>
    <w:rsid w:val="7E9957F7"/>
    <w:rsid w:val="7EE50A3C"/>
    <w:rsid w:val="7F0709B3"/>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paragraph" w:customStyle="1" w:styleId="11">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2">
    <w:name w:val="批注主题 字符"/>
    <w:link w:val="5"/>
    <w:autoRedefine/>
    <w:qFormat/>
    <w:uiPriority w:val="0"/>
    <w:rPr>
      <w:b/>
      <w:bCs/>
      <w:kern w:val="2"/>
      <w:sz w:val="21"/>
      <w:szCs w:val="24"/>
    </w:rPr>
  </w:style>
  <w:style w:type="character" w:customStyle="1" w:styleId="13">
    <w:name w:val="批注文字 字符"/>
    <w:link w:val="2"/>
    <w:autoRedefine/>
    <w:qFormat/>
    <w:uiPriority w:val="0"/>
    <w:rPr>
      <w:kern w:val="2"/>
      <w:sz w:val="21"/>
      <w:szCs w:val="24"/>
    </w:rPr>
  </w:style>
  <w:style w:type="character" w:customStyle="1" w:styleId="14">
    <w:name w:val="页脚 字符"/>
    <w:link w:val="3"/>
    <w:autoRedefine/>
    <w:qFormat/>
    <w:uiPriority w:val="99"/>
    <w:rPr>
      <w:rFonts w:ascii="Calibri" w:hAnsi="Calibri"/>
      <w:kern w:val="2"/>
      <w:sz w:val="18"/>
      <w:szCs w:val="18"/>
    </w:rPr>
  </w:style>
  <w:style w:type="character" w:customStyle="1" w:styleId="15">
    <w:name w:val="页眉 字符"/>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3136</Words>
  <Characters>3247</Characters>
  <Lines>37</Lines>
  <Paragraphs>10</Paragraphs>
  <TotalTime>8</TotalTime>
  <ScaleCrop>false</ScaleCrop>
  <LinksUpToDate>false</LinksUpToDate>
  <CharactersWithSpaces>3303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2024-09-03T08:32:35Z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EAE81DB75A9C4E039CF2AFECB648C520_13</vt:lpwstr>
  </property>
</Properties>
</file>