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1" w:line="219" w:lineRule="auto"/>
        <w:ind w:left="23"/>
        <w:rPr>
          <w:rFonts w:hint="default" w:ascii="Arial Narrow" w:hAnsi="Arial Narrow" w:eastAsia="宋体" w:cs="宋体"/>
          <w:sz w:val="24"/>
          <w:szCs w:val="24"/>
          <w:lang w:val="en-US" w:eastAsia="zh-CN"/>
        </w:rPr>
      </w:pPr>
      <w:r>
        <w:rPr>
          <w:rFonts w:ascii="Arial Narrow" w:hAnsi="Arial Narrow" w:eastAsia="宋体" w:cs="宋体"/>
          <w:sz w:val="24"/>
          <w:szCs w:val="24"/>
          <w:lang w:eastAsia="zh-CN"/>
        </w:rPr>
        <w:t>证券代码：60</w:t>
      </w:r>
      <w:r>
        <w:rPr>
          <w:rFonts w:hint="eastAsia" w:ascii="Arial Narrow" w:hAnsi="Arial Narrow" w:eastAsia="宋体" w:cs="宋体"/>
          <w:sz w:val="24"/>
          <w:szCs w:val="24"/>
          <w:lang w:eastAsia="zh-CN"/>
        </w:rPr>
        <w:t>0438</w:t>
      </w:r>
      <w:r>
        <w:rPr>
          <w:rFonts w:ascii="Arial Narrow" w:hAnsi="Arial Narrow" w:eastAsia="宋体" w:cs="宋体"/>
          <w:sz w:val="24"/>
          <w:szCs w:val="24"/>
          <w:lang w:eastAsia="zh-CN"/>
        </w:rPr>
        <w:t xml:space="preserve">      </w:t>
      </w:r>
      <w:r>
        <w:rPr>
          <w:rFonts w:hint="eastAsia" w:ascii="Arial Narrow" w:hAnsi="Arial Narrow" w:eastAsia="宋体" w:cs="宋体"/>
          <w:sz w:val="24"/>
          <w:szCs w:val="24"/>
          <w:lang w:val="en-US" w:eastAsia="zh-CN"/>
        </w:rPr>
        <w:t xml:space="preserve">       </w:t>
      </w:r>
      <w:r>
        <w:rPr>
          <w:rFonts w:ascii="Arial Narrow" w:hAnsi="Arial Narrow" w:eastAsia="宋体" w:cs="宋体"/>
          <w:sz w:val="24"/>
          <w:szCs w:val="24"/>
          <w:lang w:eastAsia="zh-CN"/>
        </w:rPr>
        <w:t xml:space="preserve">   </w:t>
      </w:r>
      <w:r>
        <w:rPr>
          <w:rFonts w:hint="eastAsia" w:ascii="Arial Narrow" w:hAnsi="Arial Narrow" w:eastAsia="宋体" w:cs="宋体"/>
          <w:sz w:val="24"/>
          <w:szCs w:val="24"/>
          <w:lang w:val="en-US" w:eastAsia="zh-CN"/>
        </w:rPr>
        <w:t xml:space="preserve"> </w:t>
      </w:r>
      <w:r>
        <w:rPr>
          <w:rFonts w:ascii="Arial Narrow" w:hAnsi="Arial Narrow" w:eastAsia="宋体" w:cs="宋体"/>
          <w:sz w:val="24"/>
          <w:szCs w:val="24"/>
          <w:lang w:eastAsia="zh-CN"/>
        </w:rPr>
        <w:t xml:space="preserve">     </w:t>
      </w:r>
      <w:r>
        <w:rPr>
          <w:rFonts w:ascii="Arial Narrow" w:hAnsi="Arial Narrow" w:eastAsia="宋体" w:cs="宋体"/>
          <w:spacing w:val="-1"/>
          <w:sz w:val="24"/>
          <w:szCs w:val="24"/>
          <w:lang w:eastAsia="zh-CN"/>
        </w:rPr>
        <w:t>证券简称：</w:t>
      </w:r>
      <w:r>
        <w:rPr>
          <w:rFonts w:hint="eastAsia" w:ascii="Arial Narrow" w:hAnsi="Arial Narrow" w:eastAsia="宋体" w:cs="宋体"/>
          <w:spacing w:val="-1"/>
          <w:sz w:val="24"/>
          <w:szCs w:val="24"/>
          <w:lang w:eastAsia="zh-CN"/>
        </w:rPr>
        <w:t>通威股份</w:t>
      </w:r>
      <w:r>
        <w:rPr>
          <w:rFonts w:hint="eastAsia" w:ascii="Arial Narrow" w:hAnsi="Arial Narrow" w:eastAsia="宋体" w:cs="宋体"/>
          <w:spacing w:val="-1"/>
          <w:sz w:val="24"/>
          <w:szCs w:val="24"/>
          <w:lang w:val="en-US" w:eastAsia="zh-CN"/>
        </w:rPr>
        <w:t xml:space="preserve">                          编号：2024-06</w:t>
      </w:r>
    </w:p>
    <w:p>
      <w:pPr>
        <w:keepNext w:val="0"/>
        <w:keepLines w:val="0"/>
        <w:pageBreakBefore w:val="0"/>
        <w:widowControl/>
        <w:kinsoku w:val="0"/>
        <w:wordWrap/>
        <w:overflowPunct/>
        <w:topLinePunct w:val="0"/>
        <w:autoSpaceDE w:val="0"/>
        <w:autoSpaceDN w:val="0"/>
        <w:bidi w:val="0"/>
        <w:adjustRightInd w:val="0"/>
        <w:snapToGrid w:val="0"/>
        <w:spacing w:before="0" w:beforeLines="200" w:line="360" w:lineRule="auto"/>
        <w:ind w:left="0" w:right="0" w:firstLine="0"/>
        <w:jc w:val="center"/>
        <w:textAlignment w:val="baseline"/>
        <w:outlineLvl w:val="0"/>
        <w:rPr>
          <w:rFonts w:ascii="Arial Narrow" w:hAnsi="Arial Narrow" w:eastAsia="宋体" w:cs="宋体"/>
          <w:spacing w:val="3"/>
          <w:sz w:val="32"/>
          <w:szCs w:val="32"/>
          <w:lang w:eastAsia="zh-CN"/>
        </w:rPr>
      </w:pPr>
      <w:r>
        <w:rPr>
          <w:rFonts w:hint="eastAsia" w:ascii="Arial Narrow" w:hAnsi="Arial Narrow" w:eastAsia="宋体" w:cs="宋体"/>
          <w:b/>
          <w:bCs/>
          <w:spacing w:val="-4"/>
          <w:sz w:val="32"/>
          <w:szCs w:val="32"/>
          <w:lang w:eastAsia="zh-CN"/>
        </w:rPr>
        <w:t>通威股份</w:t>
      </w:r>
      <w:r>
        <w:rPr>
          <w:rFonts w:ascii="Arial Narrow" w:hAnsi="Arial Narrow" w:eastAsia="宋体" w:cs="宋体"/>
          <w:b/>
          <w:bCs/>
          <w:spacing w:val="-4"/>
          <w:sz w:val="32"/>
          <w:szCs w:val="32"/>
          <w:lang w:eastAsia="zh-CN"/>
        </w:rPr>
        <w:t>股份有限公司</w:t>
      </w:r>
    </w:p>
    <w:p>
      <w:pPr>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0"/>
        <w:jc w:val="center"/>
        <w:textAlignment w:val="baseline"/>
        <w:outlineLvl w:val="0"/>
        <w:rPr>
          <w:rFonts w:ascii="Arial Narrow" w:hAnsi="Arial Narrow" w:eastAsia="宋体" w:cs="宋体"/>
          <w:sz w:val="32"/>
          <w:szCs w:val="32"/>
          <w:lang w:eastAsia="zh-CN"/>
        </w:rPr>
      </w:pPr>
      <w:r>
        <w:rPr>
          <w:rFonts w:ascii="Arial Narrow" w:hAnsi="Arial Narrow" w:eastAsia="宋体" w:cs="宋体"/>
          <w:b/>
          <w:bCs/>
          <w:spacing w:val="-3"/>
          <w:sz w:val="32"/>
          <w:szCs w:val="32"/>
          <w:lang w:eastAsia="zh-CN"/>
        </w:rPr>
        <w:t>投资者关系活动记录表</w:t>
      </w:r>
    </w:p>
    <w:p>
      <w:pPr>
        <w:spacing w:line="69" w:lineRule="exact"/>
        <w:rPr>
          <w:lang w:eastAsia="zh-CN"/>
        </w:rPr>
      </w:pPr>
    </w:p>
    <w:tbl>
      <w:tblPr>
        <w:tblStyle w:val="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55"/>
        <w:gridCol w:w="2361"/>
        <w:gridCol w:w="4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1112" w:type="pct"/>
            <w:vAlign w:val="center"/>
          </w:tcPr>
          <w:p>
            <w:pPr>
              <w:pStyle w:val="7"/>
              <w:spacing w:before="78" w:line="347" w:lineRule="auto"/>
              <w:ind w:left="118" w:right="109" w:firstLine="1"/>
              <w:jc w:val="left"/>
            </w:pPr>
            <w:r>
              <w:rPr>
                <w:spacing w:val="27"/>
              </w:rPr>
              <w:t>投资者关系活</w:t>
            </w:r>
            <w:r>
              <w:rPr>
                <w:spacing w:val="4"/>
              </w:rPr>
              <w:t xml:space="preserve"> </w:t>
            </w:r>
            <w:r>
              <w:rPr>
                <w:spacing w:val="-3"/>
              </w:rPr>
              <w:t>动类别</w:t>
            </w:r>
          </w:p>
        </w:tc>
        <w:tc>
          <w:tcPr>
            <w:tcW w:w="1415" w:type="pct"/>
            <w:tcBorders>
              <w:right w:val="nil"/>
            </w:tcBorders>
          </w:tcPr>
          <w:p>
            <w:pPr>
              <w:pStyle w:val="7"/>
              <w:spacing w:before="117" w:line="220" w:lineRule="auto"/>
              <w:ind w:left="137"/>
              <w:rPr>
                <w:lang w:eastAsia="zh-CN"/>
              </w:rPr>
            </w:pPr>
            <w:r>
              <w:rPr>
                <w:rFonts w:hint="default"/>
                <w:spacing w:val="-5"/>
                <w:lang w:val="en-US" w:eastAsia="zh-CN"/>
              </w:rPr>
              <w:t>☑</w:t>
            </w:r>
            <w:r>
              <w:rPr>
                <w:spacing w:val="-5"/>
                <w:lang w:eastAsia="zh-CN"/>
              </w:rPr>
              <w:t>特定对象调研</w:t>
            </w:r>
          </w:p>
          <w:p>
            <w:pPr>
              <w:pStyle w:val="7"/>
              <w:spacing w:before="182" w:line="219" w:lineRule="auto"/>
              <w:ind w:left="137"/>
              <w:rPr>
                <w:lang w:eastAsia="zh-CN"/>
              </w:rPr>
            </w:pPr>
            <w:r>
              <w:rPr>
                <w:spacing w:val="-6"/>
                <w:lang w:eastAsia="zh-CN"/>
              </w:rPr>
              <w:t>□媒体采访</w:t>
            </w:r>
          </w:p>
          <w:p>
            <w:pPr>
              <w:pStyle w:val="7"/>
              <w:spacing w:before="183" w:line="219" w:lineRule="auto"/>
              <w:ind w:left="137"/>
              <w:rPr>
                <w:lang w:eastAsia="zh-CN"/>
              </w:rPr>
            </w:pPr>
            <w:r>
              <w:rPr>
                <w:spacing w:val="-5"/>
                <w:lang w:eastAsia="zh-CN"/>
              </w:rPr>
              <w:t>□新闻发布会</w:t>
            </w:r>
          </w:p>
          <w:p>
            <w:pPr>
              <w:pStyle w:val="7"/>
              <w:spacing w:before="183" w:line="220" w:lineRule="auto"/>
              <w:ind w:left="137"/>
              <w:rPr>
                <w:lang w:eastAsia="zh-CN"/>
              </w:rPr>
            </w:pPr>
            <w:r>
              <w:rPr>
                <w:spacing w:val="-5"/>
                <w:lang w:eastAsia="zh-CN"/>
              </w:rPr>
              <w:t>□</w:t>
            </w:r>
            <w:r>
              <w:rPr>
                <w:spacing w:val="-6"/>
                <w:lang w:eastAsia="zh-CN"/>
              </w:rPr>
              <w:t>现场参观</w:t>
            </w:r>
          </w:p>
          <w:p>
            <w:pPr>
              <w:pStyle w:val="7"/>
              <w:spacing w:before="182" w:line="220" w:lineRule="auto"/>
              <w:ind w:left="137"/>
              <w:rPr>
                <w:lang w:eastAsia="zh-CN"/>
              </w:rPr>
            </w:pPr>
            <w:r>
              <w:rPr>
                <w:rFonts w:hint="eastAsia"/>
                <w:spacing w:val="-5"/>
                <w:lang w:eastAsia="zh-CN"/>
              </w:rPr>
              <w:t>☑</w:t>
            </w:r>
            <w:r>
              <w:rPr>
                <w:spacing w:val="-12"/>
                <w:lang w:eastAsia="zh-CN"/>
              </w:rPr>
              <w:t>其他</w:t>
            </w:r>
            <w:r>
              <w:rPr>
                <w:u w:val="single"/>
                <w:lang w:eastAsia="zh-CN"/>
              </w:rPr>
              <w:t xml:space="preserve">  </w:t>
            </w:r>
            <w:r>
              <w:rPr>
                <w:rFonts w:hint="eastAsia"/>
                <w:u w:val="single"/>
                <w:lang w:eastAsia="zh-CN"/>
              </w:rPr>
              <w:t>线上会议</w:t>
            </w:r>
            <w:r>
              <w:rPr>
                <w:u w:val="single"/>
                <w:lang w:eastAsia="zh-CN"/>
              </w:rPr>
              <w:t xml:space="preserve">          </w:t>
            </w:r>
          </w:p>
        </w:tc>
        <w:tc>
          <w:tcPr>
            <w:tcW w:w="2472" w:type="pct"/>
            <w:tcBorders>
              <w:left w:val="nil"/>
            </w:tcBorders>
          </w:tcPr>
          <w:p>
            <w:pPr>
              <w:pStyle w:val="7"/>
              <w:spacing w:before="117" w:line="219" w:lineRule="auto"/>
              <w:ind w:left="197"/>
              <w:rPr>
                <w:lang w:eastAsia="zh-CN"/>
              </w:rPr>
            </w:pPr>
            <w:r>
              <w:rPr>
                <w:rFonts w:hint="eastAsia"/>
                <w:spacing w:val="-5"/>
                <w:lang w:eastAsia="zh-CN"/>
              </w:rPr>
              <w:t>□</w:t>
            </w:r>
            <w:r>
              <w:rPr>
                <w:spacing w:val="-5"/>
                <w:lang w:eastAsia="zh-CN"/>
              </w:rPr>
              <w:t>分析师会议</w:t>
            </w:r>
          </w:p>
          <w:p>
            <w:pPr>
              <w:pStyle w:val="7"/>
              <w:spacing w:before="183" w:line="219" w:lineRule="auto"/>
              <w:ind w:left="197"/>
              <w:rPr>
                <w:lang w:eastAsia="zh-CN"/>
              </w:rPr>
            </w:pPr>
            <w:r>
              <w:rPr>
                <w:rFonts w:hint="eastAsia"/>
                <w:spacing w:val="-5"/>
                <w:lang w:eastAsia="zh-CN"/>
              </w:rPr>
              <w:t>☑</w:t>
            </w:r>
            <w:r>
              <w:rPr>
                <w:spacing w:val="-6"/>
                <w:lang w:eastAsia="zh-CN"/>
              </w:rPr>
              <w:t>业绩说明会</w:t>
            </w:r>
          </w:p>
          <w:p>
            <w:pPr>
              <w:pStyle w:val="7"/>
              <w:spacing w:before="182" w:line="220" w:lineRule="auto"/>
              <w:ind w:left="197"/>
            </w:pPr>
            <w:r>
              <w:rPr>
                <w:rFonts w:hint="eastAsia"/>
                <w:spacing w:val="-6"/>
                <w:lang w:eastAsia="zh-CN"/>
              </w:rPr>
              <w:t>□</w:t>
            </w:r>
            <w:r>
              <w:rPr>
                <w:spacing w:val="-6"/>
              </w:rPr>
              <w:t>路演活动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112" w:type="pct"/>
            <w:vAlign w:val="center"/>
          </w:tcPr>
          <w:p>
            <w:pPr>
              <w:pStyle w:val="7"/>
              <w:spacing w:before="78" w:line="347" w:lineRule="auto"/>
              <w:ind w:left="116" w:right="109" w:firstLine="2"/>
              <w:jc w:val="left"/>
              <w:rPr>
                <w:lang w:eastAsia="zh-CN"/>
              </w:rPr>
            </w:pPr>
            <w:r>
              <w:rPr>
                <w:spacing w:val="28"/>
                <w:lang w:eastAsia="zh-CN"/>
              </w:rPr>
              <w:t>参与单位名称</w:t>
            </w:r>
            <w:r>
              <w:rPr>
                <w:lang w:eastAsia="zh-CN"/>
              </w:rPr>
              <w:t xml:space="preserve"> </w:t>
            </w:r>
            <w:r>
              <w:rPr>
                <w:spacing w:val="-2"/>
                <w:lang w:eastAsia="zh-CN"/>
              </w:rPr>
              <w:t>及人员姓名</w:t>
            </w:r>
          </w:p>
        </w:tc>
        <w:tc>
          <w:tcPr>
            <w:tcW w:w="3887" w:type="pct"/>
            <w:gridSpan w:val="2"/>
          </w:tcPr>
          <w:p>
            <w:pPr>
              <w:pStyle w:val="7"/>
              <w:numPr>
                <w:ilvl w:val="0"/>
                <w:numId w:val="1"/>
              </w:numPr>
              <w:spacing w:before="109" w:line="345" w:lineRule="auto"/>
              <w:ind w:right="23"/>
              <w:jc w:val="both"/>
              <w:rPr>
                <w:b/>
                <w:bCs/>
                <w:lang w:eastAsia="zh-CN"/>
              </w:rPr>
            </w:pPr>
            <w:r>
              <w:rPr>
                <w:rFonts w:hint="eastAsia"/>
                <w:b/>
                <w:bCs/>
                <w:spacing w:val="-2"/>
                <w:lang w:eastAsia="zh-CN"/>
              </w:rPr>
              <w:t>现场调研</w:t>
            </w:r>
          </w:p>
          <w:p>
            <w:pPr>
              <w:pStyle w:val="7"/>
              <w:spacing w:before="109" w:line="276" w:lineRule="auto"/>
              <w:ind w:left="136" w:right="23" w:firstLine="240" w:firstLineChars="100"/>
              <w:jc w:val="both"/>
              <w:rPr>
                <w:lang w:eastAsia="zh-CN"/>
              </w:rPr>
            </w:pPr>
            <w:r>
              <w:rPr>
                <w:rFonts w:hint="eastAsia"/>
                <w:lang w:eastAsia="zh-CN"/>
              </w:rPr>
              <w:t>本</w:t>
            </w:r>
            <w:r>
              <w:rPr>
                <w:rFonts w:hint="eastAsia"/>
                <w:lang w:val="en-US" w:eastAsia="zh-CN"/>
              </w:rPr>
              <w:t>期</w:t>
            </w:r>
            <w:r>
              <w:rPr>
                <w:rFonts w:hint="eastAsia"/>
                <w:lang w:eastAsia="zh-CN"/>
              </w:rPr>
              <w:t>公司在成都总部接待的机构有</w:t>
            </w:r>
            <w:r>
              <w:rPr>
                <w:rFonts w:hint="eastAsia"/>
                <w:lang w:val="en-US" w:eastAsia="zh-CN"/>
              </w:rPr>
              <w:t>建信养老基金、财通证券、中信建投证券</w:t>
            </w:r>
            <w:r>
              <w:rPr>
                <w:rFonts w:hint="eastAsia"/>
                <w:lang w:eastAsia="zh-CN"/>
              </w:rPr>
              <w:t>等。</w:t>
            </w:r>
          </w:p>
          <w:p>
            <w:pPr>
              <w:pStyle w:val="7"/>
              <w:numPr>
                <w:ilvl w:val="0"/>
                <w:numId w:val="1"/>
              </w:numPr>
              <w:spacing w:before="109" w:line="345" w:lineRule="auto"/>
              <w:ind w:right="23"/>
              <w:jc w:val="both"/>
              <w:rPr>
                <w:b/>
                <w:bCs/>
                <w:lang w:eastAsia="zh-CN"/>
              </w:rPr>
            </w:pPr>
            <w:r>
              <w:rPr>
                <w:rFonts w:hint="eastAsia"/>
                <w:b/>
                <w:bCs/>
                <w:spacing w:val="-2"/>
                <w:lang w:eastAsia="zh-CN"/>
              </w:rPr>
              <w:t>线上会议</w:t>
            </w:r>
          </w:p>
          <w:p>
            <w:pPr>
              <w:pStyle w:val="7"/>
              <w:spacing w:before="109" w:line="276" w:lineRule="auto"/>
              <w:ind w:left="136" w:right="23" w:firstLine="240" w:firstLineChars="100"/>
              <w:jc w:val="both"/>
              <w:rPr>
                <w:lang w:eastAsia="zh-CN"/>
              </w:rPr>
            </w:pPr>
            <w:r>
              <w:rPr>
                <w:rFonts w:hint="eastAsia"/>
                <w:lang w:eastAsia="zh-CN"/>
              </w:rPr>
              <w:t>本</w:t>
            </w:r>
            <w:r>
              <w:rPr>
                <w:rFonts w:hint="eastAsia"/>
                <w:lang w:val="en-US" w:eastAsia="zh-CN"/>
              </w:rPr>
              <w:t>期</w:t>
            </w:r>
            <w:r>
              <w:rPr>
                <w:rFonts w:hint="eastAsia"/>
                <w:lang w:eastAsia="zh-CN"/>
              </w:rPr>
              <w:t>公司与</w:t>
            </w:r>
            <w:r>
              <w:rPr>
                <w:rFonts w:hint="eastAsia"/>
                <w:lang w:val="en-US" w:eastAsia="zh-CN"/>
              </w:rPr>
              <w:t>CapeAnn Asset、财通资管、摩根基金、太保资产、淡水泉</w:t>
            </w:r>
            <w:r>
              <w:rPr>
                <w:rFonts w:hint="eastAsia"/>
                <w:lang w:eastAsia="zh-CN"/>
              </w:rPr>
              <w:t>等机构进行了线上交流。</w:t>
            </w:r>
          </w:p>
          <w:p>
            <w:pPr>
              <w:pStyle w:val="7"/>
              <w:numPr>
                <w:ilvl w:val="0"/>
                <w:numId w:val="1"/>
              </w:numPr>
              <w:spacing w:before="109" w:line="345" w:lineRule="auto"/>
              <w:ind w:right="23"/>
              <w:jc w:val="both"/>
              <w:rPr>
                <w:rFonts w:hint="eastAsia"/>
                <w:b/>
                <w:bCs/>
                <w:spacing w:val="-2"/>
                <w:lang w:val="en-US" w:eastAsia="zh-CN"/>
              </w:rPr>
            </w:pPr>
            <w:r>
              <w:rPr>
                <w:rFonts w:hint="eastAsia"/>
                <w:b/>
                <w:bCs/>
                <w:spacing w:val="-2"/>
                <w:lang w:val="en-US" w:eastAsia="zh-CN"/>
              </w:rPr>
              <w:t>业绩说明会</w:t>
            </w:r>
          </w:p>
          <w:p>
            <w:pPr>
              <w:pStyle w:val="7"/>
              <w:spacing w:before="109" w:line="276" w:lineRule="auto"/>
              <w:ind w:left="136" w:right="23" w:firstLine="240" w:firstLineChars="100"/>
              <w:jc w:val="both"/>
              <w:rPr>
                <w:rFonts w:hint="default"/>
                <w:lang w:val="en-US" w:eastAsia="zh-CN"/>
              </w:rPr>
            </w:pPr>
            <w:r>
              <w:rPr>
                <w:rFonts w:hint="eastAsia"/>
                <w:lang w:val="en-US" w:eastAsia="zh-CN"/>
              </w:rPr>
              <w:t>2024年9月2日，</w:t>
            </w:r>
            <w:r>
              <w:rPr>
                <w:rFonts w:hint="eastAsia"/>
                <w:lang w:eastAsia="zh-CN"/>
              </w:rPr>
              <w:t>公司</w:t>
            </w:r>
            <w:r>
              <w:rPr>
                <w:rFonts w:hint="eastAsia"/>
                <w:lang w:val="en-US" w:eastAsia="zh-CN"/>
              </w:rPr>
              <w:t>通过</w:t>
            </w:r>
            <w:r>
              <w:rPr>
                <w:rFonts w:hint="eastAsia"/>
                <w:spacing w:val="-7"/>
                <w:lang w:val="en-US" w:eastAsia="zh-CN"/>
              </w:rPr>
              <w:t>2024年8月1日-8月31日、2024年9月2</w:t>
            </w:r>
            <w:r>
              <w:rPr>
                <w:spacing w:val="-7"/>
              </w:rPr>
              <w:t>日</w:t>
            </w:r>
            <w:r>
              <w:rPr>
                <w:rFonts w:hint="eastAsia"/>
                <w:lang w:val="en-US" w:eastAsia="zh-CN"/>
              </w:rPr>
              <w:t>举行2024年半年度业绩说明会，线上回答广大投资者提出的问题。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112" w:type="pct"/>
          </w:tcPr>
          <w:p>
            <w:pPr>
              <w:pStyle w:val="7"/>
              <w:spacing w:before="148" w:line="222" w:lineRule="auto"/>
              <w:ind w:left="128"/>
            </w:pPr>
            <w:r>
              <w:rPr>
                <w:spacing w:val="-6"/>
              </w:rPr>
              <w:t>时间</w:t>
            </w:r>
          </w:p>
        </w:tc>
        <w:tc>
          <w:tcPr>
            <w:tcW w:w="3887" w:type="pct"/>
            <w:gridSpan w:val="2"/>
          </w:tcPr>
          <w:p>
            <w:pPr>
              <w:pStyle w:val="7"/>
              <w:spacing w:before="148" w:line="220" w:lineRule="auto"/>
              <w:ind w:left="116"/>
            </w:pPr>
            <w:r>
              <w:rPr>
                <w:rFonts w:hint="eastAsia"/>
                <w:spacing w:val="-7"/>
              </w:rPr>
              <w:t>2024年8月1日-8月31日、2024年9月2日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2" w:type="pct"/>
          </w:tcPr>
          <w:p>
            <w:pPr>
              <w:pStyle w:val="7"/>
              <w:spacing w:before="166" w:line="224" w:lineRule="auto"/>
              <w:ind w:left="117"/>
            </w:pPr>
            <w:r>
              <w:rPr>
                <w:spacing w:val="-3"/>
              </w:rPr>
              <w:t>地点</w:t>
            </w:r>
          </w:p>
        </w:tc>
        <w:tc>
          <w:tcPr>
            <w:tcW w:w="3887" w:type="pct"/>
            <w:gridSpan w:val="2"/>
          </w:tcPr>
          <w:p>
            <w:pPr>
              <w:pStyle w:val="7"/>
              <w:spacing w:before="166" w:line="220" w:lineRule="auto"/>
              <w:ind w:left="128"/>
              <w:rPr>
                <w:rFonts w:hint="default"/>
                <w:lang w:val="en-US" w:eastAsia="zh-CN"/>
              </w:rPr>
            </w:pPr>
            <w:r>
              <w:rPr>
                <w:rFonts w:hint="eastAsia"/>
                <w:spacing w:val="-4"/>
                <w:lang w:eastAsia="zh-CN"/>
              </w:rPr>
              <w:t>通威股份成都</w:t>
            </w:r>
            <w:r>
              <w:rPr>
                <w:spacing w:val="-4"/>
                <w:lang w:eastAsia="zh-CN"/>
              </w:rPr>
              <w:t>总部</w:t>
            </w:r>
            <w:r>
              <w:rPr>
                <w:rFonts w:hint="eastAsia"/>
                <w:spacing w:val="-4"/>
                <w:lang w:eastAsia="zh-CN"/>
              </w:rPr>
              <w:t>、</w:t>
            </w:r>
            <w:r>
              <w:rPr>
                <w:rFonts w:hint="eastAsia"/>
                <w:spacing w:val="-4"/>
                <w:lang w:val="en-US" w:eastAsia="zh-CN"/>
              </w:rPr>
              <w:t>上证路演中心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6" w:hRule="atLeast"/>
        </w:trPr>
        <w:tc>
          <w:tcPr>
            <w:tcW w:w="1112" w:type="pct"/>
            <w:vAlign w:val="center"/>
          </w:tcPr>
          <w:p>
            <w:pPr>
              <w:pStyle w:val="7"/>
              <w:spacing w:before="78" w:line="347" w:lineRule="auto"/>
              <w:ind w:left="119" w:right="109"/>
              <w:jc w:val="left"/>
              <w:rPr>
                <w:lang w:eastAsia="zh-CN"/>
              </w:rPr>
            </w:pPr>
            <w:r>
              <w:rPr>
                <w:spacing w:val="28"/>
                <w:lang w:eastAsia="zh-CN"/>
              </w:rPr>
              <w:t>上市公司接待</w:t>
            </w:r>
            <w:r>
              <w:rPr>
                <w:lang w:eastAsia="zh-CN"/>
              </w:rPr>
              <w:t xml:space="preserve"> </w:t>
            </w:r>
            <w:r>
              <w:rPr>
                <w:spacing w:val="-3"/>
                <w:lang w:eastAsia="zh-CN"/>
              </w:rPr>
              <w:t>人员姓名</w:t>
            </w:r>
          </w:p>
        </w:tc>
        <w:tc>
          <w:tcPr>
            <w:tcW w:w="3887" w:type="pct"/>
            <w:gridSpan w:val="2"/>
          </w:tcPr>
          <w:p>
            <w:pPr>
              <w:pStyle w:val="7"/>
              <w:spacing w:before="166" w:line="220" w:lineRule="auto"/>
              <w:ind w:left="128"/>
              <w:jc w:val="both"/>
              <w:rPr>
                <w:rFonts w:hint="eastAsia"/>
                <w:spacing w:val="-4"/>
                <w:lang w:val="en-US" w:eastAsia="zh-CN"/>
              </w:rPr>
            </w:pPr>
            <w:r>
              <w:rPr>
                <w:rFonts w:hint="eastAsia"/>
                <w:spacing w:val="-4"/>
                <w:lang w:val="en-US" w:eastAsia="zh-CN"/>
              </w:rPr>
              <w:t>董事长兼CEO 刘舒琪</w:t>
            </w:r>
          </w:p>
          <w:p>
            <w:pPr>
              <w:pStyle w:val="7"/>
              <w:spacing w:before="166" w:line="220" w:lineRule="auto"/>
              <w:ind w:left="128"/>
              <w:jc w:val="both"/>
              <w:rPr>
                <w:rFonts w:hint="default"/>
                <w:spacing w:val="-4"/>
                <w:lang w:val="en-US" w:eastAsia="zh-CN"/>
              </w:rPr>
            </w:pPr>
            <w:r>
              <w:rPr>
                <w:rFonts w:hint="eastAsia"/>
                <w:spacing w:val="-4"/>
                <w:lang w:val="en-US" w:eastAsia="zh-CN"/>
              </w:rPr>
              <w:t>独立董事 傅代国</w:t>
            </w:r>
          </w:p>
          <w:p>
            <w:pPr>
              <w:pStyle w:val="7"/>
              <w:spacing w:before="166" w:line="220" w:lineRule="auto"/>
              <w:ind w:left="128"/>
              <w:jc w:val="both"/>
              <w:rPr>
                <w:rFonts w:hint="eastAsia"/>
                <w:spacing w:val="-4"/>
                <w:lang w:val="en-US" w:eastAsia="zh-CN"/>
              </w:rPr>
            </w:pPr>
            <w:r>
              <w:rPr>
                <w:rFonts w:hint="eastAsia"/>
                <w:spacing w:val="-4"/>
                <w:lang w:val="en-US" w:eastAsia="zh-CN"/>
              </w:rPr>
              <w:t>财务总监 周斌</w:t>
            </w:r>
          </w:p>
          <w:p>
            <w:pPr>
              <w:pStyle w:val="7"/>
              <w:spacing w:before="166" w:line="220" w:lineRule="auto"/>
              <w:ind w:left="128"/>
              <w:jc w:val="both"/>
              <w:rPr>
                <w:rFonts w:hint="default"/>
                <w:spacing w:val="-4"/>
                <w:lang w:val="en-US" w:eastAsia="zh-CN"/>
              </w:rPr>
            </w:pPr>
            <w:r>
              <w:rPr>
                <w:rFonts w:hint="eastAsia"/>
                <w:spacing w:val="-4"/>
                <w:lang w:val="en-US" w:eastAsia="zh-CN"/>
              </w:rPr>
              <w:t>光伏首席技术官 邢国强</w:t>
            </w:r>
          </w:p>
          <w:p>
            <w:pPr>
              <w:pStyle w:val="7"/>
              <w:spacing w:before="166" w:line="220" w:lineRule="auto"/>
              <w:ind w:left="128"/>
              <w:rPr>
                <w:rFonts w:hint="eastAsia"/>
                <w:spacing w:val="-4"/>
                <w:lang w:eastAsia="zh-CN"/>
              </w:rPr>
            </w:pPr>
            <w:r>
              <w:rPr>
                <w:rFonts w:hint="eastAsia"/>
                <w:lang w:val="en-US" w:eastAsia="zh-CN"/>
              </w:rPr>
              <w:t>董事会秘书 严轲</w:t>
            </w:r>
          </w:p>
          <w:p>
            <w:pPr>
              <w:pStyle w:val="7"/>
              <w:spacing w:before="166" w:line="220" w:lineRule="auto"/>
              <w:ind w:left="128"/>
              <w:rPr>
                <w:rFonts w:hint="eastAsia"/>
                <w:spacing w:val="-4"/>
                <w:lang w:eastAsia="zh-CN"/>
              </w:rPr>
            </w:pPr>
            <w:r>
              <w:rPr>
                <w:rFonts w:hint="eastAsia"/>
                <w:spacing w:val="-4"/>
                <w:lang w:eastAsia="zh-CN"/>
              </w:rPr>
              <w:t>投资者关系经理 钟秋实</w:t>
            </w:r>
          </w:p>
          <w:p>
            <w:pPr>
              <w:pStyle w:val="7"/>
              <w:spacing w:before="166" w:line="220" w:lineRule="auto"/>
              <w:ind w:left="128"/>
              <w:rPr>
                <w:lang w:eastAsia="zh-CN"/>
              </w:rPr>
            </w:pPr>
            <w:r>
              <w:rPr>
                <w:rFonts w:hint="eastAsia"/>
                <w:spacing w:val="-4"/>
                <w:lang w:eastAsia="zh-CN"/>
              </w:rPr>
              <w:t>投资者关系经理 孙书恒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0" w:hRule="atLeast"/>
        </w:trPr>
        <w:tc>
          <w:tcPr>
            <w:tcW w:w="1112" w:type="pct"/>
            <w:vAlign w:val="center"/>
          </w:tcPr>
          <w:p>
            <w:pPr>
              <w:pStyle w:val="7"/>
              <w:spacing w:before="78" w:line="353" w:lineRule="auto"/>
              <w:ind w:left="118" w:right="109" w:firstLine="1"/>
              <w:jc w:val="both"/>
              <w:rPr>
                <w:lang w:eastAsia="zh-CN"/>
              </w:rPr>
            </w:pPr>
            <w:r>
              <w:rPr>
                <w:spacing w:val="27"/>
                <w:lang w:eastAsia="zh-CN"/>
              </w:rPr>
              <w:t>投资者关系活</w:t>
            </w:r>
            <w:r>
              <w:rPr>
                <w:spacing w:val="4"/>
                <w:lang w:eastAsia="zh-CN"/>
              </w:rPr>
              <w:t xml:space="preserve"> </w:t>
            </w:r>
            <w:r>
              <w:rPr>
                <w:spacing w:val="28"/>
                <w:lang w:eastAsia="zh-CN"/>
              </w:rPr>
              <w:t>动主要内容介</w:t>
            </w:r>
            <w:r>
              <w:rPr>
                <w:lang w:eastAsia="zh-CN"/>
              </w:rPr>
              <w:t xml:space="preserve"> 绍</w:t>
            </w:r>
          </w:p>
        </w:tc>
        <w:tc>
          <w:tcPr>
            <w:tcW w:w="3887" w:type="pct"/>
            <w:gridSpan w:val="2"/>
          </w:tcPr>
          <w:p>
            <w:pPr>
              <w:pStyle w:val="7"/>
              <w:spacing w:before="273" w:line="346" w:lineRule="auto"/>
              <w:ind w:left="122" w:right="107" w:firstLine="491"/>
              <w:rPr>
                <w:rFonts w:hint="default"/>
                <w:lang w:val="en-US" w:eastAsia="zh-CN"/>
              </w:rPr>
            </w:pPr>
            <w:r>
              <w:rPr>
                <w:b/>
                <w:bCs/>
                <w:lang w:eastAsia="zh-CN"/>
              </w:rPr>
              <w:t>1、</w:t>
            </w:r>
            <w:r>
              <w:rPr>
                <w:rFonts w:hint="eastAsia"/>
                <w:b/>
                <w:bCs/>
                <w:lang w:eastAsia="zh-CN"/>
              </w:rPr>
              <w:t>收购润阳后公司资金会紧张吗？</w:t>
            </w:r>
          </w:p>
          <w:p>
            <w:pPr>
              <w:pStyle w:val="7"/>
              <w:spacing w:before="34" w:line="347" w:lineRule="auto"/>
              <w:ind w:left="113" w:right="107" w:firstLine="480"/>
              <w:rPr>
                <w:rFonts w:hint="eastAsia"/>
                <w:spacing w:val="-2"/>
                <w:lang w:val="en-US" w:eastAsia="zh-CN"/>
              </w:rPr>
            </w:pPr>
            <w:r>
              <w:rPr>
                <w:spacing w:val="-2"/>
                <w:lang w:eastAsia="zh-CN"/>
              </w:rPr>
              <w:t>答：</w:t>
            </w:r>
            <w:r>
              <w:rPr>
                <w:rFonts w:hint="eastAsia"/>
                <w:spacing w:val="-2"/>
                <w:lang w:val="en-US" w:eastAsia="zh-CN"/>
              </w:rPr>
              <w:t>尊敬的投资者您好，公司非常关注自身财务安全性，当前公司在手资金和负债情况良好，资产负债率可控，融资工具丰富，暂不存在资金紧张的情形。</w:t>
            </w:r>
          </w:p>
          <w:p>
            <w:pPr>
              <w:pStyle w:val="7"/>
              <w:spacing w:before="34" w:line="347" w:lineRule="auto"/>
              <w:ind w:left="113" w:right="107" w:firstLine="480"/>
              <w:rPr>
                <w:rFonts w:hint="eastAsia"/>
                <w:spacing w:val="-2"/>
                <w:lang w:val="en-US" w:eastAsia="zh-CN"/>
              </w:rPr>
            </w:pPr>
            <w:r>
              <w:rPr>
                <w:rFonts w:hint="eastAsia"/>
                <w:spacing w:val="-2"/>
                <w:lang w:val="en-US" w:eastAsia="zh-CN"/>
              </w:rPr>
              <w:t>截至2024年上半年末，公司在手货币现金与交易性金融资产合计超过340亿元，短期借款仅25亿元左右，一年内到期非流动负债约42亿元左右，负债偿付准备充足；同期公司资产负债率约为67%，如剔除票据池业务、存续可转债等影响，资产负债率还可进一步下降，相对行业持续保持稳健水平；公司还储备了丰富的融资工具，在银行授信、超短融、中期票据等方面均保持高度畅通，可融资规模、融资利率与期限等也具有显著优势。</w:t>
            </w:r>
          </w:p>
          <w:p>
            <w:pPr>
              <w:pStyle w:val="7"/>
              <w:spacing w:before="34" w:line="347" w:lineRule="auto"/>
              <w:ind w:left="113" w:right="107" w:firstLine="480"/>
              <w:rPr>
                <w:rFonts w:hint="default"/>
                <w:spacing w:val="-2"/>
                <w:lang w:val="en-US" w:eastAsia="zh-CN"/>
              </w:rPr>
            </w:pPr>
            <w:r>
              <w:rPr>
                <w:rFonts w:hint="eastAsia"/>
                <w:spacing w:val="-2"/>
                <w:lang w:val="en-US" w:eastAsia="zh-CN"/>
              </w:rPr>
              <w:t>当前光伏行业处于阶段性周期底部，公司后续也将持续结合市场行情与自身资金使用安排，动态评估未开工项目建设规划，妥善做好资金风险管控，保障公司财务安全。谢谢！</w:t>
            </w:r>
          </w:p>
          <w:p>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0" w:beforeLines="50" w:line="329" w:lineRule="auto"/>
              <w:ind w:left="113" w:right="108" w:firstLine="505"/>
              <w:jc w:val="both"/>
              <w:textAlignment w:val="baseline"/>
              <w:rPr>
                <w:rFonts w:hint="eastAsia"/>
                <w:b/>
                <w:bCs/>
                <w:lang w:val="en-US" w:eastAsia="zh-CN"/>
              </w:rPr>
            </w:pPr>
            <w:r>
              <w:rPr>
                <w:rFonts w:hint="eastAsia"/>
                <w:b/>
                <w:bCs/>
                <w:lang w:val="en-US" w:eastAsia="zh-CN"/>
              </w:rPr>
              <w:t>公司此次收购润阳是否会影响未来在电池新技术上的布局节奏呀？</w:t>
            </w:r>
          </w:p>
          <w:p>
            <w:pPr>
              <w:pStyle w:val="7"/>
              <w:spacing w:before="36" w:line="329" w:lineRule="auto"/>
              <w:ind w:left="113" w:right="105" w:firstLine="503"/>
              <w:jc w:val="both"/>
              <w:rPr>
                <w:rFonts w:hint="default"/>
                <w:lang w:val="en-US" w:eastAsia="zh-CN"/>
              </w:rPr>
            </w:pPr>
            <w:r>
              <w:rPr>
                <w:rFonts w:hint="eastAsia"/>
                <w:lang w:val="en-US" w:eastAsia="zh-CN"/>
              </w:rPr>
              <w:t>答：尊敬的投资者您好，公司深知技术创新是光伏行业高质量发展的长期驱动力，将持续围绕实现更优度电成本的目标，积极开展TOPCon和包括HJT、XBC、钙钛矿叠层等新技术的课题研究；而新技术的布局节奏仅取决于其是否具备足够的市场竞争力，故本次收购不会对公司在电池新技术的研发规划和布局节奏造成影响。相反，如果本次交易能顺利落地，公司的研发资源、实力将得到进一步增强，双方也将通过加强技术人才交流，研发成果互换，共同开发等方式，进一步加快推动电池新技术发展，持续助力行业持续降本增效。</w:t>
            </w:r>
          </w:p>
          <w:p>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0" w:beforeLines="50" w:line="329" w:lineRule="auto"/>
              <w:ind w:left="113" w:right="108" w:firstLine="505"/>
              <w:jc w:val="both"/>
              <w:textAlignment w:val="baseline"/>
              <w:rPr>
                <w:rFonts w:hint="eastAsia"/>
                <w:b/>
                <w:bCs/>
                <w:lang w:val="en-US" w:eastAsia="zh-CN"/>
              </w:rPr>
            </w:pPr>
            <w:r>
              <w:rPr>
                <w:rFonts w:hint="eastAsia"/>
                <w:b/>
                <w:bCs/>
                <w:lang w:val="en-US" w:eastAsia="zh-CN"/>
              </w:rPr>
              <w:t>公司应该和润阳的股东和管理层签订严格的业绩承诺，有效控制风险。</w:t>
            </w:r>
          </w:p>
          <w:p>
            <w:pPr>
              <w:pStyle w:val="7"/>
              <w:spacing w:before="36" w:line="329" w:lineRule="auto"/>
              <w:ind w:left="113" w:right="105" w:firstLine="503"/>
              <w:jc w:val="both"/>
              <w:rPr>
                <w:rFonts w:hint="default"/>
                <w:b w:val="0"/>
                <w:bCs w:val="0"/>
                <w:lang w:val="en-US" w:eastAsia="zh-CN"/>
              </w:rPr>
            </w:pPr>
            <w:r>
              <w:rPr>
                <w:rFonts w:hint="eastAsia"/>
                <w:lang w:val="en-US" w:eastAsia="zh-CN"/>
              </w:rPr>
              <w:t>答：感谢您的建议，目前公司与江苏润阳还未就本次交易签署最终正式协议，交易细则仍有待进一步磋商。公司将积极履行尽调程序，考虑必要风控措施，及时披露交易相关进展，维护全体股东利益。</w:t>
            </w:r>
          </w:p>
          <w:p>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0" w:beforeLines="50" w:line="329" w:lineRule="auto"/>
              <w:ind w:left="113" w:right="108" w:firstLine="505"/>
              <w:jc w:val="both"/>
              <w:textAlignment w:val="baseline"/>
              <w:rPr>
                <w:rFonts w:hint="eastAsia"/>
                <w:b/>
                <w:bCs/>
                <w:lang w:val="en-US" w:eastAsia="zh-CN"/>
              </w:rPr>
            </w:pPr>
            <w:r>
              <w:rPr>
                <w:rFonts w:hint="eastAsia"/>
                <w:b/>
                <w:bCs/>
                <w:lang w:val="en-US" w:eastAsia="zh-CN"/>
              </w:rPr>
              <w:t>公司HJT 1GW的中试线目前运行情况如何？</w:t>
            </w:r>
          </w:p>
          <w:p>
            <w:pPr>
              <w:pStyle w:val="7"/>
              <w:spacing w:before="36" w:line="329" w:lineRule="auto"/>
              <w:ind w:left="113" w:right="105" w:firstLine="503"/>
              <w:jc w:val="both"/>
              <w:rPr>
                <w:rFonts w:hint="default"/>
                <w:lang w:val="en-US" w:eastAsia="zh-CN"/>
              </w:rPr>
            </w:pPr>
            <w:r>
              <w:rPr>
                <w:rFonts w:hint="eastAsia"/>
                <w:lang w:val="en-US" w:eastAsia="zh-CN"/>
              </w:rPr>
              <w:t>答：尊敬的投资者您好，目前公司1GW HJT中试线平均功率已突破735W（210-66版型），整线A级率超过97%，碎片率低于0.5%，产线稼动能力已接近理论产能的100%，公司将在该中试线上持续优化各项指标，进一步巩固通威HJT的行业标杆地位。谢谢！</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29" w:lineRule="auto"/>
              <w:ind w:left="113" w:right="108" w:firstLine="505"/>
              <w:jc w:val="both"/>
              <w:textAlignment w:val="baseline"/>
              <w:rPr>
                <w:rFonts w:hint="default"/>
                <w:b/>
                <w:bCs/>
                <w:lang w:val="en-US" w:eastAsia="zh-CN"/>
              </w:rPr>
            </w:pPr>
            <w:r>
              <w:rPr>
                <w:rFonts w:hint="eastAsia"/>
                <w:b/>
                <w:bCs/>
                <w:lang w:val="en-US" w:eastAsia="zh-CN"/>
              </w:rPr>
              <w:t>5</w:t>
            </w:r>
            <w:r>
              <w:rPr>
                <w:b/>
                <w:bCs/>
                <w:lang w:eastAsia="zh-CN"/>
              </w:rPr>
              <w:t>、</w:t>
            </w:r>
            <w:r>
              <w:rPr>
                <w:rFonts w:hint="eastAsia"/>
                <w:b/>
                <w:bCs/>
                <w:lang w:eastAsia="zh-CN"/>
              </w:rPr>
              <w:t>HJT 735W的功率是个什么概念，公司同版型的TOPCon组件功率有多少？</w:t>
            </w:r>
          </w:p>
          <w:p>
            <w:pPr>
              <w:pStyle w:val="7"/>
              <w:spacing w:before="36" w:line="329" w:lineRule="auto"/>
              <w:ind w:left="113" w:right="105" w:firstLine="503"/>
              <w:jc w:val="both"/>
              <w:rPr>
                <w:rFonts w:hint="default"/>
                <w:spacing w:val="-2"/>
                <w:lang w:val="en-US" w:eastAsia="zh-CN"/>
              </w:rPr>
            </w:pPr>
            <w:r>
              <w:rPr>
                <w:spacing w:val="-2"/>
                <w:lang w:eastAsia="zh-CN"/>
              </w:rPr>
              <w:t>答：</w:t>
            </w:r>
            <w:r>
              <w:rPr>
                <w:rFonts w:hint="eastAsia" w:cs="Arial"/>
                <w:color w:val="222222"/>
                <w:szCs w:val="21"/>
                <w:shd w:val="clear" w:color="auto" w:fill="FFFFFF"/>
                <w:lang w:val="en-US" w:eastAsia="zh-CN"/>
              </w:rPr>
              <w:t>尊敬的投资者您好，目前公司210-66版型THC组件功率已突破735W，较公司同版型TNC组件功率高出约20-25W。若叠加HJT高双面率、低温度系数等优势，有望在一些特定环境下实现相较TOPCon3%-4%的发电量增益。谢谢！</w:t>
            </w:r>
          </w:p>
          <w:p>
            <w:pPr>
              <w:pStyle w:val="7"/>
              <w:keepNext w:val="0"/>
              <w:keepLines w:val="0"/>
              <w:pageBreakBefore w:val="0"/>
              <w:widowControl/>
              <w:kinsoku w:val="0"/>
              <w:wordWrap/>
              <w:overflowPunct/>
              <w:topLinePunct w:val="0"/>
              <w:autoSpaceDE w:val="0"/>
              <w:autoSpaceDN w:val="0"/>
              <w:bidi w:val="0"/>
              <w:adjustRightInd w:val="0"/>
              <w:snapToGrid w:val="0"/>
              <w:spacing w:before="0" w:beforeLines="50" w:line="329" w:lineRule="auto"/>
              <w:ind w:left="113" w:right="108" w:firstLine="505"/>
              <w:jc w:val="both"/>
              <w:textAlignment w:val="baseline"/>
              <w:rPr>
                <w:rFonts w:hint="default"/>
                <w:b/>
                <w:bCs/>
                <w:lang w:val="en-US" w:eastAsia="zh-CN"/>
              </w:rPr>
            </w:pPr>
            <w:r>
              <w:rPr>
                <w:rFonts w:hint="eastAsia"/>
                <w:b/>
                <w:bCs/>
                <w:lang w:val="en-US" w:eastAsia="zh-CN"/>
              </w:rPr>
              <w:t>6</w:t>
            </w:r>
            <w:r>
              <w:rPr>
                <w:b/>
                <w:bCs/>
                <w:lang w:eastAsia="zh-CN"/>
              </w:rPr>
              <w:t>、</w:t>
            </w:r>
            <w:r>
              <w:rPr>
                <w:rFonts w:hint="eastAsia"/>
                <w:b/>
                <w:bCs/>
                <w:lang w:eastAsia="zh-CN"/>
              </w:rPr>
              <w:t>有传闻称公司后面不会布局HJT了，研发也会停，想跟公司确认下。</w:t>
            </w:r>
          </w:p>
          <w:p>
            <w:pPr>
              <w:pStyle w:val="7"/>
              <w:spacing w:before="36" w:line="329" w:lineRule="auto"/>
              <w:ind w:left="113" w:right="105" w:firstLine="503"/>
              <w:jc w:val="both"/>
              <w:rPr>
                <w:rFonts w:hint="default"/>
                <w:lang w:val="en-US" w:eastAsia="zh-CN"/>
              </w:rPr>
            </w:pPr>
            <w:r>
              <w:rPr>
                <w:spacing w:val="-2"/>
                <w:lang w:eastAsia="zh-CN"/>
              </w:rPr>
              <w:t>答：</w:t>
            </w:r>
            <w:r>
              <w:rPr>
                <w:rFonts w:hint="eastAsia"/>
                <w:spacing w:val="-2"/>
                <w:lang w:val="en-US" w:eastAsia="zh-CN"/>
              </w:rPr>
              <w:t>尊敬的投资者您好，公司HJT技术的相关研发和中试工作均按原计划积极推进，目前取得的工作成果均符合公司预期，其中1GW HJT中试线平均功率已突破735W（210-66版型），整线A级率超过97%，碎片率低于0.5%，产线稼动能力已接近理论产能的100%。与此同时，公司已有明确的降本提效路径，并计划在2024年底前输出具有通威特色的HJT+铜互连解决方案。谢谢！</w:t>
            </w:r>
          </w:p>
          <w:p>
            <w:pPr>
              <w:pStyle w:val="7"/>
              <w:keepNext w:val="0"/>
              <w:keepLines w:val="0"/>
              <w:pageBreakBefore w:val="0"/>
              <w:widowControl/>
              <w:numPr>
                <w:ilvl w:val="0"/>
                <w:numId w:val="3"/>
              </w:numPr>
              <w:kinsoku w:val="0"/>
              <w:wordWrap/>
              <w:overflowPunct/>
              <w:topLinePunct w:val="0"/>
              <w:autoSpaceDE w:val="0"/>
              <w:autoSpaceDN w:val="0"/>
              <w:bidi w:val="0"/>
              <w:adjustRightInd w:val="0"/>
              <w:snapToGrid w:val="0"/>
              <w:spacing w:before="0" w:beforeLines="50" w:line="329" w:lineRule="auto"/>
              <w:ind w:left="113" w:right="108" w:firstLine="505"/>
              <w:jc w:val="both"/>
              <w:textAlignment w:val="baseline"/>
              <w:rPr>
                <w:rFonts w:hint="eastAsia" w:cs="宋体"/>
                <w:b/>
                <w:bCs/>
                <w:sz w:val="24"/>
                <w:szCs w:val="24"/>
                <w:lang w:val="en-US" w:eastAsia="zh-CN"/>
              </w:rPr>
            </w:pPr>
            <w:r>
              <w:rPr>
                <w:rFonts w:hint="eastAsia" w:cs="宋体"/>
                <w:b/>
                <w:bCs/>
                <w:sz w:val="24"/>
                <w:szCs w:val="24"/>
                <w:lang w:val="en-US" w:eastAsia="zh-CN"/>
              </w:rPr>
              <w:t>公司HJT中试线降本做得怎么样了？</w:t>
            </w:r>
          </w:p>
          <w:p>
            <w:pPr>
              <w:pStyle w:val="7"/>
              <w:spacing w:before="36" w:line="329" w:lineRule="auto"/>
              <w:ind w:left="113" w:right="105" w:firstLine="503"/>
              <w:jc w:val="both"/>
              <w:rPr>
                <w:rFonts w:hint="default"/>
                <w:spacing w:val="-2"/>
                <w:lang w:val="en-US" w:eastAsia="zh-CN"/>
              </w:rPr>
            </w:pPr>
            <w:r>
              <w:rPr>
                <w:spacing w:val="-2"/>
                <w:lang w:eastAsia="zh-CN"/>
              </w:rPr>
              <w:t>答：</w:t>
            </w:r>
            <w:r>
              <w:rPr>
                <w:rFonts w:hint="eastAsia"/>
                <w:spacing w:val="-2"/>
                <w:lang w:val="en-US" w:eastAsia="zh-CN"/>
              </w:rPr>
              <w:t>尊敬的投资者您好，受益于HJT电池的对称结构及全流程的低温工艺，目前HJT硅片薄片化进程推进顺利。非硅成本方面，目前公司中试线已成功导入30%银包铜浆料、低铟靶材等降本方案，金属化成本、靶材成本较前期均显著降低。与此同时，随着HJT组件端功率大幅提升，组件辅材单瓦成本持续走低。未来，公司仍将继续围绕HJT硅片、电池、组件全产业链，充分挖掘各环节降本提效潜力，为加快HJT产业化进程积极贡献“通威力量”。谢谢！</w:t>
            </w:r>
          </w:p>
          <w:p>
            <w:pPr>
              <w:pStyle w:val="7"/>
              <w:keepNext w:val="0"/>
              <w:keepLines w:val="0"/>
              <w:pageBreakBefore w:val="0"/>
              <w:widowControl/>
              <w:numPr>
                <w:ilvl w:val="0"/>
                <w:numId w:val="3"/>
              </w:numPr>
              <w:kinsoku w:val="0"/>
              <w:wordWrap/>
              <w:overflowPunct/>
              <w:topLinePunct w:val="0"/>
              <w:autoSpaceDE w:val="0"/>
              <w:autoSpaceDN w:val="0"/>
              <w:bidi w:val="0"/>
              <w:adjustRightInd w:val="0"/>
              <w:snapToGrid w:val="0"/>
              <w:spacing w:before="0" w:beforeLines="50" w:line="329" w:lineRule="auto"/>
              <w:ind w:left="113" w:right="108" w:firstLine="505"/>
              <w:jc w:val="both"/>
              <w:textAlignment w:val="baseline"/>
              <w:rPr>
                <w:rFonts w:hint="eastAsia" w:cs="宋体"/>
                <w:b/>
                <w:bCs/>
                <w:sz w:val="24"/>
                <w:szCs w:val="24"/>
                <w:lang w:val="en-US" w:eastAsia="zh-CN"/>
              </w:rPr>
            </w:pPr>
            <w:r>
              <w:rPr>
                <w:rFonts w:hint="eastAsia" w:cs="宋体"/>
                <w:b/>
                <w:bCs/>
                <w:sz w:val="24"/>
                <w:szCs w:val="24"/>
                <w:lang w:val="en-US" w:eastAsia="zh-CN"/>
              </w:rPr>
              <w:t>公司回购现在进行的怎么样了？</w:t>
            </w:r>
          </w:p>
          <w:p>
            <w:pPr>
              <w:pStyle w:val="7"/>
              <w:spacing w:before="36" w:line="329" w:lineRule="auto"/>
              <w:ind w:left="113" w:right="105" w:firstLine="503"/>
              <w:jc w:val="both"/>
              <w:rPr>
                <w:rFonts w:hint="default" w:eastAsia="宋体"/>
                <w:lang w:val="en-US" w:eastAsia="zh-CN"/>
              </w:rPr>
            </w:pPr>
            <w:r>
              <w:rPr>
                <w:spacing w:val="-2"/>
                <w:lang w:eastAsia="zh-CN"/>
              </w:rPr>
              <w:t>答：</w:t>
            </w:r>
            <w:r>
              <w:rPr>
                <w:rFonts w:hint="eastAsia"/>
                <w:spacing w:val="-2"/>
                <w:lang w:val="en-US" w:eastAsia="zh-CN"/>
              </w:rPr>
              <w:t>尊敬的投资者，您好！截至2024年8月底，公司通过上海证券交易所交易系统以集中竞价交易方式累计回购公司股份87,009,742股，占公司目前总股本4,501,978,061股的1.9327%，回购成交的最高价为22.94元/股，最低价为17.43元/股，成交总金额为1,730,285,185.34元（不含交易佣金等交易费用）。</w:t>
            </w:r>
          </w:p>
          <w:p>
            <w:pPr>
              <w:pStyle w:val="7"/>
              <w:keepNext w:val="0"/>
              <w:keepLines w:val="0"/>
              <w:pageBreakBefore w:val="0"/>
              <w:widowControl/>
              <w:numPr>
                <w:ilvl w:val="0"/>
                <w:numId w:val="3"/>
              </w:numPr>
              <w:kinsoku w:val="0"/>
              <w:wordWrap/>
              <w:overflowPunct/>
              <w:topLinePunct w:val="0"/>
              <w:autoSpaceDE w:val="0"/>
              <w:autoSpaceDN w:val="0"/>
              <w:bidi w:val="0"/>
              <w:adjustRightInd w:val="0"/>
              <w:snapToGrid w:val="0"/>
              <w:spacing w:before="0" w:beforeLines="50" w:line="329" w:lineRule="auto"/>
              <w:ind w:left="113" w:right="108" w:firstLine="505"/>
              <w:jc w:val="both"/>
              <w:textAlignment w:val="baseline"/>
              <w:rPr>
                <w:rFonts w:hint="eastAsia" w:cs="宋体"/>
                <w:b/>
                <w:bCs/>
                <w:sz w:val="24"/>
                <w:szCs w:val="24"/>
                <w:lang w:val="en-US" w:eastAsia="zh-CN"/>
              </w:rPr>
            </w:pPr>
            <w:r>
              <w:rPr>
                <w:rFonts w:hint="eastAsia" w:cs="宋体"/>
                <w:b/>
                <w:bCs/>
                <w:sz w:val="24"/>
                <w:szCs w:val="24"/>
                <w:lang w:val="en-US" w:eastAsia="zh-CN"/>
              </w:rPr>
              <w:t>公司目前已经两个季度报表亏损，预计亏损状态还要持续多久？</w:t>
            </w:r>
          </w:p>
          <w:p>
            <w:pPr>
              <w:pStyle w:val="7"/>
              <w:spacing w:before="36" w:line="329" w:lineRule="auto"/>
              <w:ind w:left="113" w:right="105" w:firstLine="503"/>
              <w:jc w:val="both"/>
              <w:rPr>
                <w:rFonts w:hint="eastAsia"/>
                <w:spacing w:val="-2"/>
                <w:lang w:val="en-US" w:eastAsia="zh-CN"/>
              </w:rPr>
            </w:pPr>
            <w:r>
              <w:rPr>
                <w:spacing w:val="-2"/>
                <w:lang w:eastAsia="zh-CN"/>
              </w:rPr>
              <w:t>答：</w:t>
            </w:r>
            <w:r>
              <w:rPr>
                <w:rFonts w:hint="eastAsia"/>
                <w:spacing w:val="-2"/>
                <w:lang w:val="en-US" w:eastAsia="zh-CN"/>
              </w:rPr>
              <w:t>尊敬的投资者您好，受光伏市场供需失衡、产品价格持续下跌等多方面影响，光伏企业普遍呈现亏损状态，公司今年以来的业绩变动基本符合行业普遍情况。面对光伏行业当前周期性压力，公司将坚定围绕“打造世界级清洁能源运营商和世界级安全食品供应商”的长期发展战略，持续夯实公司成本、研发、品牌等核心竞争力，不断提升自身抗风险能力，为公司长期稳健发展筑牢坚实根基。谢谢！</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r>
              <w:rPr>
                <w:rFonts w:hint="eastAsia"/>
                <w:b/>
                <w:bCs/>
                <w:spacing w:val="-2"/>
                <w:lang w:val="en-US" w:eastAsia="zh-CN"/>
              </w:rPr>
              <w:t>光伏装机已经经历连续几年的大幅增长，今年以来全球装机增速均有回落，发展趋势令人担忧，公司对未来光伏行业需求怎么看？</w:t>
            </w:r>
          </w:p>
          <w:p>
            <w:pPr>
              <w:pStyle w:val="7"/>
              <w:spacing w:before="36" w:line="329" w:lineRule="auto"/>
              <w:ind w:left="113" w:right="105" w:firstLine="503"/>
              <w:jc w:val="both"/>
              <w:rPr>
                <w:rFonts w:hint="eastAsia"/>
                <w:spacing w:val="-2"/>
                <w:lang w:val="en-US" w:eastAsia="zh-CN"/>
              </w:rPr>
            </w:pPr>
            <w:r>
              <w:rPr>
                <w:spacing w:val="-2"/>
                <w:lang w:eastAsia="zh-CN"/>
              </w:rPr>
              <w:t>答：</w:t>
            </w:r>
            <w:r>
              <w:rPr>
                <w:rFonts w:hint="eastAsia"/>
                <w:spacing w:val="-2"/>
                <w:lang w:val="en-US" w:eastAsia="zh-CN"/>
              </w:rPr>
              <w:t>尊敬的投资者您好，受全球减碳减排和绿色发展拉动，叠加光伏发电自身在经济性、安全性等方面显著的优势，光伏行业近年来快速增长，但仍具有巨大的发展潜力。据BNEF数据显示，2023年全球新增光伏装机容量达到444GW，同比增长76%，欧洲、美洲和其他新兴市场也在持续推进能源结构转型，全球光伏装机需求持续旺盛。国家能源局统计，2024年1-6月我国光伏新增并网规模102.48GW，同比进一步增长30.68%，同期我国电池组件累计出口量157.7GW，同比增长34%，仍然保持高增长趋势。</w:t>
            </w:r>
          </w:p>
          <w:p>
            <w:pPr>
              <w:pStyle w:val="7"/>
              <w:spacing w:before="36" w:line="329" w:lineRule="auto"/>
              <w:ind w:left="113" w:right="105" w:firstLine="503"/>
              <w:jc w:val="both"/>
              <w:rPr>
                <w:rFonts w:hint="eastAsia"/>
                <w:spacing w:val="-2"/>
                <w:lang w:val="en-US" w:eastAsia="zh-CN"/>
              </w:rPr>
            </w:pPr>
            <w:r>
              <w:rPr>
                <w:rFonts w:hint="eastAsia"/>
                <w:spacing w:val="-2"/>
                <w:lang w:val="en-US" w:eastAsia="zh-CN"/>
              </w:rPr>
              <w:t>虽当前光伏行业面临包括供应链价格波动、全球经济下行以及电力消纳压力等阶段性因素扰动，但随着光伏行业技术的持续进步、成本的不断降低，在政策与市场双轮驱动下，光伏行业作为全球能源转型最为重要的重要力量之一，尚具有非常巨大的市场空间。谢谢！</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r>
              <w:rPr>
                <w:rFonts w:hint="eastAsia"/>
                <w:b/>
                <w:bCs/>
                <w:spacing w:val="-2"/>
                <w:lang w:val="en-US" w:eastAsia="zh-CN"/>
              </w:rPr>
              <w:t>目前公司硅料是否还依然维持满产？后续是否考虑减产停产或者置换一些老旧产能？</w:t>
            </w:r>
          </w:p>
          <w:p>
            <w:pPr>
              <w:pStyle w:val="7"/>
              <w:spacing w:before="36" w:line="329" w:lineRule="auto"/>
              <w:ind w:left="113" w:right="105" w:firstLine="503"/>
              <w:jc w:val="both"/>
              <w:rPr>
                <w:rFonts w:hint="default" w:eastAsia="宋体"/>
                <w:lang w:val="en-US" w:eastAsia="zh-CN"/>
              </w:rPr>
            </w:pPr>
            <w:r>
              <w:rPr>
                <w:spacing w:val="-2"/>
                <w:lang w:eastAsia="zh-CN"/>
              </w:rPr>
              <w:t>答：</w:t>
            </w:r>
            <w:r>
              <w:rPr>
                <w:rFonts w:hint="eastAsia"/>
                <w:spacing w:val="-2"/>
                <w:lang w:val="en-US" w:eastAsia="zh-CN"/>
              </w:rPr>
              <w:t>尊敬的投资者您好，目前公司多晶硅生产环节保持满产。当前公司乐山和保山基地均处于全年电价最优的丰水期电价时段，加上公司自身在成本控制和客户结构等方面的市场综合竞争优势，通过对市场行情和公司自身成本、库存、资金等多方面谨慎判断，公司当前保持各个基地产能高负荷运行。后续公司将紧密跟踪市场供需情况、多晶硅价格走势，根据内部项目成本排序动态评估最优开工情况。感谢您的关注。</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r>
              <w:rPr>
                <w:rFonts w:hint="eastAsia"/>
                <w:b/>
                <w:bCs/>
                <w:spacing w:val="-2"/>
                <w:lang w:val="en-US" w:eastAsia="zh-CN"/>
              </w:rPr>
              <w:t>今年美国双反政策不断加码和反复，光伏出口未来的不确定性越来越大，公司是否考虑在海外直接建产能？</w:t>
            </w:r>
          </w:p>
          <w:p>
            <w:pPr>
              <w:pStyle w:val="7"/>
              <w:spacing w:before="36" w:line="329" w:lineRule="auto"/>
              <w:ind w:left="113" w:right="105" w:firstLine="503"/>
              <w:jc w:val="both"/>
              <w:rPr>
                <w:rFonts w:hint="eastAsia"/>
                <w:spacing w:val="-2"/>
                <w:lang w:val="en-US" w:eastAsia="zh-CN"/>
              </w:rPr>
            </w:pPr>
            <w:r>
              <w:rPr>
                <w:spacing w:val="-2"/>
                <w:lang w:eastAsia="zh-CN"/>
              </w:rPr>
              <w:t>答：</w:t>
            </w:r>
            <w:r>
              <w:rPr>
                <w:rFonts w:hint="eastAsia"/>
                <w:spacing w:val="-2"/>
                <w:lang w:val="en-US" w:eastAsia="zh-CN"/>
              </w:rPr>
              <w:t>尊敬的投资者您好，公司一直对产能出海的机会保持高度关注和积极研究，前期相关团队也进行过多次调研，并持续围绕海外贸易政策、生产要素稳定性、产业配套、投资强度、合作模式等机遇与挑战进行全方位论证，后期具体项目规划请以公司公告为准。感谢您的关注。</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r>
              <w:rPr>
                <w:rFonts w:hint="eastAsia"/>
                <w:b/>
                <w:bCs/>
                <w:spacing w:val="-2"/>
                <w:lang w:val="en-US" w:eastAsia="zh-CN"/>
              </w:rPr>
              <w:t>请问收购润阳进展如何？什么时候整合形成一体化竞争力？</w:t>
            </w:r>
          </w:p>
          <w:p>
            <w:pPr>
              <w:pStyle w:val="7"/>
              <w:spacing w:before="36" w:line="329" w:lineRule="auto"/>
              <w:ind w:left="113" w:right="105" w:firstLine="503"/>
              <w:jc w:val="both"/>
              <w:rPr>
                <w:rFonts w:hint="eastAsia"/>
                <w:spacing w:val="-2"/>
                <w:lang w:val="en-US" w:eastAsia="zh-CN"/>
              </w:rPr>
            </w:pPr>
            <w:r>
              <w:rPr>
                <w:spacing w:val="-2"/>
                <w:lang w:eastAsia="zh-CN"/>
              </w:rPr>
              <w:t>答：</w:t>
            </w:r>
            <w:r>
              <w:rPr>
                <w:rFonts w:hint="eastAsia"/>
                <w:spacing w:val="-2"/>
                <w:lang w:val="en-US" w:eastAsia="zh-CN"/>
              </w:rPr>
              <w:t>尊敬的投资者，您好。公司于2024年8月14日披露《关于与江苏润阳新能源科技股份有限公司及相关方签署增资意向性协议的公告》，就取得润阳股份不低于51%的股权事项与相关方形成初步原则性意向，该事项的推进尚需各方根据中介机构出具的审计报告、评估报告等进一步磋商，交易事项也尚需国家有关监管部门审核批准。目前各相关工作已在有序推动中，公司后续将根据交易事项进展情况，及时履行相应决策审批程序和信息披露义务，谢谢！</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r>
              <w:rPr>
                <w:rFonts w:hint="eastAsia"/>
                <w:b/>
                <w:bCs/>
                <w:spacing w:val="-2"/>
                <w:lang w:val="en-US" w:eastAsia="zh-CN"/>
              </w:rPr>
              <w:t>公司上半年的减值里有计提PERC电池产能嘛？</w:t>
            </w:r>
          </w:p>
          <w:p>
            <w:pPr>
              <w:pStyle w:val="7"/>
              <w:spacing w:before="36" w:line="329" w:lineRule="auto"/>
              <w:ind w:left="113" w:right="105" w:firstLine="503"/>
              <w:jc w:val="both"/>
              <w:rPr>
                <w:rFonts w:hint="eastAsia"/>
                <w:spacing w:val="-2"/>
                <w:lang w:val="en-US" w:eastAsia="zh-CN"/>
              </w:rPr>
            </w:pPr>
            <w:r>
              <w:rPr>
                <w:spacing w:val="-2"/>
                <w:lang w:eastAsia="zh-CN"/>
              </w:rPr>
              <w:t>答：</w:t>
            </w:r>
            <w:r>
              <w:rPr>
                <w:rFonts w:hint="eastAsia"/>
                <w:spacing w:val="-2"/>
                <w:lang w:val="en-US" w:eastAsia="zh-CN"/>
              </w:rPr>
              <w:t>尊敬的投资者您好，公司上半年资产减值损失共计23.7亿元，主要为存货减值计提。公司主要的PERC电池产能已在2023财年中充分计提资产减值损失，2024年上半年不再涉及PERC电池产能的资产减值。谢谢！</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r>
              <w:rPr>
                <w:rFonts w:hint="eastAsia"/>
                <w:b/>
                <w:bCs/>
                <w:spacing w:val="-2"/>
                <w:lang w:val="en-US" w:eastAsia="zh-CN"/>
              </w:rPr>
              <w:t>公司目前各环节库存水平如何？后续还会不会大额计提存货减值？</w:t>
            </w:r>
          </w:p>
          <w:p>
            <w:pPr>
              <w:pStyle w:val="7"/>
              <w:spacing w:before="36" w:line="329" w:lineRule="auto"/>
              <w:ind w:left="113" w:right="105" w:firstLine="503"/>
              <w:jc w:val="both"/>
              <w:rPr>
                <w:rFonts w:hint="eastAsia"/>
                <w:spacing w:val="-2"/>
                <w:lang w:val="en-US" w:eastAsia="zh-CN"/>
              </w:rPr>
            </w:pPr>
            <w:r>
              <w:rPr>
                <w:spacing w:val="-2"/>
                <w:lang w:eastAsia="zh-CN"/>
              </w:rPr>
              <w:t>答：</w:t>
            </w:r>
            <w:r>
              <w:rPr>
                <w:rFonts w:hint="eastAsia"/>
                <w:spacing w:val="-2"/>
                <w:lang w:val="en-US" w:eastAsia="zh-CN"/>
              </w:rPr>
              <w:t>尊敬的投资者您好，公司作为光伏行业的主要推动者之一，长期以来产品质量、公司信誉享有较高的行业认可度，并与下游多家客户建立了稳定的战略合作关系，上半年各环节产品均保持积极出货，截至目前多晶硅、电池、组件产品库存周期均优于行业平均水平。公司存货减值计提的方法按照期末时存货成本与可变现净值孰低计量，存货成本高于其可变现净值的差额计提存货跌价准备，计入当期损益，后续具体请参考公司定期报告。谢谢！</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r>
              <w:rPr>
                <w:rFonts w:hint="eastAsia"/>
                <w:b/>
                <w:bCs/>
                <w:spacing w:val="-2"/>
                <w:lang w:val="en-US" w:eastAsia="zh-CN"/>
              </w:rPr>
              <w:t>请问如果最后决定收购润阳，是使用公司届时账面的资金支付，还是额外进行融资来支付？如果是融资的话，一般采取什么样的融资方式？</w:t>
            </w:r>
          </w:p>
          <w:p>
            <w:pPr>
              <w:pStyle w:val="7"/>
              <w:spacing w:before="36" w:line="329" w:lineRule="auto"/>
              <w:ind w:left="113" w:right="105" w:firstLine="503"/>
              <w:jc w:val="both"/>
              <w:rPr>
                <w:rFonts w:hint="eastAsia"/>
                <w:spacing w:val="-2"/>
                <w:lang w:eastAsia="zh-CN"/>
              </w:rPr>
            </w:pPr>
            <w:r>
              <w:rPr>
                <w:spacing w:val="-2"/>
                <w:lang w:eastAsia="zh-CN"/>
              </w:rPr>
              <w:t>答：</w:t>
            </w:r>
            <w:r>
              <w:rPr>
                <w:rFonts w:hint="eastAsia"/>
                <w:spacing w:val="-2"/>
                <w:lang w:eastAsia="zh-CN"/>
              </w:rPr>
              <w:t>尊敬的投资者，您好!在公司完成对润阳股份尽职调查以及审计、评估工作，并如果最终能够与各方达成正式增资具体方案后，公司将以自有或自筹资金向润阳股份现金增资。谢谢！</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r>
              <w:rPr>
                <w:rFonts w:hint="eastAsia"/>
                <w:b/>
                <w:bCs/>
                <w:spacing w:val="-2"/>
                <w:lang w:val="en-US" w:eastAsia="zh-CN"/>
              </w:rPr>
              <w:t>近日有硅片企业宣布涨价，请问透露什么信号？是否是大势所趋？这一行为会对上游企业及产业链价格变动产生什么影响？</w:t>
            </w:r>
          </w:p>
          <w:p>
            <w:pPr>
              <w:pStyle w:val="7"/>
              <w:spacing w:before="36" w:line="329" w:lineRule="auto"/>
              <w:ind w:left="113" w:right="105" w:firstLine="503"/>
              <w:jc w:val="both"/>
              <w:rPr>
                <w:rFonts w:hint="eastAsia"/>
                <w:spacing w:val="-2"/>
                <w:lang w:eastAsia="zh-CN"/>
              </w:rPr>
            </w:pPr>
            <w:r>
              <w:rPr>
                <w:spacing w:val="-2"/>
                <w:lang w:eastAsia="zh-CN"/>
              </w:rPr>
              <w:t>答：</w:t>
            </w:r>
            <w:r>
              <w:rPr>
                <w:rFonts w:hint="eastAsia"/>
                <w:spacing w:val="-2"/>
                <w:lang w:eastAsia="zh-CN"/>
              </w:rPr>
              <w:t>尊敬的投资者，您好。今年二季度以来，光伏产业链包括硅片在内的各个环节价格已经持续跌破企业成本线，行业处于非常规状态，近期部分企业上调产品价格，也反映当前行业面临的严峻压力，公司判断伴随着终端需求的持续增长以及供应端不断出清，行业将逐步恢复正常态。谢谢！</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r>
              <w:rPr>
                <w:rFonts w:hint="eastAsia"/>
                <w:b/>
                <w:bCs/>
                <w:spacing w:val="-2"/>
                <w:lang w:val="en-US" w:eastAsia="zh-CN"/>
              </w:rPr>
              <w:t>光伏行业现在亏损恶化，贵公司有没有考虑进一步加大饲料业务的发展和投资力度，弥补光伏业务的亏损？</w:t>
            </w:r>
          </w:p>
          <w:p>
            <w:pPr>
              <w:pStyle w:val="7"/>
              <w:spacing w:before="36" w:line="329" w:lineRule="auto"/>
              <w:ind w:left="113" w:right="105" w:firstLine="503"/>
              <w:jc w:val="both"/>
              <w:rPr>
                <w:rFonts w:hint="eastAsia"/>
                <w:spacing w:val="-2"/>
                <w:lang w:eastAsia="zh-CN"/>
              </w:rPr>
            </w:pPr>
            <w:r>
              <w:rPr>
                <w:spacing w:val="-2"/>
                <w:lang w:eastAsia="zh-CN"/>
              </w:rPr>
              <w:t>答：</w:t>
            </w:r>
            <w:r>
              <w:rPr>
                <w:rFonts w:hint="eastAsia"/>
                <w:spacing w:val="-2"/>
                <w:lang w:eastAsia="zh-CN"/>
              </w:rPr>
              <w:t>尊敬的投资者您好，饲料业务是公司发展之初就确立的主要业务，随着该行业发展已逐步进入成熟期，公司近年围绕“质量方针”、“标准化”生产等持续引领行业提升产品品质，助力实现养殖效益最大化，推动产业高质量发展，也实现了饲料业务产销量和利润稳步提升。未来公司将继续以“世界级绿色食品供应商”为目标，持续重点推进该业务板块稳健发展。谢谢！</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r>
              <w:rPr>
                <w:rFonts w:hint="eastAsia"/>
                <w:b/>
                <w:bCs/>
                <w:spacing w:val="-2"/>
                <w:lang w:val="en-US" w:eastAsia="zh-CN"/>
              </w:rPr>
              <w:t>公司如何看待明年光伏产业链价格？</w:t>
            </w:r>
          </w:p>
          <w:p>
            <w:pPr>
              <w:pStyle w:val="7"/>
              <w:spacing w:before="36" w:line="329" w:lineRule="auto"/>
              <w:ind w:left="113" w:right="105" w:firstLine="503"/>
              <w:jc w:val="both"/>
              <w:rPr>
                <w:rFonts w:hint="eastAsia"/>
                <w:spacing w:val="-2"/>
                <w:lang w:eastAsia="zh-CN"/>
              </w:rPr>
            </w:pPr>
            <w:r>
              <w:rPr>
                <w:spacing w:val="-2"/>
                <w:lang w:eastAsia="zh-CN"/>
              </w:rPr>
              <w:t>答：</w:t>
            </w:r>
            <w:r>
              <w:rPr>
                <w:rFonts w:hint="eastAsia"/>
                <w:spacing w:val="-2"/>
                <w:lang w:eastAsia="zh-CN"/>
              </w:rPr>
              <w:t>尊敬的投资者您好，今年以来光伏行业阶段性供需失衡形势愈加严峻。据CPIA等专业机构统计，1-6月我国多晶硅、硅片、电池、组件价格分别下跌40%、48%、36%、15%，各环节价格均创历史新低，全面击穿企业成本线，行业陷入普遍亏损，价格水平已处于周期底部阶段，但光伏产业链价格受产品上下游供需动态变化、电源消纳和电力需求等众多方面因素的影响，短期价格走势的可预测性不强。长期来看，随着行业供应端产能出清加速进行，全球能源转型加速推动光伏装机需求持续增长，光伏上下游供需关系重新平衡后，各环节价格有望逐步回升。谢谢！</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r>
              <w:rPr>
                <w:rFonts w:hint="eastAsia"/>
                <w:b/>
                <w:bCs/>
                <w:spacing w:val="-2"/>
                <w:lang w:val="en-US" w:eastAsia="zh-CN"/>
              </w:rPr>
              <w:t>公司组件海外销售情况怎么样？</w:t>
            </w:r>
          </w:p>
          <w:p>
            <w:pPr>
              <w:pStyle w:val="7"/>
              <w:spacing w:before="36" w:line="329" w:lineRule="auto"/>
              <w:ind w:left="113" w:right="105" w:firstLine="503"/>
              <w:jc w:val="both"/>
              <w:rPr>
                <w:rFonts w:hint="eastAsia"/>
                <w:spacing w:val="-2"/>
                <w:lang w:eastAsia="zh-CN"/>
              </w:rPr>
            </w:pPr>
            <w:r>
              <w:rPr>
                <w:spacing w:val="-2"/>
                <w:lang w:eastAsia="zh-CN"/>
              </w:rPr>
              <w:t>答：</w:t>
            </w:r>
            <w:r>
              <w:rPr>
                <w:rFonts w:hint="eastAsia"/>
                <w:spacing w:val="-2"/>
                <w:lang w:eastAsia="zh-CN"/>
              </w:rPr>
              <w:t>尊敬的投资者您好，公司在巩固海外已有市场的基础上，上半年新增开发南非、阿联酋等重要市场，并相继获得南非AMEA;Power、西班牙Baywa、罗马尼亚GLODENI;SOLAR等海外知名客户组件订单，并凭借高效稳定的产品、可靠的品牌实力以及强大的融资能力，连续荣登BNEF</w:t>
            </w:r>
            <w:r>
              <w:rPr>
                <w:rFonts w:hint="eastAsia"/>
                <w:spacing w:val="-2"/>
                <w:lang w:val="en-US" w:eastAsia="zh-CN"/>
              </w:rPr>
              <w:t xml:space="preserve"> </w:t>
            </w:r>
            <w:r>
              <w:rPr>
                <w:rFonts w:hint="eastAsia"/>
                <w:spacing w:val="-2"/>
                <w:lang w:eastAsia="zh-CN"/>
              </w:rPr>
              <w:t>Tier1光伏组件制造商榜单。随着公司海外渠道的不断完善，通威组件海外影响力与份额正持续稳步提升。</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r>
              <w:rPr>
                <w:rFonts w:hint="eastAsia"/>
                <w:b/>
                <w:bCs/>
                <w:spacing w:val="-2"/>
                <w:lang w:val="en-US" w:eastAsia="zh-CN"/>
              </w:rPr>
              <w:t>公司TOPCon非硅成本现在是什么水平？</w:t>
            </w:r>
          </w:p>
          <w:p>
            <w:pPr>
              <w:pStyle w:val="7"/>
              <w:spacing w:before="36" w:line="329" w:lineRule="auto"/>
              <w:ind w:left="113" w:right="105" w:firstLine="503"/>
              <w:jc w:val="both"/>
              <w:rPr>
                <w:rFonts w:hint="eastAsia"/>
                <w:spacing w:val="-2"/>
                <w:lang w:eastAsia="zh-CN"/>
              </w:rPr>
            </w:pPr>
            <w:r>
              <w:rPr>
                <w:spacing w:val="-2"/>
                <w:lang w:eastAsia="zh-CN"/>
              </w:rPr>
              <w:t>答：</w:t>
            </w:r>
            <w:r>
              <w:rPr>
                <w:rFonts w:hint="eastAsia"/>
                <w:spacing w:val="-2"/>
                <w:lang w:eastAsia="zh-CN"/>
              </w:rPr>
              <w:t>尊敬的投资者您好，上半年，得益于生产工艺改善、网版图形优化、国产浆料导入等措施，公司TNC产品非硅成本在国际银价大幅上涨的背景下较年初下降近20%，处于行业领先水平。谢谢！</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r>
              <w:rPr>
                <w:rFonts w:hint="eastAsia"/>
                <w:b/>
                <w:bCs/>
                <w:spacing w:val="-2"/>
                <w:lang w:val="en-US" w:eastAsia="zh-CN"/>
              </w:rPr>
              <w:t>组件价格现在如此非理性，不利于行业健康发展，公司是否还要保持低价策略？</w:t>
            </w:r>
          </w:p>
          <w:p>
            <w:pPr>
              <w:pStyle w:val="7"/>
              <w:spacing w:before="36" w:line="329" w:lineRule="auto"/>
              <w:ind w:left="113" w:right="105" w:firstLine="503"/>
              <w:jc w:val="both"/>
              <w:rPr>
                <w:rFonts w:hint="eastAsia"/>
                <w:spacing w:val="-2"/>
                <w:lang w:eastAsia="zh-CN"/>
              </w:rPr>
            </w:pPr>
            <w:r>
              <w:rPr>
                <w:spacing w:val="-2"/>
                <w:lang w:eastAsia="zh-CN"/>
              </w:rPr>
              <w:t>答：</w:t>
            </w:r>
            <w:r>
              <w:rPr>
                <w:rFonts w:hint="eastAsia"/>
                <w:spacing w:val="-2"/>
                <w:lang w:eastAsia="zh-CN"/>
              </w:rPr>
              <w:t>尊敬的投资者您好，公司各环节销售均以随行就市为原则，不存在刻意低价策略，均按照客户需求保持积极出货，盈利水平符合行业基本情况，感谢您的关注！</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r>
              <w:rPr>
                <w:rFonts w:hint="eastAsia"/>
                <w:b/>
                <w:bCs/>
                <w:spacing w:val="-2"/>
                <w:lang w:val="en-US" w:eastAsia="zh-CN"/>
              </w:rPr>
              <w:t>请介绍一下上半年饲料的具体生产量和销售量，谢谢！</w:t>
            </w:r>
          </w:p>
          <w:p>
            <w:pPr>
              <w:pStyle w:val="7"/>
              <w:spacing w:before="36" w:line="329" w:lineRule="auto"/>
              <w:ind w:left="113" w:right="105" w:firstLine="503"/>
              <w:jc w:val="both"/>
              <w:rPr>
                <w:rFonts w:hint="eastAsia"/>
                <w:spacing w:val="-2"/>
                <w:lang w:eastAsia="zh-CN"/>
              </w:rPr>
            </w:pPr>
            <w:r>
              <w:rPr>
                <w:spacing w:val="-2"/>
                <w:lang w:eastAsia="zh-CN"/>
              </w:rPr>
              <w:t>答：</w:t>
            </w:r>
            <w:r>
              <w:rPr>
                <w:rFonts w:hint="eastAsia"/>
                <w:spacing w:val="-2"/>
                <w:lang w:eastAsia="zh-CN"/>
              </w:rPr>
              <w:t>尊敬的投资者您好，公司上半年饲料产量315.16万吨、销量311.32万吨，感谢您的关注！</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bookmarkStart w:id="0" w:name="_GoBack"/>
            <w:bookmarkEnd w:id="0"/>
            <w:r>
              <w:rPr>
                <w:rFonts w:hint="eastAsia"/>
                <w:b/>
                <w:bCs/>
                <w:spacing w:val="-2"/>
                <w:lang w:val="en-US" w:eastAsia="zh-CN"/>
              </w:rPr>
              <w:t>请问公司上半年的经营性现金流已经转正，好于其他的同类企业。在现在价格击穿成本的大环境下，通威是采取了哪些较好的措施管理现金流？</w:t>
            </w:r>
          </w:p>
          <w:p>
            <w:pPr>
              <w:pStyle w:val="7"/>
              <w:spacing w:before="36" w:line="329" w:lineRule="auto"/>
              <w:ind w:left="113" w:right="105" w:firstLine="503"/>
              <w:jc w:val="both"/>
              <w:rPr>
                <w:rFonts w:hint="eastAsia"/>
                <w:spacing w:val="-2"/>
                <w:lang w:eastAsia="zh-CN"/>
              </w:rPr>
            </w:pPr>
            <w:r>
              <w:rPr>
                <w:spacing w:val="-2"/>
                <w:lang w:eastAsia="zh-CN"/>
              </w:rPr>
              <w:t>答：</w:t>
            </w:r>
            <w:r>
              <w:rPr>
                <w:rFonts w:hint="eastAsia"/>
                <w:spacing w:val="-2"/>
                <w:lang w:eastAsia="zh-CN"/>
              </w:rPr>
              <w:t>尊敬的投资者您好，现金流管理方面，在当前行业形势下，公司严控生产管理、持续降本增效，在现金流方面开源节流；同时，合理利用商业信用，优化资金管理效率，确保流动性安全。谢谢！</w:t>
            </w:r>
          </w:p>
          <w:p>
            <w:pPr>
              <w:pStyle w:val="7"/>
              <w:numPr>
                <w:ilvl w:val="0"/>
                <w:numId w:val="3"/>
              </w:numPr>
              <w:spacing w:before="36" w:line="329" w:lineRule="auto"/>
              <w:ind w:left="113" w:leftChars="0" w:right="105" w:firstLine="505" w:firstLineChars="0"/>
              <w:jc w:val="both"/>
              <w:rPr>
                <w:rFonts w:hint="eastAsia"/>
                <w:b/>
                <w:bCs/>
                <w:spacing w:val="-2"/>
                <w:lang w:val="en-US" w:eastAsia="zh-CN"/>
              </w:rPr>
            </w:pPr>
            <w:r>
              <w:rPr>
                <w:rFonts w:hint="eastAsia"/>
                <w:b/>
                <w:bCs/>
                <w:spacing w:val="-2"/>
                <w:lang w:val="en-US" w:eastAsia="zh-CN"/>
              </w:rPr>
              <w:t>公司半年报预计内蒙古通威20万吨硅料投产期推迟至2024年底，请问鄂尔多斯40万吨硅料项目开工建设又会推迟到何时？</w:t>
            </w:r>
          </w:p>
          <w:p>
            <w:pPr>
              <w:pStyle w:val="7"/>
              <w:spacing w:before="36" w:line="329" w:lineRule="auto"/>
              <w:ind w:left="113" w:right="105" w:firstLine="503"/>
              <w:jc w:val="both"/>
              <w:rPr>
                <w:rFonts w:hint="eastAsia"/>
                <w:spacing w:val="-2"/>
                <w:lang w:eastAsia="zh-CN"/>
              </w:rPr>
            </w:pPr>
            <w:r>
              <w:rPr>
                <w:spacing w:val="-2"/>
                <w:lang w:eastAsia="zh-CN"/>
              </w:rPr>
              <w:t>答：</w:t>
            </w:r>
            <w:r>
              <w:rPr>
                <w:rFonts w:hint="eastAsia"/>
                <w:spacing w:val="-2"/>
                <w:lang w:eastAsia="zh-CN"/>
              </w:rPr>
              <w:t>尊敬的投资者！公司稳步推进内蒙古通威20万吨高纯晶硅项目的建设工作，目前建设进度正常。公司鄂尔多斯40万吨高纯晶硅项目正开展前期准备工作。谢谢！</w:t>
            </w:r>
          </w:p>
          <w:p>
            <w:pPr>
              <w:pStyle w:val="7"/>
              <w:numPr>
                <w:ilvl w:val="0"/>
                <w:numId w:val="3"/>
              </w:numPr>
              <w:spacing w:before="36" w:line="329" w:lineRule="auto"/>
              <w:ind w:left="113" w:leftChars="0" w:right="105" w:firstLine="505" w:firstLineChars="0"/>
              <w:jc w:val="both"/>
              <w:rPr>
                <w:rFonts w:hint="eastAsia"/>
                <w:b/>
                <w:bCs/>
                <w:spacing w:val="-2"/>
                <w:lang w:eastAsia="zh-CN"/>
              </w:rPr>
            </w:pPr>
            <w:r>
              <w:rPr>
                <w:rFonts w:hint="eastAsia"/>
                <w:b/>
                <w:bCs/>
                <w:spacing w:val="-2"/>
                <w:lang w:eastAsia="zh-CN"/>
              </w:rPr>
              <w:t>润阳股份太阳能电池产能为57GW, 据了解其中大部分为PERC产能。请问：如果公司成功控股润阳，预计将这部分PERC产能改造成Topcon产能大约需要多少资金？改造时间预计多长？</w:t>
            </w:r>
          </w:p>
          <w:p>
            <w:pPr>
              <w:pStyle w:val="7"/>
              <w:spacing w:before="36" w:line="329" w:lineRule="auto"/>
              <w:ind w:left="113" w:right="105" w:firstLine="503"/>
              <w:jc w:val="both"/>
              <w:rPr>
                <w:rFonts w:hint="eastAsia"/>
                <w:spacing w:val="-2"/>
                <w:lang w:eastAsia="zh-CN"/>
              </w:rPr>
            </w:pPr>
            <w:r>
              <w:rPr>
                <w:spacing w:val="-2"/>
                <w:lang w:eastAsia="zh-CN"/>
              </w:rPr>
              <w:t>答：</w:t>
            </w:r>
            <w:r>
              <w:rPr>
                <w:rFonts w:hint="eastAsia"/>
                <w:spacing w:val="-2"/>
                <w:lang w:eastAsia="zh-CN"/>
              </w:rPr>
              <w:t>尊敬的投资者，您好。关于公司拟取得润阳股份不低于51%的股权事项尚处于相关方形成初步原则性意向阶段，关于交易标的的具体情况尚在进一步审计、评估中，公司后续将根据交易事项进展情况，及时履行相应决策审批程序和信息披露义务，谢谢！</w:t>
            </w:r>
          </w:p>
          <w:p>
            <w:pPr>
              <w:pStyle w:val="7"/>
              <w:numPr>
                <w:ilvl w:val="0"/>
                <w:numId w:val="3"/>
              </w:numPr>
              <w:spacing w:before="36" w:line="329" w:lineRule="auto"/>
              <w:ind w:left="113" w:leftChars="0" w:right="105" w:firstLine="505" w:firstLineChars="0"/>
              <w:jc w:val="both"/>
              <w:rPr>
                <w:rFonts w:hint="eastAsia"/>
                <w:b/>
                <w:bCs/>
                <w:spacing w:val="-2"/>
                <w:lang w:eastAsia="zh-CN"/>
              </w:rPr>
            </w:pPr>
            <w:r>
              <w:rPr>
                <w:rFonts w:hint="eastAsia"/>
                <w:b/>
                <w:bCs/>
                <w:spacing w:val="-2"/>
                <w:lang w:eastAsia="zh-CN"/>
              </w:rPr>
              <w:t>请问公司24年一季度负债率57%左右，半年报负债率67%左右，为什么一个季度负债率变化这么大？</w:t>
            </w:r>
          </w:p>
          <w:p>
            <w:pPr>
              <w:pStyle w:val="7"/>
              <w:spacing w:before="36" w:line="329" w:lineRule="auto"/>
              <w:ind w:left="113" w:right="105" w:firstLine="503"/>
              <w:jc w:val="both"/>
              <w:rPr>
                <w:rFonts w:hint="eastAsia"/>
                <w:spacing w:val="-2"/>
                <w:lang w:eastAsia="zh-CN"/>
              </w:rPr>
            </w:pPr>
            <w:r>
              <w:rPr>
                <w:spacing w:val="-2"/>
                <w:lang w:eastAsia="zh-CN"/>
              </w:rPr>
              <w:t>答：</w:t>
            </w:r>
            <w:r>
              <w:rPr>
                <w:rFonts w:hint="eastAsia"/>
                <w:spacing w:val="-2"/>
                <w:lang w:eastAsia="zh-CN"/>
              </w:rPr>
              <w:t>尊敬的投资者，您好，公司资产负债率上升主要因公司为新项目投资和保证日常流动性，同时进行现金储备而增加有息负债，以及经营规模扩大增加相应的应付款项，谢谢！</w:t>
            </w:r>
          </w:p>
          <w:p>
            <w:pPr>
              <w:pStyle w:val="7"/>
              <w:numPr>
                <w:ilvl w:val="0"/>
                <w:numId w:val="3"/>
              </w:numPr>
              <w:spacing w:before="36" w:line="329" w:lineRule="auto"/>
              <w:ind w:left="113" w:leftChars="0" w:right="105" w:firstLine="505" w:firstLineChars="0"/>
              <w:jc w:val="both"/>
              <w:rPr>
                <w:rFonts w:hint="eastAsia"/>
                <w:b/>
                <w:bCs/>
                <w:spacing w:val="-2"/>
                <w:lang w:eastAsia="zh-CN"/>
              </w:rPr>
            </w:pPr>
            <w:r>
              <w:rPr>
                <w:rFonts w:hint="eastAsia"/>
                <w:b/>
                <w:bCs/>
                <w:spacing w:val="-2"/>
                <w:lang w:eastAsia="zh-CN"/>
              </w:rPr>
              <w:t>目前光伏行业对于未来的主流技术方向，感觉是各说各有理。请问未来是否会在不断的竞争中，某种技术最后脱颖而出，如同曾经的单晶硅一样，成为唯一的主流，还是说会百花齐放。您认为哪种局面的可能性较大。</w:t>
            </w:r>
          </w:p>
          <w:p>
            <w:pPr>
              <w:pStyle w:val="7"/>
              <w:spacing w:before="36" w:line="329" w:lineRule="auto"/>
              <w:ind w:left="113" w:right="105" w:firstLine="503"/>
              <w:jc w:val="both"/>
              <w:rPr>
                <w:rFonts w:hint="eastAsia"/>
                <w:spacing w:val="-2"/>
                <w:lang w:eastAsia="zh-CN"/>
              </w:rPr>
            </w:pPr>
            <w:r>
              <w:rPr>
                <w:spacing w:val="-2"/>
                <w:lang w:eastAsia="zh-CN"/>
              </w:rPr>
              <w:t>答：</w:t>
            </w:r>
            <w:r>
              <w:rPr>
                <w:rFonts w:hint="eastAsia"/>
                <w:spacing w:val="-2"/>
                <w:lang w:eastAsia="zh-CN"/>
              </w:rPr>
              <w:t>尊敬的投资者，您好。展望未来几年，光伏行业电池技术的主流技术路线将呈现多元化发展的趋势。公司目前布局了所有行业主流的技术路线，在TOPCon、HJT、XBC、钙钛矿电池及组件新技术等各类研发上取得丰硕成果，其中通威THC;同版型组件功率自2023年以来连续八次刷新纪录，最高已达765.18W，彰显通威HJT的行业标杆地位。公司将抓住行业技术迭代的机遇，让公司在千帆竞发的技术变革中抢占发展先机，谢谢！</w:t>
            </w:r>
          </w:p>
          <w:p>
            <w:pPr>
              <w:pStyle w:val="7"/>
              <w:numPr>
                <w:ilvl w:val="0"/>
                <w:numId w:val="3"/>
              </w:numPr>
              <w:spacing w:before="36" w:line="329" w:lineRule="auto"/>
              <w:ind w:left="113" w:leftChars="0" w:right="105" w:firstLine="505" w:firstLineChars="0"/>
              <w:jc w:val="both"/>
              <w:rPr>
                <w:rFonts w:hint="eastAsia"/>
                <w:b/>
                <w:bCs/>
                <w:spacing w:val="-2"/>
                <w:lang w:eastAsia="zh-CN"/>
              </w:rPr>
            </w:pPr>
            <w:r>
              <w:rPr>
                <w:rFonts w:hint="eastAsia"/>
                <w:b/>
                <w:bCs/>
                <w:spacing w:val="-2"/>
                <w:lang w:eastAsia="zh-CN"/>
              </w:rPr>
              <w:t>公司硅料业务下半年的排产计划大概是怎样的？包头三期20万吨硅料产能会在年内投产么？</w:t>
            </w:r>
          </w:p>
          <w:p>
            <w:pPr>
              <w:pStyle w:val="7"/>
              <w:spacing w:before="36" w:line="329" w:lineRule="auto"/>
              <w:ind w:left="113" w:right="105" w:firstLine="503"/>
              <w:jc w:val="both"/>
              <w:rPr>
                <w:rFonts w:hint="default" w:cs="宋体"/>
                <w:sz w:val="24"/>
                <w:szCs w:val="24"/>
                <w:lang w:val="en-US" w:eastAsia="zh-CN"/>
              </w:rPr>
            </w:pPr>
            <w:r>
              <w:rPr>
                <w:spacing w:val="-2"/>
                <w:lang w:eastAsia="zh-CN"/>
              </w:rPr>
              <w:t>答：</w:t>
            </w:r>
            <w:r>
              <w:rPr>
                <w:rFonts w:hint="eastAsia"/>
                <w:spacing w:val="-2"/>
                <w:lang w:eastAsia="zh-CN"/>
              </w:rPr>
              <w:t>尊敬的投资者您好，基于公司领先的规模、技术、质量、成本等综合优势，公司目前多晶硅生产环节保持满产状态。后续公司将紧密跟踪市场供需情况、多晶硅价格走势，根据内部项目成本排序动态评估最优开工情况。公司内蒙古20万吨高纯晶硅项目预计将于年内投产，感谢您的关注</w:t>
            </w:r>
            <w:r>
              <w:rPr>
                <w:rFonts w:hint="eastAsia"/>
                <w:spacing w:val="-2"/>
                <w:lang w:val="en-US" w:eastAsia="zh-CN"/>
              </w:rPr>
              <w:t>。</w:t>
            </w:r>
          </w:p>
        </w:tc>
      </w:tr>
    </w:tbl>
    <w:p>
      <w:pPr>
        <w:spacing w:line="91" w:lineRule="auto"/>
        <w:rPr>
          <w:sz w:val="2"/>
          <w:lang w:eastAsia="zh-CN"/>
        </w:rPr>
      </w:pPr>
    </w:p>
    <w:sectPr>
      <w:pgSz w:w="11907" w:h="16839"/>
      <w:pgMar w:top="1431" w:right="1785" w:bottom="1429"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auto"/>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4541E"/>
    <w:multiLevelType w:val="singleLevel"/>
    <w:tmpl w:val="B184541E"/>
    <w:lvl w:ilvl="0" w:tentative="0">
      <w:start w:val="2"/>
      <w:numFmt w:val="decimal"/>
      <w:suff w:val="nothing"/>
      <w:lvlText w:val="%1、"/>
      <w:lvlJc w:val="left"/>
    </w:lvl>
  </w:abstractNum>
  <w:abstractNum w:abstractNumId="1">
    <w:nsid w:val="30EC01F0"/>
    <w:multiLevelType w:val="multilevel"/>
    <w:tmpl w:val="30EC01F0"/>
    <w:lvl w:ilvl="0" w:tentative="0">
      <w:start w:val="1"/>
      <w:numFmt w:val="decimal"/>
      <w:lvlText w:val="%1."/>
      <w:lvlJc w:val="left"/>
      <w:pPr>
        <w:ind w:left="496" w:hanging="360"/>
      </w:pPr>
      <w:rPr>
        <w:rFonts w:hint="default"/>
      </w:rPr>
    </w:lvl>
    <w:lvl w:ilvl="1" w:tentative="0">
      <w:start w:val="1"/>
      <w:numFmt w:val="lowerLetter"/>
      <w:lvlText w:val="%2)"/>
      <w:lvlJc w:val="left"/>
      <w:pPr>
        <w:ind w:left="1016" w:hanging="440"/>
      </w:pPr>
    </w:lvl>
    <w:lvl w:ilvl="2" w:tentative="0">
      <w:start w:val="1"/>
      <w:numFmt w:val="lowerRoman"/>
      <w:lvlText w:val="%3."/>
      <w:lvlJc w:val="right"/>
      <w:pPr>
        <w:ind w:left="1456" w:hanging="440"/>
      </w:pPr>
    </w:lvl>
    <w:lvl w:ilvl="3" w:tentative="0">
      <w:start w:val="1"/>
      <w:numFmt w:val="decimal"/>
      <w:lvlText w:val="%4."/>
      <w:lvlJc w:val="left"/>
      <w:pPr>
        <w:ind w:left="1896" w:hanging="440"/>
      </w:pPr>
    </w:lvl>
    <w:lvl w:ilvl="4" w:tentative="0">
      <w:start w:val="1"/>
      <w:numFmt w:val="lowerLetter"/>
      <w:lvlText w:val="%5)"/>
      <w:lvlJc w:val="left"/>
      <w:pPr>
        <w:ind w:left="2336" w:hanging="440"/>
      </w:pPr>
    </w:lvl>
    <w:lvl w:ilvl="5" w:tentative="0">
      <w:start w:val="1"/>
      <w:numFmt w:val="lowerRoman"/>
      <w:lvlText w:val="%6."/>
      <w:lvlJc w:val="right"/>
      <w:pPr>
        <w:ind w:left="2776" w:hanging="440"/>
      </w:pPr>
    </w:lvl>
    <w:lvl w:ilvl="6" w:tentative="0">
      <w:start w:val="1"/>
      <w:numFmt w:val="decimal"/>
      <w:lvlText w:val="%7."/>
      <w:lvlJc w:val="left"/>
      <w:pPr>
        <w:ind w:left="3216" w:hanging="440"/>
      </w:pPr>
    </w:lvl>
    <w:lvl w:ilvl="7" w:tentative="0">
      <w:start w:val="1"/>
      <w:numFmt w:val="lowerLetter"/>
      <w:lvlText w:val="%8)"/>
      <w:lvlJc w:val="left"/>
      <w:pPr>
        <w:ind w:left="3656" w:hanging="440"/>
      </w:pPr>
    </w:lvl>
    <w:lvl w:ilvl="8" w:tentative="0">
      <w:start w:val="1"/>
      <w:numFmt w:val="lowerRoman"/>
      <w:lvlText w:val="%9."/>
      <w:lvlJc w:val="right"/>
      <w:pPr>
        <w:ind w:left="4096" w:hanging="440"/>
      </w:pPr>
    </w:lvl>
  </w:abstractNum>
  <w:abstractNum w:abstractNumId="2">
    <w:nsid w:val="64133245"/>
    <w:multiLevelType w:val="singleLevel"/>
    <w:tmpl w:val="64133245"/>
    <w:lvl w:ilvl="0" w:tentative="0">
      <w:start w:val="7"/>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U0ZGJhNzlkMDMzZjE2ZWYzNjNkNTY0NGM4NDU5NTkifQ=="/>
  </w:docVars>
  <w:rsids>
    <w:rsidRoot w:val="00132B6D"/>
    <w:rsid w:val="00132B6D"/>
    <w:rsid w:val="00331F12"/>
    <w:rsid w:val="003A6CFD"/>
    <w:rsid w:val="00683645"/>
    <w:rsid w:val="007F42C5"/>
    <w:rsid w:val="0091362C"/>
    <w:rsid w:val="009F4741"/>
    <w:rsid w:val="00A9039C"/>
    <w:rsid w:val="00AB4538"/>
    <w:rsid w:val="00C317EF"/>
    <w:rsid w:val="00C429A0"/>
    <w:rsid w:val="00C508A0"/>
    <w:rsid w:val="00E051F7"/>
    <w:rsid w:val="00EE2C33"/>
    <w:rsid w:val="00F72996"/>
    <w:rsid w:val="00F979D6"/>
    <w:rsid w:val="0B225DFB"/>
    <w:rsid w:val="12C63575"/>
    <w:rsid w:val="180327A7"/>
    <w:rsid w:val="18B01199"/>
    <w:rsid w:val="25D063A7"/>
    <w:rsid w:val="294871F6"/>
    <w:rsid w:val="300F4032"/>
    <w:rsid w:val="37965BD5"/>
    <w:rsid w:val="38AE4472"/>
    <w:rsid w:val="3B507E5D"/>
    <w:rsid w:val="3B77553C"/>
    <w:rsid w:val="3DEE79DD"/>
    <w:rsid w:val="41647664"/>
    <w:rsid w:val="54CA6DEF"/>
    <w:rsid w:val="587E2868"/>
    <w:rsid w:val="65D75D9B"/>
    <w:rsid w:val="66522FDF"/>
    <w:rsid w:val="6B7878AD"/>
    <w:rsid w:val="6DD16EDF"/>
    <w:rsid w:val="79CB43E5"/>
    <w:rsid w:val="7CD05C51"/>
    <w:rsid w:val="7E800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pPr>
    <w:rPr>
      <w:sz w:val="18"/>
      <w:szCs w:val="18"/>
    </w:rPr>
  </w:style>
  <w:style w:type="paragraph" w:styleId="3">
    <w:name w:val="header"/>
    <w:basedOn w:val="1"/>
    <w:link w:val="8"/>
    <w:autoRedefine/>
    <w:unhideWhenUsed/>
    <w:qFormat/>
    <w:uiPriority w:val="99"/>
    <w:pPr>
      <w:tabs>
        <w:tab w:val="center" w:pos="4153"/>
        <w:tab w:val="right" w:pos="8306"/>
      </w:tabs>
      <w:jc w:val="center"/>
    </w:pPr>
    <w:rPr>
      <w:sz w:val="18"/>
      <w:szCs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4"/>
      <w:szCs w:val="24"/>
    </w:rPr>
  </w:style>
  <w:style w:type="character" w:customStyle="1" w:styleId="8">
    <w:name w:val="页眉 字符"/>
    <w:basedOn w:val="5"/>
    <w:link w:val="3"/>
    <w:autoRedefine/>
    <w:qFormat/>
    <w:uiPriority w:val="99"/>
    <w:rPr>
      <w:sz w:val="18"/>
      <w:szCs w:val="18"/>
    </w:rPr>
  </w:style>
  <w:style w:type="character" w:customStyle="1" w:styleId="9">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955</Words>
  <Characters>976</Characters>
  <Lines>33</Lines>
  <Paragraphs>17</Paragraphs>
  <TotalTime>11</TotalTime>
  <ScaleCrop>false</ScaleCrop>
  <LinksUpToDate>false</LinksUpToDate>
  <CharactersWithSpaces>1914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2022-05-06T15:20:00Z</dcterms:created>
  <dc:creator>毋晓妮</dc:creator>
  <cp:lastModifiedBy>钟秋实</cp:lastModifiedBy>
  <cp:lastPrinted>2024-06-04T09:34:00Z</cp:lastPrinted>
  <dcterms:modified xsi:type="dcterms:W3CDTF">2024-09-03T03:13:05Z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2024-05-03T16:40:34Z</vt:filetime>
  </property>
  <property fmtid="{D5CDD505-2E9C-101B-9397-08002B2CF9AE}" pid="4" name="KSOProductBuildVer">
    <vt:lpwstr>2052-12.1.0.16729</vt:lpwstr>
  </property>
  <property fmtid="{D5CDD505-2E9C-101B-9397-08002B2CF9AE}" pid="5" name="ICV">
    <vt:lpwstr>5A2612D7F0654C038FB7DCD5F61E42A4_13</vt:lpwstr>
  </property>
</Properties>
</file>