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580B7">
      <w:pPr>
        <w:pStyle w:val="2"/>
        <w:spacing w:before="40"/>
        <w:ind w:left="0" w:leftChars="0" w:firstLine="240" w:firstLineChars="100"/>
        <w:jc w:val="left"/>
        <w:rPr>
          <w:rFonts w:hint="default" w:eastAsia="宋体"/>
          <w:lang w:val="en-US" w:eastAsia="zh-CN"/>
        </w:rPr>
      </w:pPr>
      <w:r>
        <w:t>证券代码：</w:t>
      </w:r>
      <w:r>
        <w:rPr>
          <w:rFonts w:hint="eastAsia"/>
          <w:lang w:val="en-US" w:eastAsia="zh-CN"/>
        </w:rPr>
        <w:t>688380</w:t>
      </w:r>
      <w:r>
        <w:t xml:space="preserve"> </w:t>
      </w:r>
      <w:r>
        <w:rPr>
          <w:rFonts w:hint="eastAsia"/>
          <w:lang w:val="en-US" w:eastAsia="zh-CN"/>
        </w:rPr>
        <w:t xml:space="preserve">                                           </w:t>
      </w:r>
      <w:r>
        <w:t>证券简称：</w:t>
      </w:r>
      <w:r>
        <w:rPr>
          <w:rFonts w:hint="eastAsia"/>
          <w:lang w:val="en-US" w:eastAsia="zh-CN"/>
        </w:rPr>
        <w:t>中微半导</w:t>
      </w:r>
    </w:p>
    <w:p w14:paraId="1F057622">
      <w:pPr>
        <w:pStyle w:val="2"/>
        <w:rPr>
          <w:sz w:val="29"/>
        </w:rPr>
      </w:pPr>
    </w:p>
    <w:p w14:paraId="33664230">
      <w:pPr>
        <w:spacing w:before="54"/>
        <w:ind w:left="1943" w:right="1782" w:firstLine="0"/>
        <w:jc w:val="center"/>
        <w:rPr>
          <w:b/>
          <w:sz w:val="32"/>
        </w:rPr>
      </w:pPr>
      <w:r>
        <w:rPr>
          <w:rFonts w:hint="eastAsia"/>
          <w:b/>
          <w:sz w:val="32"/>
          <w:lang w:val="en-US" w:eastAsia="zh-CN"/>
        </w:rPr>
        <w:t>中微半导体（深圳）</w:t>
      </w:r>
      <w:r>
        <w:rPr>
          <w:b/>
          <w:sz w:val="32"/>
        </w:rPr>
        <w:t>股份有限公司</w:t>
      </w:r>
    </w:p>
    <w:p w14:paraId="1973570D">
      <w:pPr>
        <w:spacing w:before="54"/>
        <w:ind w:left="1943" w:right="1782" w:firstLine="0"/>
        <w:jc w:val="center"/>
        <w:rPr>
          <w:rFonts w:hint="default"/>
          <w:b/>
          <w:sz w:val="32"/>
          <w:lang w:val="en-US"/>
        </w:rPr>
      </w:pPr>
      <w:r>
        <w:rPr>
          <w:b/>
          <w:sz w:val="32"/>
        </w:rPr>
        <w:t>投资者关系活动记录表</w:t>
      </w:r>
      <w:r>
        <w:rPr>
          <w:b/>
          <w:w w:val="98"/>
          <w:sz w:val="32"/>
        </w:rPr>
        <w:t xml:space="preserve"> </w:t>
      </w:r>
    </w:p>
    <w:p w14:paraId="04D080E8">
      <w:pPr>
        <w:keepNext w:val="0"/>
        <w:keepLines w:val="0"/>
        <w:pageBreakBefore w:val="0"/>
        <w:widowControl w:val="0"/>
        <w:kinsoku/>
        <w:wordWrap/>
        <w:overflowPunct/>
        <w:topLinePunct w:val="0"/>
        <w:autoSpaceDE w:val="0"/>
        <w:autoSpaceDN w:val="0"/>
        <w:bidi w:val="0"/>
        <w:adjustRightInd/>
        <w:snapToGrid/>
        <w:spacing w:before="132" w:after="21"/>
        <w:ind w:left="0" w:right="0" w:firstLine="0"/>
        <w:jc w:val="center"/>
        <w:textAlignment w:val="auto"/>
        <w:rPr>
          <w:rFonts w:hint="default"/>
          <w:sz w:val="24"/>
          <w:szCs w:val="28"/>
          <w:highlight w:val="yellow"/>
          <w:lang w:val="en-US"/>
        </w:rPr>
      </w:pPr>
      <w:r>
        <w:rPr>
          <w:rFonts w:hint="eastAsia"/>
          <w:sz w:val="24"/>
          <w:szCs w:val="28"/>
          <w:highlight w:val="none"/>
          <w:lang w:val="en-US" w:eastAsia="zh-CN"/>
        </w:rPr>
        <w:t xml:space="preserve">                                                                 </w:t>
      </w:r>
      <w:r>
        <w:rPr>
          <w:sz w:val="24"/>
          <w:szCs w:val="28"/>
          <w:highlight w:val="none"/>
        </w:rPr>
        <w:t>编号</w:t>
      </w:r>
      <w:r>
        <w:rPr>
          <w:rFonts w:hint="eastAsia"/>
          <w:sz w:val="24"/>
          <w:szCs w:val="28"/>
          <w:highlight w:val="none"/>
          <w:lang w:eastAsia="zh-CN"/>
        </w:rPr>
        <w:t>：</w:t>
      </w:r>
      <w:r>
        <w:rPr>
          <w:sz w:val="24"/>
          <w:szCs w:val="28"/>
          <w:highlight w:val="none"/>
        </w:rPr>
        <w:t>202</w:t>
      </w:r>
      <w:r>
        <w:rPr>
          <w:rFonts w:hint="eastAsia"/>
          <w:sz w:val="24"/>
          <w:szCs w:val="28"/>
          <w:highlight w:val="none"/>
          <w:lang w:val="en-US" w:eastAsia="zh-CN"/>
        </w:rPr>
        <w:t>4</w:t>
      </w:r>
      <w:r>
        <w:rPr>
          <w:sz w:val="24"/>
          <w:szCs w:val="28"/>
          <w:highlight w:val="none"/>
        </w:rPr>
        <w:t>-</w:t>
      </w:r>
      <w:r>
        <w:rPr>
          <w:rFonts w:hint="eastAsia"/>
          <w:sz w:val="24"/>
          <w:szCs w:val="28"/>
          <w:highlight w:val="none"/>
          <w:lang w:val="en-US" w:eastAsia="zh-CN"/>
        </w:rPr>
        <w:t>011</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8220"/>
      </w:tblGrid>
      <w:tr w14:paraId="51DE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jc w:val="center"/>
        </w:trPr>
        <w:tc>
          <w:tcPr>
            <w:tcW w:w="1524" w:type="dxa"/>
            <w:tcMar>
              <w:top w:w="0" w:type="dxa"/>
              <w:left w:w="113" w:type="dxa"/>
              <w:bottom w:w="0" w:type="dxa"/>
              <w:right w:w="113" w:type="dxa"/>
            </w:tcMar>
            <w:vAlign w:val="center"/>
          </w:tcPr>
          <w:p w14:paraId="5C30FA51">
            <w:pPr>
              <w:pStyle w:val="8"/>
              <w:spacing w:line="242" w:lineRule="auto"/>
              <w:ind w:left="0" w:leftChars="0" w:right="72" w:firstLine="0" w:firstLineChars="0"/>
              <w:jc w:val="center"/>
              <w:rPr>
                <w:b w:val="0"/>
                <w:bCs w:val="0"/>
                <w:sz w:val="24"/>
                <w:szCs w:val="24"/>
              </w:rPr>
            </w:pPr>
            <w:r>
              <w:rPr>
                <w:b w:val="0"/>
                <w:bCs w:val="0"/>
                <w:sz w:val="24"/>
                <w:szCs w:val="24"/>
              </w:rPr>
              <w:t>投资者来访类别</w:t>
            </w:r>
          </w:p>
        </w:tc>
        <w:tc>
          <w:tcPr>
            <w:tcW w:w="8220" w:type="dxa"/>
            <w:vAlign w:val="center"/>
          </w:tcPr>
          <w:p w14:paraId="786097AF">
            <w:pPr>
              <w:pStyle w:val="8"/>
              <w:numPr>
                <w:ilvl w:val="0"/>
                <w:numId w:val="0"/>
              </w:numPr>
              <w:tabs>
                <w:tab w:val="left" w:pos="390"/>
              </w:tabs>
              <w:spacing w:before="132" w:after="0" w:line="240" w:lineRule="auto"/>
              <w:ind w:right="0" w:rightChars="0" w:firstLine="236" w:firstLineChars="100"/>
              <w:jc w:val="both"/>
              <w:rPr>
                <w:sz w:val="24"/>
                <w:szCs w:val="24"/>
              </w:rPr>
            </w:pPr>
            <w:r>
              <w:rPr>
                <w:spacing w:val="-2"/>
                <w:sz w:val="24"/>
                <w:szCs w:val="24"/>
              </w:rPr>
              <w:sym w:font="Wingdings 2" w:char="00A3"/>
            </w:r>
            <w:r>
              <w:rPr>
                <w:spacing w:val="-2"/>
                <w:sz w:val="24"/>
                <w:szCs w:val="24"/>
              </w:rPr>
              <w:t xml:space="preserve"> 特定对象调研 </w:t>
            </w:r>
            <w:r>
              <w:rPr>
                <w:rFonts w:hint="eastAsia"/>
                <w:spacing w:val="-2"/>
                <w:sz w:val="24"/>
                <w:szCs w:val="24"/>
                <w:lang w:val="en-US" w:eastAsia="zh-CN"/>
              </w:rPr>
              <w:t xml:space="preserve">                    </w:t>
            </w:r>
            <w:r>
              <w:rPr>
                <w:spacing w:val="-2"/>
                <w:sz w:val="24"/>
                <w:szCs w:val="24"/>
              </w:rPr>
              <w:sym w:font="Wingdings 2" w:char="00A3"/>
            </w:r>
            <w:r>
              <w:rPr>
                <w:rFonts w:hint="eastAsia"/>
                <w:spacing w:val="-2"/>
                <w:sz w:val="24"/>
                <w:szCs w:val="24"/>
                <w:lang w:val="en-US" w:eastAsia="zh-CN"/>
              </w:rPr>
              <w:t xml:space="preserve"> </w:t>
            </w:r>
            <w:r>
              <w:rPr>
                <w:spacing w:val="-2"/>
                <w:sz w:val="24"/>
                <w:szCs w:val="24"/>
              </w:rPr>
              <w:t>分析师会议</w:t>
            </w:r>
          </w:p>
          <w:p w14:paraId="6CDE1B41">
            <w:pPr>
              <w:pStyle w:val="8"/>
              <w:spacing w:before="9"/>
              <w:ind w:left="0"/>
              <w:jc w:val="both"/>
              <w:rPr>
                <w:sz w:val="24"/>
                <w:szCs w:val="24"/>
              </w:rPr>
            </w:pPr>
          </w:p>
          <w:p w14:paraId="732BB210">
            <w:pPr>
              <w:pStyle w:val="8"/>
              <w:ind w:left="0" w:leftChars="0" w:firstLine="240" w:firstLineChars="100"/>
              <w:jc w:val="both"/>
              <w:rPr>
                <w:sz w:val="24"/>
                <w:szCs w:val="24"/>
              </w:rPr>
            </w:pPr>
            <w:r>
              <w:rPr>
                <w:sz w:val="24"/>
                <w:szCs w:val="24"/>
              </w:rPr>
              <w:sym w:font="Wingdings 2" w:char="00A3"/>
            </w:r>
            <w:r>
              <w:rPr>
                <w:sz w:val="24"/>
                <w:szCs w:val="24"/>
              </w:rPr>
              <w:t xml:space="preserve"> 媒体采访 </w:t>
            </w:r>
            <w:r>
              <w:rPr>
                <w:rFonts w:hint="eastAsia"/>
                <w:sz w:val="24"/>
                <w:szCs w:val="24"/>
                <w:lang w:val="en-US" w:eastAsia="zh-CN"/>
              </w:rPr>
              <w:t xml:space="preserve">                        </w:t>
            </w:r>
            <w:r>
              <w:rPr>
                <w:spacing w:val="-2"/>
                <w:sz w:val="24"/>
                <w:szCs w:val="24"/>
              </w:rPr>
              <w:sym w:font="Wingdings 2" w:char="00A3"/>
            </w:r>
            <w:r>
              <w:rPr>
                <w:rFonts w:hint="eastAsia"/>
                <w:spacing w:val="-2"/>
                <w:sz w:val="24"/>
                <w:szCs w:val="24"/>
                <w:lang w:val="en-US" w:eastAsia="zh-CN"/>
              </w:rPr>
              <w:t xml:space="preserve"> </w:t>
            </w:r>
            <w:r>
              <w:rPr>
                <w:sz w:val="24"/>
                <w:szCs w:val="24"/>
              </w:rPr>
              <w:t>业绩说明会</w:t>
            </w:r>
          </w:p>
          <w:p w14:paraId="1B424389">
            <w:pPr>
              <w:pStyle w:val="8"/>
              <w:spacing w:before="9"/>
              <w:ind w:left="0"/>
              <w:jc w:val="both"/>
              <w:rPr>
                <w:sz w:val="24"/>
                <w:szCs w:val="24"/>
              </w:rPr>
            </w:pPr>
          </w:p>
          <w:p w14:paraId="2EDC7824">
            <w:pPr>
              <w:pStyle w:val="8"/>
              <w:ind w:left="0" w:leftChars="0" w:firstLine="240" w:firstLineChars="100"/>
              <w:jc w:val="both"/>
              <w:rPr>
                <w:sz w:val="24"/>
                <w:szCs w:val="24"/>
              </w:rPr>
            </w:pPr>
            <w:r>
              <w:rPr>
                <w:sz w:val="24"/>
                <w:szCs w:val="24"/>
              </w:rPr>
              <w:sym w:font="Wingdings 2" w:char="00A3"/>
            </w:r>
            <w:r>
              <w:rPr>
                <w:rFonts w:hint="eastAsia"/>
                <w:sz w:val="24"/>
                <w:szCs w:val="24"/>
                <w:lang w:val="en-US" w:eastAsia="zh-CN"/>
              </w:rPr>
              <w:t xml:space="preserve"> </w:t>
            </w:r>
            <w:r>
              <w:rPr>
                <w:sz w:val="24"/>
                <w:szCs w:val="24"/>
              </w:rPr>
              <w:t>新闻发布会</w:t>
            </w:r>
            <w:r>
              <w:rPr>
                <w:rFonts w:hint="eastAsia"/>
                <w:sz w:val="24"/>
                <w:szCs w:val="24"/>
                <w:lang w:val="en-US" w:eastAsia="zh-CN"/>
              </w:rPr>
              <w:t xml:space="preserve">                       </w:t>
            </w:r>
            <w:r>
              <w:rPr>
                <w:sz w:val="24"/>
                <w:szCs w:val="24"/>
              </w:rPr>
              <w:sym w:font="Wingdings 2" w:char="0052"/>
            </w:r>
            <w:r>
              <w:rPr>
                <w:rFonts w:hint="eastAsia"/>
                <w:sz w:val="24"/>
                <w:szCs w:val="24"/>
                <w:lang w:val="en-US" w:eastAsia="zh-CN"/>
              </w:rPr>
              <w:t xml:space="preserve"> </w:t>
            </w:r>
            <w:r>
              <w:rPr>
                <w:sz w:val="24"/>
                <w:szCs w:val="24"/>
              </w:rPr>
              <w:t>路演活动</w:t>
            </w:r>
          </w:p>
          <w:p w14:paraId="10160FA8">
            <w:pPr>
              <w:pStyle w:val="8"/>
              <w:spacing w:before="9"/>
              <w:ind w:left="0"/>
              <w:jc w:val="both"/>
              <w:rPr>
                <w:sz w:val="24"/>
                <w:szCs w:val="24"/>
              </w:rPr>
            </w:pPr>
          </w:p>
          <w:p w14:paraId="691182BC">
            <w:pPr>
              <w:pStyle w:val="8"/>
              <w:ind w:left="0" w:leftChars="0" w:firstLine="236" w:firstLineChars="100"/>
              <w:jc w:val="both"/>
              <w:rPr>
                <w:rFonts w:hint="default" w:eastAsia="宋体"/>
                <w:sz w:val="24"/>
                <w:lang w:val="en-US" w:eastAsia="zh-CN"/>
              </w:rPr>
            </w:pPr>
            <w:r>
              <w:rPr>
                <w:spacing w:val="-2"/>
                <w:sz w:val="24"/>
                <w:szCs w:val="24"/>
              </w:rPr>
              <w:sym w:font="Wingdings 2" w:char="00A3"/>
            </w:r>
            <w:r>
              <w:rPr>
                <w:rFonts w:hint="eastAsia"/>
                <w:spacing w:val="-2"/>
                <w:sz w:val="24"/>
                <w:szCs w:val="24"/>
                <w:lang w:val="en-US" w:eastAsia="zh-CN"/>
              </w:rPr>
              <w:t xml:space="preserve"> </w:t>
            </w:r>
            <w:r>
              <w:rPr>
                <w:sz w:val="24"/>
                <w:szCs w:val="24"/>
              </w:rPr>
              <w:t>现场参观</w:t>
            </w:r>
            <w:r>
              <w:rPr>
                <w:rFonts w:hint="eastAsia"/>
                <w:sz w:val="24"/>
                <w:szCs w:val="24"/>
                <w:lang w:val="en-US" w:eastAsia="zh-CN"/>
              </w:rPr>
              <w:t xml:space="preserve">                         </w:t>
            </w:r>
            <w:r>
              <w:rPr>
                <w:sz w:val="24"/>
                <w:szCs w:val="24"/>
              </w:rPr>
              <w:sym w:font="Wingdings 2" w:char="00A3"/>
            </w:r>
            <w:r>
              <w:rPr>
                <w:sz w:val="24"/>
                <w:szCs w:val="24"/>
              </w:rPr>
              <w:t xml:space="preserve"> 其他 </w:t>
            </w:r>
            <w:r>
              <w:rPr>
                <w:rFonts w:hint="eastAsia"/>
                <w:sz w:val="24"/>
                <w:szCs w:val="24"/>
                <w:lang w:eastAsia="zh-CN"/>
              </w:rPr>
              <w:t>（</w:t>
            </w:r>
            <w:r>
              <w:rPr>
                <w:rFonts w:hint="eastAsia"/>
                <w:sz w:val="24"/>
                <w:szCs w:val="24"/>
                <w:lang w:val="en-US" w:eastAsia="zh-CN"/>
              </w:rPr>
              <w:t>线上调研）</w:t>
            </w:r>
          </w:p>
        </w:tc>
      </w:tr>
      <w:tr w14:paraId="7220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24" w:type="dxa"/>
            <w:tcMar>
              <w:top w:w="0" w:type="dxa"/>
              <w:left w:w="113" w:type="dxa"/>
              <w:bottom w:w="0" w:type="dxa"/>
              <w:right w:w="113" w:type="dxa"/>
            </w:tcMar>
            <w:vAlign w:val="center"/>
          </w:tcPr>
          <w:p w14:paraId="48FE3DEB">
            <w:pPr>
              <w:pStyle w:val="8"/>
              <w:spacing w:before="156" w:line="242" w:lineRule="auto"/>
              <w:ind w:left="107" w:right="71"/>
              <w:jc w:val="center"/>
              <w:rPr>
                <w:b w:val="0"/>
                <w:bCs w:val="0"/>
                <w:sz w:val="24"/>
                <w:szCs w:val="24"/>
              </w:rPr>
            </w:pPr>
            <w:r>
              <w:rPr>
                <w:b w:val="0"/>
                <w:bCs w:val="0"/>
                <w:sz w:val="24"/>
                <w:szCs w:val="24"/>
              </w:rPr>
              <w:t>参与单位名称</w:t>
            </w:r>
          </w:p>
        </w:tc>
        <w:tc>
          <w:tcPr>
            <w:tcW w:w="8220" w:type="dxa"/>
            <w:vAlign w:val="center"/>
          </w:tcPr>
          <w:p w14:paraId="1D525856">
            <w:pPr>
              <w:pStyle w:val="8"/>
              <w:spacing w:before="156" w:line="242" w:lineRule="auto"/>
              <w:ind w:right="-29"/>
              <w:jc w:val="both"/>
              <w:rPr>
                <w:rFonts w:hint="default"/>
                <w:sz w:val="24"/>
                <w:lang w:val="en-US" w:eastAsia="zh-CN"/>
              </w:rPr>
            </w:pPr>
            <w:r>
              <w:rPr>
                <w:rFonts w:hint="eastAsia"/>
                <w:sz w:val="24"/>
                <w:lang w:val="en-US" w:eastAsia="zh-CN"/>
              </w:rPr>
              <w:t xml:space="preserve">   中邮电子、光大证券、招商电子、天弘基金、融通基金</w:t>
            </w:r>
          </w:p>
        </w:tc>
      </w:tr>
      <w:tr w14:paraId="139FA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24" w:type="dxa"/>
            <w:tcMar>
              <w:top w:w="0" w:type="dxa"/>
              <w:left w:w="113" w:type="dxa"/>
              <w:bottom w:w="0" w:type="dxa"/>
              <w:right w:w="113" w:type="dxa"/>
            </w:tcMar>
            <w:vAlign w:val="center"/>
          </w:tcPr>
          <w:p w14:paraId="21BBEB87">
            <w:pPr>
              <w:pStyle w:val="8"/>
              <w:spacing w:before="170" w:line="289" w:lineRule="exact"/>
              <w:ind w:left="107"/>
              <w:jc w:val="center"/>
              <w:rPr>
                <w:b w:val="0"/>
                <w:bCs w:val="0"/>
                <w:sz w:val="24"/>
                <w:szCs w:val="24"/>
              </w:rPr>
            </w:pPr>
            <w:r>
              <w:rPr>
                <w:b w:val="0"/>
                <w:bCs w:val="0"/>
                <w:sz w:val="24"/>
                <w:szCs w:val="24"/>
              </w:rPr>
              <w:t>时间</w:t>
            </w:r>
          </w:p>
        </w:tc>
        <w:tc>
          <w:tcPr>
            <w:tcW w:w="8220" w:type="dxa"/>
            <w:vAlign w:val="center"/>
          </w:tcPr>
          <w:p w14:paraId="075846D8">
            <w:pPr>
              <w:pStyle w:val="8"/>
              <w:spacing w:before="170" w:line="289" w:lineRule="exact"/>
              <w:jc w:val="both"/>
              <w:rPr>
                <w:rFonts w:hint="default" w:eastAsia="宋体"/>
                <w:sz w:val="24"/>
                <w:lang w:val="en-US" w:eastAsia="zh-CN"/>
              </w:rPr>
            </w:pPr>
            <w:r>
              <w:rPr>
                <w:rFonts w:hint="eastAsia"/>
                <w:sz w:val="24"/>
                <w:lang w:val="en-US" w:eastAsia="zh-CN"/>
              </w:rPr>
              <w:t>2024</w:t>
            </w:r>
            <w:r>
              <w:rPr>
                <w:sz w:val="24"/>
              </w:rPr>
              <w:t>年</w:t>
            </w:r>
            <w:r>
              <w:rPr>
                <w:rFonts w:hint="eastAsia"/>
                <w:sz w:val="24"/>
                <w:lang w:val="en-US" w:eastAsia="zh-CN"/>
              </w:rPr>
              <w:t>9</w:t>
            </w:r>
            <w:r>
              <w:rPr>
                <w:sz w:val="24"/>
              </w:rPr>
              <w:t>月</w:t>
            </w:r>
            <w:r>
              <w:rPr>
                <w:rFonts w:hint="eastAsia"/>
                <w:sz w:val="24"/>
                <w:lang w:val="en-US" w:eastAsia="zh-CN"/>
              </w:rPr>
              <w:t>2-3日</w:t>
            </w:r>
          </w:p>
        </w:tc>
      </w:tr>
      <w:tr w14:paraId="77F4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24" w:type="dxa"/>
            <w:tcMar>
              <w:top w:w="0" w:type="dxa"/>
              <w:left w:w="113" w:type="dxa"/>
              <w:bottom w:w="0" w:type="dxa"/>
              <w:right w:w="113" w:type="dxa"/>
            </w:tcMar>
            <w:vAlign w:val="center"/>
          </w:tcPr>
          <w:p w14:paraId="39EB5C8F">
            <w:pPr>
              <w:pStyle w:val="8"/>
              <w:spacing w:before="170" w:line="289" w:lineRule="exact"/>
              <w:ind w:left="107"/>
              <w:jc w:val="center"/>
              <w:rPr>
                <w:b w:val="0"/>
                <w:bCs w:val="0"/>
                <w:sz w:val="24"/>
                <w:szCs w:val="24"/>
              </w:rPr>
            </w:pPr>
            <w:r>
              <w:rPr>
                <w:b w:val="0"/>
                <w:bCs w:val="0"/>
                <w:sz w:val="24"/>
                <w:szCs w:val="24"/>
              </w:rPr>
              <w:t>地点</w:t>
            </w:r>
          </w:p>
        </w:tc>
        <w:tc>
          <w:tcPr>
            <w:tcW w:w="8220" w:type="dxa"/>
            <w:vAlign w:val="center"/>
          </w:tcPr>
          <w:p w14:paraId="53186284">
            <w:pPr>
              <w:pStyle w:val="8"/>
              <w:spacing w:before="170" w:line="289" w:lineRule="exact"/>
              <w:jc w:val="both"/>
              <w:rPr>
                <w:rFonts w:hint="default" w:eastAsia="宋体"/>
                <w:sz w:val="24"/>
                <w:lang w:val="en-US" w:eastAsia="zh-CN"/>
              </w:rPr>
            </w:pPr>
            <w:r>
              <w:rPr>
                <w:rFonts w:hint="eastAsia"/>
                <w:sz w:val="24"/>
                <w:lang w:val="en-US" w:eastAsia="zh-CN"/>
              </w:rPr>
              <w:t>路演</w:t>
            </w:r>
          </w:p>
        </w:tc>
      </w:tr>
      <w:tr w14:paraId="2CDE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524" w:type="dxa"/>
            <w:tcMar>
              <w:top w:w="0" w:type="dxa"/>
              <w:left w:w="113" w:type="dxa"/>
              <w:bottom w:w="0" w:type="dxa"/>
              <w:right w:w="113" w:type="dxa"/>
            </w:tcMar>
            <w:vAlign w:val="center"/>
          </w:tcPr>
          <w:p w14:paraId="28421AAF">
            <w:pPr>
              <w:pStyle w:val="8"/>
              <w:spacing w:before="60" w:line="242" w:lineRule="auto"/>
              <w:ind w:left="107" w:right="72"/>
              <w:jc w:val="center"/>
              <w:rPr>
                <w:b w:val="0"/>
                <w:bCs w:val="0"/>
                <w:sz w:val="24"/>
                <w:szCs w:val="24"/>
              </w:rPr>
            </w:pPr>
            <w:r>
              <w:rPr>
                <w:b w:val="0"/>
                <w:bCs w:val="0"/>
                <w:sz w:val="24"/>
                <w:szCs w:val="24"/>
              </w:rPr>
              <w:t>上市公司接待人员姓名</w:t>
            </w:r>
          </w:p>
        </w:tc>
        <w:tc>
          <w:tcPr>
            <w:tcW w:w="8220" w:type="dxa"/>
            <w:vAlign w:val="center"/>
          </w:tcPr>
          <w:p w14:paraId="0EB18801">
            <w:pPr>
              <w:pStyle w:val="8"/>
              <w:spacing w:before="170"/>
              <w:jc w:val="both"/>
              <w:rPr>
                <w:rFonts w:hint="default"/>
                <w:sz w:val="24"/>
                <w:lang w:val="en-US" w:eastAsia="zh-CN"/>
              </w:rPr>
            </w:pPr>
            <w:r>
              <w:rPr>
                <w:rFonts w:hint="eastAsia"/>
                <w:sz w:val="24"/>
                <w:lang w:val="en-US" w:eastAsia="zh-CN"/>
              </w:rPr>
              <w:t>董事会秘书、财务总监：吴新元</w:t>
            </w:r>
          </w:p>
        </w:tc>
      </w:tr>
      <w:tr w14:paraId="421F5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524" w:type="dxa"/>
            <w:tcMar>
              <w:top w:w="0" w:type="dxa"/>
              <w:left w:w="113" w:type="dxa"/>
              <w:bottom w:w="0" w:type="dxa"/>
              <w:right w:w="113" w:type="dxa"/>
            </w:tcMar>
            <w:vAlign w:val="center"/>
          </w:tcPr>
          <w:p w14:paraId="17AA6BEC">
            <w:pPr>
              <w:pStyle w:val="8"/>
              <w:spacing w:before="60" w:line="242" w:lineRule="auto"/>
              <w:ind w:left="107" w:right="72"/>
              <w:jc w:val="center"/>
              <w:rPr>
                <w:b w:val="0"/>
                <w:bCs w:val="0"/>
                <w:sz w:val="24"/>
                <w:szCs w:val="24"/>
              </w:rPr>
            </w:pPr>
            <w:r>
              <w:rPr>
                <w:rFonts w:hint="eastAsia"/>
                <w:b w:val="0"/>
                <w:bCs w:val="0"/>
                <w:sz w:val="24"/>
                <w:szCs w:val="24"/>
              </w:rPr>
              <w:t>投资者关系活动主要内容介绍</w:t>
            </w:r>
          </w:p>
        </w:tc>
        <w:tc>
          <w:tcPr>
            <w:tcW w:w="8220" w:type="dxa"/>
            <w:tcMar>
              <w:top w:w="170" w:type="dxa"/>
              <w:left w:w="170" w:type="dxa"/>
              <w:bottom w:w="170" w:type="dxa"/>
              <w:right w:w="170" w:type="dxa"/>
            </w:tcMar>
            <w:vAlign w:val="center"/>
          </w:tcPr>
          <w:p w14:paraId="4EF71F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一、2024年上半年业绩情况</w:t>
            </w:r>
          </w:p>
          <w:p w14:paraId="32C0B3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2024年上半年下游市场有所回暖，公司出货量持续增长，市场占有率继续扩大。上半年，各类芯片出货量近11亿颗，同比增长超过50%，达到2022年全年出货量水平，其中32位产品出货量近一亿颗；实现营业收入4.29亿元，同比增长近49%；实现净利润4300万元，同比增长约62%；实现扣非净利润6300万元，实现扭亏；经营性现金净流量1.26亿元。</w:t>
            </w:r>
          </w:p>
          <w:p w14:paraId="0001DE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二、交流问答</w:t>
            </w:r>
          </w:p>
          <w:p w14:paraId="588650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1、请拆分一下收入结构？</w:t>
            </w:r>
          </w:p>
          <w:p w14:paraId="4E48C2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答：按照产品的应用领域拆分，公司在消费电子控制领域实现营收1.8亿元，在家电控制领域实现营收1.5亿元，在工业控制（含无刷电机控制）领域实现营收0.8亿元，在汽车电子领域实现营收近0.2亿元。</w:t>
            </w:r>
          </w:p>
          <w:p w14:paraId="4350589C">
            <w:pPr>
              <w:pStyle w:val="8"/>
              <w:numPr>
                <w:ilvl w:val="0"/>
                <w:numId w:val="1"/>
              </w:numPr>
              <w:spacing w:before="170" w:line="360" w:lineRule="auto"/>
              <w:ind w:left="108" w:leftChars="0" w:right="0" w:rightChars="0" w:firstLine="480" w:firstLineChars="200"/>
              <w:jc w:val="both"/>
              <w:rPr>
                <w:rFonts w:hint="eastAsia" w:cs="宋体"/>
                <w:b w:val="0"/>
                <w:bCs w:val="0"/>
                <w:sz w:val="24"/>
                <w:szCs w:val="24"/>
                <w:lang w:val="en-US" w:eastAsia="zh-CN" w:bidi="zh-CN"/>
              </w:rPr>
            </w:pPr>
            <w:r>
              <w:rPr>
                <w:rFonts w:hint="eastAsia" w:cs="宋体"/>
                <w:b w:val="0"/>
                <w:bCs w:val="0"/>
                <w:sz w:val="24"/>
                <w:szCs w:val="24"/>
                <w:lang w:val="en-US" w:eastAsia="zh-CN" w:bidi="zh-CN"/>
              </w:rPr>
              <w:t>请问公司消费电子领域，具体应用和占比及变化？</w:t>
            </w:r>
          </w:p>
          <w:p w14:paraId="246D4661">
            <w:pPr>
              <w:pStyle w:val="8"/>
              <w:numPr>
                <w:ilvl w:val="0"/>
                <w:numId w:val="0"/>
              </w:numPr>
              <w:spacing w:before="170" w:line="360" w:lineRule="auto"/>
              <w:ind w:right="0" w:rightChars="0" w:firstLine="480" w:firstLineChars="200"/>
              <w:jc w:val="both"/>
              <w:rPr>
                <w:rFonts w:hint="eastAsia" w:cs="宋体"/>
                <w:b w:val="0"/>
                <w:bCs w:val="0"/>
                <w:sz w:val="24"/>
                <w:szCs w:val="24"/>
                <w:lang w:val="en-US" w:eastAsia="zh-CN" w:bidi="zh-CN"/>
              </w:rPr>
            </w:pPr>
            <w:r>
              <w:rPr>
                <w:rFonts w:hint="eastAsia" w:cs="宋体"/>
                <w:b w:val="0"/>
                <w:bCs w:val="0"/>
                <w:sz w:val="24"/>
                <w:szCs w:val="24"/>
                <w:lang w:val="en-US" w:eastAsia="zh-CN" w:bidi="zh-CN"/>
              </w:rPr>
              <w:t>答：消费电子应用涵盖比较多，比如电子烟、电动牙刷、无线充、无线耳机、充电仓、测温计、测压仪、计血氧仪、血糖仪等等，无法做准确的统计。其中电子烟领域占比较大，应该有大几万的收入；另外在测量类，比如测温测压、血糖仪方面渗透率增长显著。</w:t>
            </w:r>
          </w:p>
          <w:p w14:paraId="2F3BB432">
            <w:pPr>
              <w:pStyle w:val="8"/>
              <w:numPr>
                <w:ilvl w:val="0"/>
                <w:numId w:val="1"/>
              </w:numPr>
              <w:spacing w:before="170" w:line="360" w:lineRule="auto"/>
              <w:ind w:left="108" w:leftChars="0" w:right="0" w:rightChars="0" w:firstLine="480" w:firstLineChars="200"/>
              <w:jc w:val="both"/>
              <w:rPr>
                <w:rFonts w:hint="eastAsia" w:cs="宋体"/>
                <w:b w:val="0"/>
                <w:bCs w:val="0"/>
                <w:sz w:val="24"/>
                <w:szCs w:val="24"/>
                <w:lang w:val="en-US" w:eastAsia="zh-CN" w:bidi="zh-CN"/>
              </w:rPr>
            </w:pPr>
            <w:r>
              <w:rPr>
                <w:rFonts w:hint="eastAsia" w:cs="宋体"/>
                <w:b w:val="0"/>
                <w:bCs w:val="0"/>
                <w:sz w:val="24"/>
                <w:szCs w:val="24"/>
                <w:lang w:val="en-US" w:eastAsia="zh-CN" w:bidi="zh-CN"/>
              </w:rPr>
              <w:t>公司无刷电机控制方面，上半年增长较快，请谈谈其快速增长的原因、主要应用领域和未来展望？</w:t>
            </w:r>
          </w:p>
          <w:p w14:paraId="491A4210">
            <w:pPr>
              <w:pStyle w:val="8"/>
              <w:numPr>
                <w:ilvl w:val="0"/>
                <w:numId w:val="0"/>
              </w:numPr>
              <w:spacing w:before="170" w:line="360" w:lineRule="auto"/>
              <w:ind w:right="0" w:rightChars="0" w:firstLine="480" w:firstLineChars="200"/>
              <w:jc w:val="both"/>
              <w:rPr>
                <w:rFonts w:hint="eastAsia" w:cs="宋体"/>
                <w:b w:val="0"/>
                <w:bCs w:val="0"/>
                <w:sz w:val="24"/>
                <w:szCs w:val="24"/>
                <w:lang w:val="en-US" w:eastAsia="zh-CN" w:bidi="zh-CN"/>
              </w:rPr>
            </w:pPr>
            <w:r>
              <w:rPr>
                <w:rFonts w:hint="eastAsia" w:cs="宋体"/>
                <w:b w:val="0"/>
                <w:bCs w:val="0"/>
                <w:sz w:val="24"/>
                <w:szCs w:val="24"/>
                <w:lang w:val="en-US" w:eastAsia="zh-CN" w:bidi="zh-CN"/>
              </w:rPr>
              <w:t>答：公司在无刷电机控制方面提供最能体现一站式整体解决方案，我们提供主控、驱动、功率器件和电机控制软件算法。我们采取软件控制方式，保持电机控制的灵活性，便于客户开发个性产品，不足的是电机调试相对复杂，要求较多的技术支持。今年无刷电机控制增长主要原因是公司技术服务队伍的服务能力得到有效提升所致。目前，公司无刷电机控制主要应用在园林工具和高速风筒等方面，未来我们会向家电、汽车领域拓展。下半年，此块业务有望延续保持增长态势。</w:t>
            </w:r>
          </w:p>
          <w:p w14:paraId="2AD70103">
            <w:pPr>
              <w:pStyle w:val="8"/>
              <w:numPr>
                <w:ilvl w:val="0"/>
                <w:numId w:val="1"/>
              </w:numPr>
              <w:spacing w:before="170" w:line="360" w:lineRule="auto"/>
              <w:ind w:left="108" w:leftChars="0" w:right="0" w:rightChars="0" w:firstLine="480" w:firstLineChars="200"/>
              <w:jc w:val="both"/>
              <w:rPr>
                <w:rFonts w:hint="eastAsia" w:cs="宋体"/>
                <w:b w:val="0"/>
                <w:bCs w:val="0"/>
                <w:sz w:val="24"/>
                <w:szCs w:val="24"/>
                <w:lang w:val="en-US" w:eastAsia="zh-CN" w:bidi="zh-CN"/>
              </w:rPr>
            </w:pPr>
            <w:r>
              <w:rPr>
                <w:rFonts w:hint="eastAsia" w:cs="宋体"/>
                <w:b w:val="0"/>
                <w:bCs w:val="0"/>
                <w:sz w:val="24"/>
                <w:szCs w:val="24"/>
                <w:lang w:val="en-US" w:eastAsia="zh-CN" w:bidi="zh-CN"/>
              </w:rPr>
              <w:t>请问公司汽车电子布局及展望？</w:t>
            </w:r>
          </w:p>
          <w:p w14:paraId="63A375D3">
            <w:pPr>
              <w:pStyle w:val="8"/>
              <w:numPr>
                <w:ilvl w:val="0"/>
                <w:numId w:val="0"/>
              </w:numPr>
              <w:spacing w:before="170" w:line="360" w:lineRule="auto"/>
              <w:ind w:right="0" w:rightChars="0" w:firstLine="480" w:firstLineChars="200"/>
              <w:jc w:val="both"/>
              <w:rPr>
                <w:rFonts w:hint="eastAsia" w:cs="宋体"/>
                <w:b w:val="0"/>
                <w:bCs w:val="0"/>
                <w:sz w:val="24"/>
                <w:szCs w:val="24"/>
                <w:lang w:val="en-US" w:eastAsia="zh-CN" w:bidi="zh-CN"/>
              </w:rPr>
            </w:pPr>
            <w:r>
              <w:rPr>
                <w:rFonts w:hint="eastAsia" w:cs="宋体"/>
                <w:b w:val="0"/>
                <w:bCs w:val="0"/>
                <w:sz w:val="24"/>
                <w:szCs w:val="24"/>
                <w:lang w:val="en-US" w:eastAsia="zh-CN" w:bidi="zh-CN"/>
              </w:rPr>
              <w:t>答：汽车电子是公司产品应用的重要战略发展方面，公司十分重视车规级产品的研发和市场开拓。董事会要求在汽车电子方面，只许成功不许失败，所以公司采取步步为营、稳慎推进策略。从小</w:t>
            </w:r>
            <w:bookmarkStart w:id="0" w:name="_GoBack"/>
            <w:bookmarkEnd w:id="0"/>
            <w:r>
              <w:rPr>
                <w:rFonts w:hint="eastAsia" w:cs="宋体"/>
                <w:b w:val="0"/>
                <w:bCs w:val="0"/>
                <w:sz w:val="24"/>
                <w:szCs w:val="24"/>
                <w:lang w:val="en-US" w:eastAsia="zh-CN" w:bidi="zh-CN"/>
              </w:rPr>
              <w:t>资源产品着手，向大资源产品推进，从车声控制向底盘等安全等级更高要求推进。目前车规级产品料号不断增加，产品通过tier1导入，在终端客户开发的案子越来越多，基本上与国内主要的车企均有不同程度的合作，主要应用在车身控制领域，上半年车规级产品营收1000多万元，未来会逐步起量。</w:t>
            </w:r>
          </w:p>
          <w:p w14:paraId="04221E32">
            <w:pPr>
              <w:pStyle w:val="8"/>
              <w:numPr>
                <w:ilvl w:val="0"/>
                <w:numId w:val="0"/>
              </w:numPr>
              <w:spacing w:before="170" w:line="360" w:lineRule="auto"/>
              <w:ind w:right="0" w:rightChars="0" w:firstLine="480" w:firstLineChars="200"/>
              <w:jc w:val="both"/>
              <w:rPr>
                <w:rFonts w:hint="eastAsia" w:cs="宋体"/>
                <w:b w:val="0"/>
                <w:bCs w:val="0"/>
                <w:sz w:val="24"/>
                <w:szCs w:val="24"/>
                <w:lang w:val="en-US" w:eastAsia="zh-CN" w:bidi="zh-CN"/>
              </w:rPr>
            </w:pPr>
            <w:r>
              <w:rPr>
                <w:rFonts w:hint="eastAsia" w:cs="宋体"/>
                <w:b w:val="0"/>
                <w:bCs w:val="0"/>
                <w:sz w:val="24"/>
                <w:szCs w:val="24"/>
                <w:lang w:val="en-US" w:eastAsia="zh-CN" w:bidi="zh-CN"/>
              </w:rPr>
              <w:t>5、公司产品毛利复苏的原因及未来价格策略？</w:t>
            </w:r>
          </w:p>
          <w:p w14:paraId="41ABB438">
            <w:pPr>
              <w:pStyle w:val="8"/>
              <w:numPr>
                <w:ilvl w:val="0"/>
                <w:numId w:val="0"/>
              </w:numPr>
              <w:spacing w:before="170" w:line="360" w:lineRule="auto"/>
              <w:ind w:right="0" w:rightChars="0" w:firstLine="480" w:firstLineChars="200"/>
              <w:jc w:val="both"/>
              <w:rPr>
                <w:rFonts w:hint="eastAsia" w:cs="宋体"/>
                <w:b w:val="0"/>
                <w:bCs w:val="0"/>
                <w:sz w:val="24"/>
                <w:szCs w:val="24"/>
                <w:lang w:val="en-US" w:eastAsia="zh-CN" w:bidi="zh-CN"/>
              </w:rPr>
            </w:pPr>
            <w:r>
              <w:rPr>
                <w:rFonts w:hint="eastAsia" w:cs="宋体"/>
                <w:b w:val="0"/>
                <w:bCs w:val="0"/>
                <w:sz w:val="24"/>
                <w:szCs w:val="24"/>
                <w:lang w:val="en-US" w:eastAsia="zh-CN" w:bidi="zh-CN"/>
              </w:rPr>
              <w:t>答：毛利复苏来自两方面，一是产品更新迭代，设计更有竞争力的产品所致；另一方面是产品原材料采购、代工成本下降所致。公司的价格策略会充分遵循市场规律，重市场占有率、重毛利而不重毛利率，我们会努力提供更有性价比的产品给客户。</w:t>
            </w:r>
          </w:p>
          <w:p w14:paraId="669E8C0A">
            <w:pPr>
              <w:pStyle w:val="8"/>
              <w:numPr>
                <w:ilvl w:val="0"/>
                <w:numId w:val="0"/>
              </w:numPr>
              <w:spacing w:before="170" w:line="360" w:lineRule="auto"/>
              <w:ind w:right="0" w:rightChars="0" w:firstLine="480" w:firstLineChars="200"/>
              <w:jc w:val="both"/>
              <w:rPr>
                <w:rFonts w:hint="eastAsia" w:cs="宋体"/>
                <w:b w:val="0"/>
                <w:bCs w:val="0"/>
                <w:sz w:val="24"/>
                <w:szCs w:val="24"/>
                <w:lang w:val="en-US" w:eastAsia="zh-CN" w:bidi="zh-CN"/>
              </w:rPr>
            </w:pPr>
            <w:r>
              <w:rPr>
                <w:rFonts w:hint="eastAsia" w:cs="宋体"/>
                <w:b w:val="0"/>
                <w:bCs w:val="0"/>
                <w:sz w:val="24"/>
                <w:szCs w:val="24"/>
                <w:lang w:val="en-US" w:eastAsia="zh-CN" w:bidi="zh-CN"/>
              </w:rPr>
              <w:t>6、目前晶圆代工成本有何变化？</w:t>
            </w:r>
          </w:p>
          <w:p w14:paraId="5D687FD4">
            <w:pPr>
              <w:pStyle w:val="8"/>
              <w:numPr>
                <w:ilvl w:val="0"/>
                <w:numId w:val="0"/>
              </w:numPr>
              <w:spacing w:before="170" w:line="360" w:lineRule="auto"/>
              <w:ind w:right="0" w:rightChars="0" w:firstLine="480" w:firstLineChars="200"/>
              <w:jc w:val="both"/>
              <w:rPr>
                <w:rFonts w:hint="eastAsia" w:cs="宋体"/>
                <w:b w:val="0"/>
                <w:bCs w:val="0"/>
                <w:sz w:val="24"/>
                <w:szCs w:val="24"/>
                <w:lang w:val="en-US" w:eastAsia="zh-CN" w:bidi="zh-CN"/>
              </w:rPr>
            </w:pPr>
            <w:r>
              <w:rPr>
                <w:rFonts w:hint="eastAsia" w:cs="宋体"/>
                <w:b w:val="0"/>
                <w:bCs w:val="0"/>
                <w:sz w:val="24"/>
                <w:szCs w:val="24"/>
                <w:lang w:val="en-US" w:eastAsia="zh-CN" w:bidi="zh-CN"/>
              </w:rPr>
              <w:t>答：从三季度开始，公司收到部分晶圆厂代工的涨价通知，晶圆代工有小幅上涨。</w:t>
            </w:r>
          </w:p>
          <w:p w14:paraId="0E46A274">
            <w:pPr>
              <w:pStyle w:val="8"/>
              <w:numPr>
                <w:ilvl w:val="0"/>
                <w:numId w:val="2"/>
              </w:numPr>
              <w:spacing w:before="170" w:line="360" w:lineRule="auto"/>
              <w:ind w:left="108" w:leftChars="0" w:right="0" w:rightChars="0" w:firstLine="480" w:firstLineChars="200"/>
              <w:jc w:val="both"/>
              <w:rPr>
                <w:rFonts w:hint="eastAsia" w:cs="宋体"/>
                <w:b w:val="0"/>
                <w:bCs w:val="0"/>
                <w:sz w:val="24"/>
                <w:szCs w:val="24"/>
                <w:lang w:val="en-US" w:eastAsia="zh-CN" w:bidi="zh-CN"/>
              </w:rPr>
            </w:pPr>
            <w:r>
              <w:rPr>
                <w:rFonts w:hint="eastAsia" w:cs="宋体"/>
                <w:b w:val="0"/>
                <w:bCs w:val="0"/>
                <w:sz w:val="24"/>
                <w:szCs w:val="24"/>
                <w:lang w:val="en-US" w:eastAsia="zh-CN" w:bidi="zh-CN"/>
              </w:rPr>
              <w:t>请问公司对下半年的展望？</w:t>
            </w:r>
          </w:p>
          <w:p w14:paraId="2502E90A">
            <w:pPr>
              <w:pStyle w:val="8"/>
              <w:numPr>
                <w:ilvl w:val="0"/>
                <w:numId w:val="0"/>
              </w:numPr>
              <w:spacing w:before="170" w:line="360" w:lineRule="auto"/>
              <w:ind w:right="0" w:rightChars="0" w:firstLine="480" w:firstLineChars="200"/>
              <w:jc w:val="both"/>
              <w:rPr>
                <w:rFonts w:hint="default" w:cs="宋体"/>
                <w:b w:val="0"/>
                <w:bCs w:val="0"/>
                <w:sz w:val="24"/>
                <w:szCs w:val="24"/>
                <w:lang w:val="en-US" w:eastAsia="zh-CN" w:bidi="zh-CN"/>
              </w:rPr>
            </w:pPr>
            <w:r>
              <w:rPr>
                <w:rFonts w:hint="eastAsia" w:cs="宋体"/>
                <w:b w:val="0"/>
                <w:bCs w:val="0"/>
                <w:sz w:val="24"/>
                <w:szCs w:val="24"/>
                <w:lang w:val="en-US" w:eastAsia="zh-CN" w:bidi="zh-CN"/>
              </w:rPr>
              <w:t>答：下半年是传统的旺季，我们期待有更好的市场需求和更好的业绩表现。</w:t>
            </w:r>
          </w:p>
          <w:p w14:paraId="19BACBC5">
            <w:pPr>
              <w:pStyle w:val="8"/>
              <w:numPr>
                <w:ilvl w:val="0"/>
                <w:numId w:val="0"/>
              </w:numPr>
              <w:spacing w:before="170" w:line="360" w:lineRule="auto"/>
              <w:ind w:right="0" w:rightChars="0" w:firstLine="480" w:firstLineChars="200"/>
              <w:jc w:val="both"/>
              <w:rPr>
                <w:rFonts w:hint="default" w:cs="宋体"/>
                <w:b w:val="0"/>
                <w:bCs w:val="0"/>
                <w:sz w:val="24"/>
                <w:szCs w:val="24"/>
                <w:lang w:val="en-US" w:eastAsia="zh-CN" w:bidi="zh-CN"/>
              </w:rPr>
            </w:pPr>
          </w:p>
        </w:tc>
      </w:tr>
    </w:tbl>
    <w:p w14:paraId="4E79A505">
      <w:pPr>
        <w:spacing w:before="23"/>
        <w:ind w:right="0"/>
        <w:jc w:val="left"/>
        <w:rPr>
          <w:sz w:val="21"/>
        </w:rPr>
      </w:pPr>
    </w:p>
    <w:sectPr>
      <w:pgSz w:w="11910" w:h="16840"/>
      <w:pgMar w:top="1417" w:right="1134" w:bottom="1417" w:left="1134"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818A2"/>
    <w:multiLevelType w:val="singleLevel"/>
    <w:tmpl w:val="D79818A2"/>
    <w:lvl w:ilvl="0" w:tentative="0">
      <w:start w:val="7"/>
      <w:numFmt w:val="decimal"/>
      <w:suff w:val="nothing"/>
      <w:lvlText w:val="%1、"/>
      <w:lvlJc w:val="left"/>
    </w:lvl>
  </w:abstractNum>
  <w:abstractNum w:abstractNumId="1">
    <w:nsid w:val="4FD48B96"/>
    <w:multiLevelType w:val="singleLevel"/>
    <w:tmpl w:val="4FD48B96"/>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00FD233D"/>
    <w:rsid w:val="049B5140"/>
    <w:rsid w:val="062260D2"/>
    <w:rsid w:val="06B7310D"/>
    <w:rsid w:val="0BCE5827"/>
    <w:rsid w:val="0E561013"/>
    <w:rsid w:val="0E842633"/>
    <w:rsid w:val="103109BE"/>
    <w:rsid w:val="10CC52F7"/>
    <w:rsid w:val="140D0007"/>
    <w:rsid w:val="144018FC"/>
    <w:rsid w:val="1BA42A8E"/>
    <w:rsid w:val="1E491273"/>
    <w:rsid w:val="1E6B5B60"/>
    <w:rsid w:val="204505AD"/>
    <w:rsid w:val="20E85DAE"/>
    <w:rsid w:val="23EE6D8C"/>
    <w:rsid w:val="24E24D18"/>
    <w:rsid w:val="24EC5A02"/>
    <w:rsid w:val="26CB631A"/>
    <w:rsid w:val="275135B6"/>
    <w:rsid w:val="296C29CE"/>
    <w:rsid w:val="2D600F4C"/>
    <w:rsid w:val="2E567099"/>
    <w:rsid w:val="2ED94800"/>
    <w:rsid w:val="302C44F1"/>
    <w:rsid w:val="32954240"/>
    <w:rsid w:val="337066A2"/>
    <w:rsid w:val="33CF2630"/>
    <w:rsid w:val="36CF10AF"/>
    <w:rsid w:val="37B625EF"/>
    <w:rsid w:val="380A05F1"/>
    <w:rsid w:val="39F5707E"/>
    <w:rsid w:val="3A0A3E69"/>
    <w:rsid w:val="3B073DC4"/>
    <w:rsid w:val="3CC11A84"/>
    <w:rsid w:val="402D334F"/>
    <w:rsid w:val="417A669A"/>
    <w:rsid w:val="42417305"/>
    <w:rsid w:val="437368FD"/>
    <w:rsid w:val="44E37ACA"/>
    <w:rsid w:val="46DB063D"/>
    <w:rsid w:val="4F3A3B86"/>
    <w:rsid w:val="51CD61A5"/>
    <w:rsid w:val="58B36C53"/>
    <w:rsid w:val="58B91A1A"/>
    <w:rsid w:val="5BFF6D06"/>
    <w:rsid w:val="5E056C86"/>
    <w:rsid w:val="645218B2"/>
    <w:rsid w:val="64E10284"/>
    <w:rsid w:val="65864EAB"/>
    <w:rsid w:val="65AC0BA1"/>
    <w:rsid w:val="684E7F52"/>
    <w:rsid w:val="6860573C"/>
    <w:rsid w:val="69007D35"/>
    <w:rsid w:val="6A8F2D01"/>
    <w:rsid w:val="6AA221E0"/>
    <w:rsid w:val="6AFE35FB"/>
    <w:rsid w:val="6BF33738"/>
    <w:rsid w:val="6C060AF4"/>
    <w:rsid w:val="6E5114E1"/>
    <w:rsid w:val="6F441EB0"/>
    <w:rsid w:val="6F8659FF"/>
    <w:rsid w:val="70852816"/>
    <w:rsid w:val="73187DD2"/>
    <w:rsid w:val="78471C35"/>
    <w:rsid w:val="79213DD0"/>
    <w:rsid w:val="7A117945"/>
    <w:rsid w:val="7BC17493"/>
    <w:rsid w:val="7D2045FF"/>
    <w:rsid w:val="7F0A2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6"/>
    </w:pPr>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zh-CN" w:eastAsia="zh-CN" w:bidi="zh-CN"/>
    </w:rPr>
  </w:style>
  <w:style w:type="paragraph" w:customStyle="1" w:styleId="8">
    <w:name w:val="Table Paragraph"/>
    <w:basedOn w:val="1"/>
    <w:autoRedefine/>
    <w:qFormat/>
    <w:uiPriority w:val="1"/>
    <w:pPr>
      <w:ind w:left="108"/>
    </w:pPr>
    <w:rPr>
      <w:rFonts w:ascii="宋体" w:hAnsi="宋体" w:eastAsia="宋体" w:cs="宋体"/>
      <w:lang w:val="zh-CN" w:eastAsia="zh-CN" w:bidi="zh-CN"/>
    </w:rPr>
  </w:style>
  <w:style w:type="paragraph" w:customStyle="1" w:styleId="9">
    <w:name w:val="12"/>
    <w:autoRedefine/>
    <w:qFormat/>
    <w:uiPriority w:val="0"/>
    <w:pPr>
      <w:widowControl w:val="0"/>
      <w:jc w:val="both"/>
    </w:pPr>
    <w:rPr>
      <w:rFonts w:ascii="Calibri" w:hAnsi="Calibri" w:eastAsia="宋体" w:cs="Times New Roman"/>
      <w:kern w:val="2"/>
      <w:lang w:val="en-US" w:eastAsia="zh-CN" w:bidi="ar-SA"/>
    </w:rPr>
  </w:style>
  <w:style w:type="paragraph" w:customStyle="1" w:styleId="10">
    <w:name w:val="正文5"/>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1283</Words>
  <Characters>1343</Characters>
  <TotalTime>51</TotalTime>
  <ScaleCrop>false</ScaleCrop>
  <LinksUpToDate>false</LinksUpToDate>
  <CharactersWithSpaces>1559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2022-08-11T01:07:00Z</dcterms:created>
  <dc:creator>XIONG</dc:creator>
  <cp:lastModifiedBy>Zhaoyj</cp:lastModifiedBy>
  <cp:lastPrinted>2022-09-29T09:35:00Z</cp:lastPrinted>
  <dcterms:modified xsi:type="dcterms:W3CDTF">2024-09-04T05:31:30Z</dcterms:modified>
  <dc:title>证券代码：300327                      证券简称：中颖电子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2010</vt:lpwstr>
  </property>
  <property fmtid="{D5CDD505-2E9C-101B-9397-08002B2CF9AE}" pid="4" name="LastSaved">
    <vt:filetime>2022-08-11T00:00:00Z</vt:filetime>
  </property>
  <property fmtid="{D5CDD505-2E9C-101B-9397-08002B2CF9AE}" pid="5" name="KSOProductBuildVer">
    <vt:lpwstr>2052-12.1.0.17827</vt:lpwstr>
  </property>
  <property fmtid="{D5CDD505-2E9C-101B-9397-08002B2CF9AE}" pid="6" name="ICV">
    <vt:lpwstr>4330441B438E4912A008FCE597CC5766_13</vt:lpwstr>
  </property>
</Properties>
</file>