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93" w:rsidRDefault="006A3F10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证券代码：601187                                  证券简称：厦门银行</w:t>
      </w:r>
    </w:p>
    <w:p w:rsidR="009C3593" w:rsidRDefault="006A3F10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厦门银行股份有限公司</w:t>
      </w:r>
    </w:p>
    <w:p w:rsidR="009C3593" w:rsidRDefault="006A3F10">
      <w:pPr>
        <w:spacing w:line="360" w:lineRule="auto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9C3593" w:rsidRDefault="006A3F10">
      <w:pPr>
        <w:spacing w:line="400" w:lineRule="exact"/>
        <w:jc w:val="right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编号：202</w:t>
      </w:r>
      <w:r>
        <w:rPr>
          <w:rFonts w:ascii="宋体" w:eastAsia="宋体" w:hAnsi="宋体"/>
          <w:bCs/>
          <w:iCs/>
          <w:color w:val="000000"/>
          <w:sz w:val="24"/>
        </w:rPr>
        <w:t>4</w:t>
      </w:r>
      <w:r>
        <w:rPr>
          <w:rFonts w:ascii="宋体" w:eastAsia="宋体" w:hAnsi="宋体" w:hint="eastAsia"/>
          <w:bCs/>
          <w:iCs/>
          <w:color w:val="000000"/>
          <w:sz w:val="24"/>
        </w:rPr>
        <w:t>-0</w:t>
      </w:r>
      <w:r>
        <w:rPr>
          <w:rFonts w:ascii="宋体" w:eastAsia="宋体" w:hAnsi="宋体"/>
          <w:bCs/>
          <w:iCs/>
          <w:color w:val="000000"/>
          <w:sz w:val="24"/>
        </w:rPr>
        <w:t>9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        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7129"/>
      </w:tblGrid>
      <w:tr w:rsidR="009C3593">
        <w:trPr>
          <w:trHeight w:val="149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9C3593" w:rsidRDefault="009C3593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 xml:space="preserve">特定对象调研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分析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师会议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□</w:t>
            </w:r>
            <w:r>
              <w:rPr>
                <w:rFonts w:ascii="宋体" w:eastAsia="宋体" w:hAnsi="宋体" w:cs="宋体" w:hint="eastAsia"/>
                <w:sz w:val="24"/>
              </w:rPr>
              <w:t>媒体采访</w:t>
            </w:r>
          </w:p>
          <w:p w:rsidR="009C3593" w:rsidRDefault="006A3F1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业绩说明会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新闻发布会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路演活动</w:t>
            </w:r>
          </w:p>
          <w:p w:rsidR="009C3593" w:rsidRDefault="006A3F1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现场参观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其他 </w:t>
            </w:r>
          </w:p>
        </w:tc>
      </w:tr>
      <w:tr w:rsidR="009C3593">
        <w:trPr>
          <w:trHeight w:val="54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申万宏源证券、招商证券、中信保诚基金、财通基金、华安财保资产、前海再保险等8家机构、11</w:t>
            </w:r>
            <w:r w:rsidR="00AC159F"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人次</w:t>
            </w:r>
            <w:bookmarkStart w:id="0" w:name="_GoBack"/>
            <w:bookmarkEnd w:id="0"/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参加线下调研</w:t>
            </w:r>
          </w:p>
        </w:tc>
      </w:tr>
      <w:tr w:rsidR="009C3593">
        <w:trPr>
          <w:trHeight w:val="38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日</w:t>
            </w:r>
            <w:r w:rsidR="003676C9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（星期三）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0–1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9C3593">
        <w:trPr>
          <w:trHeight w:val="37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厦门银行A6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02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会议室</w:t>
            </w:r>
          </w:p>
        </w:tc>
      </w:tr>
      <w:tr w:rsidR="009C359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公司接待人员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行长吴昕颢、副行长兼董事会秘书谢彤华、董事会办公室主任兼证券事务代表张晓芳及相关部门领导</w:t>
            </w:r>
          </w:p>
        </w:tc>
      </w:tr>
      <w:tr w:rsidR="009C359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93" w:rsidRDefault="006A3F10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3" w:rsidRDefault="006A3F1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1.公司上半年净利润下滑主要原因是什么？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2024年上半年，公司净利润同比下滑主要原因一是受LPR持续下行及存量按揭利率下调等因素的影响，公司净息差同比下降20BP，利息净收入同比减少。另一原因是受减值计提金额同比增加较多的影响。2024年上半年，公司累计计提减值损失4.64亿元，同比增长144.18%。剔除减值计提的影响，公司上半年实现拨备前利润总额17.81亿元，同比小幅下降3.04%。</w:t>
            </w:r>
          </w:p>
          <w:p w:rsidR="009C3593" w:rsidRDefault="006A3F1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2.公司上半年拨备计提大幅增加的原因？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2024年上半年，公司累计计提减值损失4.64亿元，较去年同期增长2.74亿元，同比增长144.18%，主要是个人贷款减值计提增加。2024年上半年国内经济整体回升向好，但仍呈现结构性差异，部分个体工商户经营出现困难，叠加抵押物价值下跌影响，个人贷款不良有所上升，公司对该类资产加大减值计提，该部分贷款大部分是抵押类贷款或有第三方履约担保的业务，公司将加强问题资产的处置和清收力度，持续防范化解风险。截至2024年6月，公司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lastRenderedPageBreak/>
              <w:t>拨备覆盖率为396.22%，风险抵御能力保持较高水平。</w:t>
            </w:r>
          </w:p>
          <w:p w:rsidR="009C3593" w:rsidRDefault="006A3F1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3.能否简单介绍一下不良贷款的细分？其中零售贷款不良率提升较快，具体什么原因？有什么措施？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截至2024年6月末，公司不良贷款余额16.13亿元，不良贷款率0.76%，与年初持平，资产质量保持平稳。其中，对公贷款（不含票据贴现）的不良率为0.73%，较年初下降0.36个百分点。个人贷款不良率0.99%，较上年末上升0.48个百分点。2024年上半年，国内经济整体回升向好，但仍呈现结构性差异，部分个体工商户经营出现困难，还款能力下降，叠加抵押物价值下跌影响，个人贷款不良率有所上升。公司通过持续开展客户信贷特征、行为特征等基础特征挖掘，不断优化以风险模型及风险特征运用为基础的风险管理策略，持续提升贷前风险识别和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贷中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风险预警的有效性，逐月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发布高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风险客户清单，结合零售授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信全量押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品价值重估结果，针对清单客户及时采取管控措施，加速高风险客户的化解、处置。</w:t>
            </w:r>
          </w:p>
          <w:p w:rsidR="009C3593" w:rsidRDefault="006A3F1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4.2024上半年关注类贷款、逾期贷款增加较多，主要原因是什么？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截至2024年6月末，公司关注类贷款金额48.30亿元，较上年末增加18.26亿元，主要系针对部分基本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面正常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但受外部经济环境变化影响出现风险信号的客户，本公司基于审慎原则将其分类下调为关注。公司持续跟踪关注类客户的经营情况及关注类贷款的变化情况，加强关注类贷款管理，持续防范化解关注类客户信用风险。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截至2024年6月末，公司逾期贷款金额32.03亿元，较上年末增加8.96亿元，逾期贷款占贷款及垫款总额1.50%，较上年末增加0.40个百分点，主要是由个别民营企业集团授信客户贷款、个人经营性贷款逾期所致。公司已对逾期贷款计提充足拨备，并密切关注逾期贷款客户经营财务及偿债能力变化等情况，全面做好资产保全工作，加强问题资产处置力度，持续防范化解信用风险。</w:t>
            </w:r>
          </w:p>
          <w:p w:rsidR="009C3593" w:rsidRDefault="006A3F1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5.公司基金投资的底层资产是什么？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截至2024年</w:t>
            </w:r>
            <w:r w:rsidR="003676C9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上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半年末，公司投资公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募基金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均为债券型基金。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lastRenderedPageBreak/>
              <w:t>基金底层资产投向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系固定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收益为主的债券：其中利率债（国债、政金债、地方债）占比超80%，其余为同业存单、商业银行金融债、高等级信用债。底层资产流动性佳、市场风险可控、信用风险较低。</w:t>
            </w:r>
          </w:p>
          <w:p w:rsidR="009C3593" w:rsidRDefault="006A3F1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6、关于净息</w:t>
            </w:r>
            <w:proofErr w:type="gramStart"/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差指标</w:t>
            </w:r>
            <w:proofErr w:type="gramEnd"/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公司未来的想法规划？</w:t>
            </w:r>
            <w:proofErr w:type="gramStart"/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后续维稳或者</w:t>
            </w:r>
            <w:proofErr w:type="gramEnd"/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改善净息差的措施有哪些？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2024年上半年，净息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差结构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优化措施的效果逐步显现，自2024年1月探底后，2024年上半年净息差呈现回升态势。从当前经济形势、宏观政策取向、利率变化情况来看，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未来息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差仍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面临收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窄的压力。公司将持续将工作重点聚焦于存贷业务内部结构的摆布，同时进一步提升差异化竞争力，多方位、多途径改善净息差。资产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端坚持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持续压降低息票据规模，增加一般贷款投放的导向，提升结构优化对资产收益率的贡献度。同时加强定价管理，敏捷地进行内外部价格适应</w:t>
            </w:r>
            <w:r w:rsidR="005D337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性的调整，强化对客户的经营，深挖客户的综合效益，推动贷款利率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降中趋稳。此外，做好大类资产配置，根据市场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判提升投资配置效率。负债端通过增加活期存款占比、审慎安排高成本、长久期存款的吸收来优化存款结构、提升负债质量，同时充分利用市场合理充裕的资金环境，统筹存款、市场资金、低成本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央行再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贷款等优化付息负债成本。</w:t>
            </w:r>
          </w:p>
          <w:p w:rsidR="009C3593" w:rsidRDefault="006A3F1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</w:rPr>
              <w:t>7.公司分红政策如何，是否考虑中期分红？</w:t>
            </w:r>
          </w:p>
          <w:p w:rsidR="009C3593" w:rsidRDefault="006A3F1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公司上市以来一直坚持稳定、持续的分红政策，2021-2023年度每股现金分红分别为0.25元、0.29元和0.31元，保持稳定增长，现金分红率已连续三年超过30%。公司将在资本充足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率满足</w:t>
            </w:r>
            <w:proofErr w:type="gramEnd"/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监管要求和业务长远发展的前提下，参考上市银行中期分红的实施情况，充分考虑投资者投资回报需求，加速研究中期分红事宜。</w:t>
            </w:r>
          </w:p>
        </w:tc>
      </w:tr>
    </w:tbl>
    <w:p w:rsidR="009C3593" w:rsidRDefault="009C3593">
      <w:pPr>
        <w:pStyle w:val="1"/>
        <w:widowControl/>
        <w:spacing w:line="360" w:lineRule="auto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</w:p>
    <w:sectPr w:rsidR="009C35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CC" w:rsidRDefault="00284DCC">
      <w:r>
        <w:separator/>
      </w:r>
    </w:p>
  </w:endnote>
  <w:endnote w:type="continuationSeparator" w:id="0">
    <w:p w:rsidR="00284DCC" w:rsidRDefault="002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593" w:rsidRDefault="006A3F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593" w:rsidRDefault="006A3F1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159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C3593" w:rsidRDefault="006A3F1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C159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CC" w:rsidRDefault="00284DCC">
      <w:r>
        <w:separator/>
      </w:r>
    </w:p>
  </w:footnote>
  <w:footnote w:type="continuationSeparator" w:id="0">
    <w:p w:rsidR="00284DCC" w:rsidRDefault="0028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31"/>
    <w:rsid w:val="00026086"/>
    <w:rsid w:val="0003505D"/>
    <w:rsid w:val="000367CC"/>
    <w:rsid w:val="00037955"/>
    <w:rsid w:val="00043DE1"/>
    <w:rsid w:val="0005378B"/>
    <w:rsid w:val="0006674F"/>
    <w:rsid w:val="000719F0"/>
    <w:rsid w:val="00082ED5"/>
    <w:rsid w:val="000B298D"/>
    <w:rsid w:val="000D201C"/>
    <w:rsid w:val="000D57CA"/>
    <w:rsid w:val="000E1161"/>
    <w:rsid w:val="000F2DEA"/>
    <w:rsid w:val="0014156A"/>
    <w:rsid w:val="00184F9C"/>
    <w:rsid w:val="001952A1"/>
    <w:rsid w:val="001C008C"/>
    <w:rsid w:val="001C0C8A"/>
    <w:rsid w:val="001C6978"/>
    <w:rsid w:val="001D3154"/>
    <w:rsid w:val="001E5D66"/>
    <w:rsid w:val="001F412A"/>
    <w:rsid w:val="00201D0A"/>
    <w:rsid w:val="00284DCC"/>
    <w:rsid w:val="0029008E"/>
    <w:rsid w:val="00292069"/>
    <w:rsid w:val="002D0FB2"/>
    <w:rsid w:val="002E2585"/>
    <w:rsid w:val="00312F50"/>
    <w:rsid w:val="003228CC"/>
    <w:rsid w:val="00326F2C"/>
    <w:rsid w:val="003676C9"/>
    <w:rsid w:val="00390CC1"/>
    <w:rsid w:val="0039318E"/>
    <w:rsid w:val="00396AE7"/>
    <w:rsid w:val="003C230C"/>
    <w:rsid w:val="003E3F42"/>
    <w:rsid w:val="003F0008"/>
    <w:rsid w:val="004023FB"/>
    <w:rsid w:val="00411811"/>
    <w:rsid w:val="00436013"/>
    <w:rsid w:val="004505F4"/>
    <w:rsid w:val="00461A53"/>
    <w:rsid w:val="00466061"/>
    <w:rsid w:val="004874E0"/>
    <w:rsid w:val="00487B7E"/>
    <w:rsid w:val="00494EB8"/>
    <w:rsid w:val="004E0106"/>
    <w:rsid w:val="004F0608"/>
    <w:rsid w:val="004F4869"/>
    <w:rsid w:val="00521851"/>
    <w:rsid w:val="005C1902"/>
    <w:rsid w:val="005D337F"/>
    <w:rsid w:val="005E6C45"/>
    <w:rsid w:val="006046F6"/>
    <w:rsid w:val="00606A89"/>
    <w:rsid w:val="006145F4"/>
    <w:rsid w:val="00630D9D"/>
    <w:rsid w:val="00684E46"/>
    <w:rsid w:val="006A3F10"/>
    <w:rsid w:val="006B2D02"/>
    <w:rsid w:val="006C2EC8"/>
    <w:rsid w:val="006D72A3"/>
    <w:rsid w:val="006F2793"/>
    <w:rsid w:val="0072749C"/>
    <w:rsid w:val="007A3788"/>
    <w:rsid w:val="007D21FC"/>
    <w:rsid w:val="0080480B"/>
    <w:rsid w:val="00812422"/>
    <w:rsid w:val="00812E1D"/>
    <w:rsid w:val="00821A73"/>
    <w:rsid w:val="00831AD8"/>
    <w:rsid w:val="0083425E"/>
    <w:rsid w:val="008346D5"/>
    <w:rsid w:val="00846FB3"/>
    <w:rsid w:val="00861808"/>
    <w:rsid w:val="00864179"/>
    <w:rsid w:val="00884BBC"/>
    <w:rsid w:val="008D321C"/>
    <w:rsid w:val="008D439A"/>
    <w:rsid w:val="008E0E5E"/>
    <w:rsid w:val="008E2E7C"/>
    <w:rsid w:val="008E49BB"/>
    <w:rsid w:val="008F3C8D"/>
    <w:rsid w:val="00916FB2"/>
    <w:rsid w:val="00932163"/>
    <w:rsid w:val="009614B8"/>
    <w:rsid w:val="00967C11"/>
    <w:rsid w:val="00993AED"/>
    <w:rsid w:val="009C3593"/>
    <w:rsid w:val="009D3C26"/>
    <w:rsid w:val="00A02A1E"/>
    <w:rsid w:val="00A042DF"/>
    <w:rsid w:val="00A675A5"/>
    <w:rsid w:val="00A71D7B"/>
    <w:rsid w:val="00A75302"/>
    <w:rsid w:val="00A91BCF"/>
    <w:rsid w:val="00AA4EC1"/>
    <w:rsid w:val="00AC159F"/>
    <w:rsid w:val="00AD3D72"/>
    <w:rsid w:val="00B12B0F"/>
    <w:rsid w:val="00B13D11"/>
    <w:rsid w:val="00B262BB"/>
    <w:rsid w:val="00B4000B"/>
    <w:rsid w:val="00B513C9"/>
    <w:rsid w:val="00B77060"/>
    <w:rsid w:val="00BA2A5C"/>
    <w:rsid w:val="00C272E4"/>
    <w:rsid w:val="00C306C4"/>
    <w:rsid w:val="00C3426E"/>
    <w:rsid w:val="00C57CB6"/>
    <w:rsid w:val="00C77107"/>
    <w:rsid w:val="00CA185F"/>
    <w:rsid w:val="00CA1978"/>
    <w:rsid w:val="00CB4B1B"/>
    <w:rsid w:val="00CD6B39"/>
    <w:rsid w:val="00CE363A"/>
    <w:rsid w:val="00CE5BAD"/>
    <w:rsid w:val="00D15C8D"/>
    <w:rsid w:val="00D2173E"/>
    <w:rsid w:val="00D26075"/>
    <w:rsid w:val="00D345FF"/>
    <w:rsid w:val="00D36031"/>
    <w:rsid w:val="00D6304B"/>
    <w:rsid w:val="00D64ADC"/>
    <w:rsid w:val="00D769E6"/>
    <w:rsid w:val="00D831EB"/>
    <w:rsid w:val="00DE45ED"/>
    <w:rsid w:val="00DF5561"/>
    <w:rsid w:val="00E150B1"/>
    <w:rsid w:val="00E24606"/>
    <w:rsid w:val="00E40AEC"/>
    <w:rsid w:val="00E51159"/>
    <w:rsid w:val="00E669D3"/>
    <w:rsid w:val="00E70F11"/>
    <w:rsid w:val="00E72078"/>
    <w:rsid w:val="00E827C3"/>
    <w:rsid w:val="00F2487E"/>
    <w:rsid w:val="00F33950"/>
    <w:rsid w:val="00F37B60"/>
    <w:rsid w:val="00F66912"/>
    <w:rsid w:val="00F742BE"/>
    <w:rsid w:val="00FA14BB"/>
    <w:rsid w:val="00FD27C0"/>
    <w:rsid w:val="00FD5E49"/>
    <w:rsid w:val="00FE6AE6"/>
    <w:rsid w:val="015D5A57"/>
    <w:rsid w:val="02CF50BD"/>
    <w:rsid w:val="05C24D00"/>
    <w:rsid w:val="06552F15"/>
    <w:rsid w:val="084A7117"/>
    <w:rsid w:val="0871603F"/>
    <w:rsid w:val="08AC19AE"/>
    <w:rsid w:val="09077D9B"/>
    <w:rsid w:val="0B451836"/>
    <w:rsid w:val="0D3D4770"/>
    <w:rsid w:val="0DF57533"/>
    <w:rsid w:val="0E0F2D35"/>
    <w:rsid w:val="0E6A399D"/>
    <w:rsid w:val="0E857138"/>
    <w:rsid w:val="0F227EA4"/>
    <w:rsid w:val="0F5205A8"/>
    <w:rsid w:val="104154AE"/>
    <w:rsid w:val="123D1B85"/>
    <w:rsid w:val="15344502"/>
    <w:rsid w:val="15B26672"/>
    <w:rsid w:val="162034A3"/>
    <w:rsid w:val="17191A1B"/>
    <w:rsid w:val="1A0148DD"/>
    <w:rsid w:val="1A463ED0"/>
    <w:rsid w:val="1B8E1A7A"/>
    <w:rsid w:val="1D08208C"/>
    <w:rsid w:val="1D5B4846"/>
    <w:rsid w:val="1EFF4A06"/>
    <w:rsid w:val="1F533E08"/>
    <w:rsid w:val="1F7F64FD"/>
    <w:rsid w:val="1F954C73"/>
    <w:rsid w:val="20091475"/>
    <w:rsid w:val="20D613AC"/>
    <w:rsid w:val="217457D8"/>
    <w:rsid w:val="2330723F"/>
    <w:rsid w:val="236B0EA4"/>
    <w:rsid w:val="24AB2515"/>
    <w:rsid w:val="24D01C41"/>
    <w:rsid w:val="24EC5A0C"/>
    <w:rsid w:val="25505231"/>
    <w:rsid w:val="26782427"/>
    <w:rsid w:val="26C11F9D"/>
    <w:rsid w:val="291C0ADB"/>
    <w:rsid w:val="2A7700BA"/>
    <w:rsid w:val="2B025748"/>
    <w:rsid w:val="2BEE2172"/>
    <w:rsid w:val="2D7D35AC"/>
    <w:rsid w:val="30001143"/>
    <w:rsid w:val="311533DB"/>
    <w:rsid w:val="315251C1"/>
    <w:rsid w:val="325B0635"/>
    <w:rsid w:val="35BE7B1D"/>
    <w:rsid w:val="37C27387"/>
    <w:rsid w:val="37C330F5"/>
    <w:rsid w:val="390E5D5F"/>
    <w:rsid w:val="39995B0D"/>
    <w:rsid w:val="3A271C12"/>
    <w:rsid w:val="3C646B2F"/>
    <w:rsid w:val="3E3D3641"/>
    <w:rsid w:val="3E4048E7"/>
    <w:rsid w:val="3E97235C"/>
    <w:rsid w:val="3FA50D03"/>
    <w:rsid w:val="3FB47E5D"/>
    <w:rsid w:val="403E2BF1"/>
    <w:rsid w:val="4206663F"/>
    <w:rsid w:val="42BF41FD"/>
    <w:rsid w:val="42E43CFD"/>
    <w:rsid w:val="432F2BEE"/>
    <w:rsid w:val="4544795B"/>
    <w:rsid w:val="45E407D2"/>
    <w:rsid w:val="478A748B"/>
    <w:rsid w:val="48C553FC"/>
    <w:rsid w:val="49CB08F7"/>
    <w:rsid w:val="49F6616E"/>
    <w:rsid w:val="4A2E72C4"/>
    <w:rsid w:val="4B121005"/>
    <w:rsid w:val="4B141055"/>
    <w:rsid w:val="4D0B658B"/>
    <w:rsid w:val="4D3D6C75"/>
    <w:rsid w:val="4DFA5431"/>
    <w:rsid w:val="50E670CB"/>
    <w:rsid w:val="515F600E"/>
    <w:rsid w:val="53A52936"/>
    <w:rsid w:val="53CE56A9"/>
    <w:rsid w:val="545C19DE"/>
    <w:rsid w:val="54AF4160"/>
    <w:rsid w:val="55A74129"/>
    <w:rsid w:val="55F24983"/>
    <w:rsid w:val="55F60F9E"/>
    <w:rsid w:val="57465FB3"/>
    <w:rsid w:val="5CFC6FC7"/>
    <w:rsid w:val="5E7743AA"/>
    <w:rsid w:val="5F9816B2"/>
    <w:rsid w:val="60336B55"/>
    <w:rsid w:val="61516313"/>
    <w:rsid w:val="634033FF"/>
    <w:rsid w:val="63655192"/>
    <w:rsid w:val="64DA3681"/>
    <w:rsid w:val="650C2614"/>
    <w:rsid w:val="65E66C8F"/>
    <w:rsid w:val="667D142E"/>
    <w:rsid w:val="67AD2B2C"/>
    <w:rsid w:val="69093257"/>
    <w:rsid w:val="6A080FCF"/>
    <w:rsid w:val="6A154DA2"/>
    <w:rsid w:val="6AC90847"/>
    <w:rsid w:val="6EFF222E"/>
    <w:rsid w:val="6F6B10F2"/>
    <w:rsid w:val="709C7A0C"/>
    <w:rsid w:val="7184016E"/>
    <w:rsid w:val="74222042"/>
    <w:rsid w:val="75D91B12"/>
    <w:rsid w:val="766057FB"/>
    <w:rsid w:val="77CD4B73"/>
    <w:rsid w:val="79557DF0"/>
    <w:rsid w:val="7958726C"/>
    <w:rsid w:val="7B042B3B"/>
    <w:rsid w:val="7B146786"/>
    <w:rsid w:val="7C141CB7"/>
    <w:rsid w:val="7C3C1899"/>
    <w:rsid w:val="7C893740"/>
    <w:rsid w:val="7D781FE1"/>
    <w:rsid w:val="7D8B5C14"/>
    <w:rsid w:val="7E892B9A"/>
    <w:rsid w:val="7FC02C2C"/>
    <w:rsid w:val="7FC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5F04F-D399-42AD-AF68-1C7D3D94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微软雅黑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微软雅黑" w:hAnsi="Calibri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微软雅黑" w:hAnsi="Calibri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微软雅黑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eastAsia="宋体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598749-9901-4DAE-B0F3-0E8F1E73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354</Words>
  <Characters>2021</Characters>
  <Application>Microsoft Office Word</Application>
  <DocSecurity>0</DocSecurity>
  <Lines>16</Lines>
  <Paragraphs>4</Paragraphs>
  <ScaleCrop>false</ScaleCrop>
  <Company>AB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邱素萍</cp:lastModifiedBy>
  <cp:revision>14</cp:revision>
  <cp:lastPrinted>2024-09-04T09:19:00Z</cp:lastPrinted>
  <dcterms:created xsi:type="dcterms:W3CDTF">2023-02-23T09:31:00Z</dcterms:created>
  <dcterms:modified xsi:type="dcterms:W3CDTF">2024-09-04T10:23:00Z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9C1A680AB8ED4B808469309BFE27357A</vt:lpwstr>
  </property>
</Properties>
</file>