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sans-serif" w:hAnsi="sans-serif" w:eastAsia="sans-serif" w:cs="sans-serif"/>
          <w:sz w:val="28"/>
          <w:szCs w:val="28"/>
          <w:shd w:val="clear" w:color="auto" w:fill="FFFFFF"/>
        </w:rPr>
      </w:pPr>
      <w:r>
        <w:rPr>
          <w:rFonts w:ascii="sans-serif" w:hAnsi="sans-serif" w:eastAsia="sans-serif" w:cs="sans-serif"/>
          <w:b/>
          <w:bCs/>
          <w:sz w:val="32"/>
          <w:szCs w:val="32"/>
          <w:shd w:val="clear" w:color="auto" w:fill="FFFFFF"/>
        </w:rPr>
        <w:t>投资者关系活动记录表</w:t>
      </w:r>
    </w:p>
    <w:p>
      <w:pPr>
        <w:jc w:val="left"/>
        <w:rPr>
          <w:rFonts w:hint="default" w:ascii="Times New Roman" w:hAnsi="Times New Roman" w:eastAsia="宋体" w:cs="Times New Roman"/>
          <w:sz w:val="24"/>
          <w:shd w:val="clear" w:color="auto" w:fill="FFFFFF"/>
          <w:lang w:val="en-US" w:eastAsia="zh-CN"/>
        </w:rPr>
      </w:pPr>
      <w:r>
        <w:rPr>
          <w:rFonts w:hint="eastAsia" w:ascii="sans-serif" w:hAnsi="sans-serif" w:eastAsia="sans-serif" w:cs="sans-serif"/>
          <w:sz w:val="24"/>
          <w:shd w:val="clear" w:color="auto" w:fill="FFFFFF"/>
        </w:rPr>
        <w:t>股票名称：</w:t>
      </w:r>
      <w:r>
        <w:rPr>
          <w:rFonts w:hint="eastAsia" w:ascii="sans-serif" w:hAnsi="sans-serif" w:eastAsia="宋体" w:cs="sans-serif"/>
          <w:sz w:val="24"/>
          <w:shd w:val="clear" w:color="auto" w:fill="FFFFFF"/>
        </w:rPr>
        <w:t xml:space="preserve">鼎通科技           </w:t>
      </w:r>
      <w:r>
        <w:rPr>
          <w:rFonts w:hint="eastAsia" w:ascii="sans-serif" w:hAnsi="sans-serif" w:eastAsia="sans-serif" w:cs="sans-serif"/>
          <w:sz w:val="24"/>
          <w:shd w:val="clear" w:color="auto" w:fill="FFFFFF"/>
        </w:rPr>
        <w:t>股票代码：</w:t>
      </w:r>
      <w:r>
        <w:rPr>
          <w:rFonts w:ascii="Times New Roman" w:hAnsi="Times New Roman" w:eastAsia="宋体" w:cs="Times New Roman"/>
          <w:sz w:val="24"/>
          <w:shd w:val="clear" w:color="auto" w:fill="FFFFFF"/>
        </w:rPr>
        <w:t xml:space="preserve">688668 </w:t>
      </w:r>
      <w:r>
        <w:rPr>
          <w:rFonts w:hint="eastAsia" w:ascii="Times New Roman" w:hAnsi="Times New Roman" w:eastAsia="宋体" w:cs="Times New Roman"/>
          <w:sz w:val="24"/>
          <w:shd w:val="clear" w:color="auto" w:fill="FFFFFF"/>
        </w:rPr>
        <w:t xml:space="preserve">       </w:t>
      </w:r>
      <w:r>
        <w:rPr>
          <w:rFonts w:ascii="Times New Roman" w:hAnsi="Times New Roman" w:eastAsia="宋体" w:cs="Times New Roman"/>
          <w:sz w:val="24"/>
          <w:shd w:val="clear" w:color="auto" w:fill="FFFFFF"/>
        </w:rPr>
        <w:t xml:space="preserve"> </w:t>
      </w:r>
      <w:r>
        <w:rPr>
          <w:rFonts w:hint="eastAsia" w:ascii="sans-serif" w:hAnsi="sans-serif" w:eastAsia="sans-serif" w:cs="sans-serif"/>
          <w:sz w:val="24"/>
          <w:shd w:val="clear" w:color="auto" w:fill="FFFFFF"/>
        </w:rPr>
        <w:t>编号：</w:t>
      </w:r>
      <w:r>
        <w:rPr>
          <w:rFonts w:hint="default" w:ascii="Times New Roman" w:hAnsi="Times New Roman" w:eastAsia="宋体" w:cs="Times New Roman"/>
          <w:sz w:val="24"/>
          <w:shd w:val="clear" w:color="auto" w:fill="FFFFFF"/>
          <w:lang w:val="en-US" w:eastAsia="zh-CN"/>
        </w:rPr>
        <w:t>2024-00</w:t>
      </w:r>
      <w:r>
        <w:rPr>
          <w:rFonts w:hint="eastAsia" w:ascii="Times New Roman" w:hAnsi="Times New Roman" w:eastAsia="宋体" w:cs="Times New Roman"/>
          <w:sz w:val="24"/>
          <w:shd w:val="clear" w:color="auto" w:fill="FFFFFF"/>
          <w:lang w:val="en-US" w:eastAsia="zh-CN"/>
        </w:rPr>
        <w:t>3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4"/>
        <w:gridCol w:w="6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5" w:hRule="atLeast"/>
        </w:trPr>
        <w:tc>
          <w:tcPr>
            <w:tcW w:w="2304" w:type="dxa"/>
            <w:vAlign w:val="center"/>
          </w:tcPr>
          <w:p>
            <w:pPr>
              <w:jc w:val="center"/>
              <w:rPr>
                <w:rFonts w:ascii="sans-serif" w:hAnsi="sans-serif" w:eastAsia="sans-serif" w:cs="sans-serif"/>
                <w:szCs w:val="21"/>
                <w:shd w:val="clear" w:color="auto" w:fill="FFFFFF"/>
              </w:rPr>
            </w:pPr>
            <w:r>
              <w:rPr>
                <w:rFonts w:ascii="sans-serif" w:hAnsi="sans-serif" w:eastAsia="sans-serif" w:cs="sans-serif"/>
                <w:szCs w:val="21"/>
                <w:shd w:val="clear" w:color="auto" w:fill="FFFFFF"/>
              </w:rPr>
              <w:t>投资者关系活动类别</w:t>
            </w:r>
          </w:p>
        </w:tc>
        <w:tc>
          <w:tcPr>
            <w:tcW w:w="6218" w:type="dxa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szCs w:val="21"/>
                <w:shd w:val="clear" w:color="auto" w:fill="FFFFFF"/>
              </w:rPr>
              <w:sym w:font="Wingdings 2" w:char="0052"/>
            </w:r>
            <w:r>
              <w:rPr>
                <w:rFonts w:hint="eastAsia" w:asciiTheme="minorEastAsia" w:hAnsiTheme="minorEastAsia" w:cstheme="minorEastAsia"/>
                <w:szCs w:val="21"/>
                <w:shd w:val="clear" w:color="auto" w:fill="FFFFFF"/>
              </w:rPr>
              <w:t xml:space="preserve">特定对象调研     </w:t>
            </w:r>
            <w:r>
              <w:rPr>
                <w:rFonts w:hint="eastAsia" w:asciiTheme="minorEastAsia" w:hAnsiTheme="minorEastAsia" w:cstheme="minorEastAsia"/>
                <w:szCs w:val="21"/>
                <w:shd w:val="clear" w:color="auto" w:fill="FFFFFF"/>
              </w:rPr>
              <w:sym w:font="Wingdings 2" w:char="00A3"/>
            </w:r>
            <w:r>
              <w:rPr>
                <w:rFonts w:hint="eastAsia" w:asciiTheme="minorEastAsia" w:hAnsiTheme="minorEastAsia" w:cstheme="minorEastAsia"/>
                <w:szCs w:val="21"/>
                <w:shd w:val="clear" w:color="auto" w:fill="FFFFFF"/>
              </w:rPr>
              <w:t xml:space="preserve">分析师会议    </w:t>
            </w:r>
            <w:r>
              <w:rPr>
                <w:rFonts w:hint="eastAsia" w:asciiTheme="minorEastAsia" w:hAnsiTheme="minorEastAsia" w:cstheme="minorEastAsia"/>
                <w:szCs w:val="21"/>
                <w:shd w:val="clear" w:color="auto" w:fill="FFFFFF"/>
              </w:rPr>
              <w:sym w:font="Wingdings 2" w:char="0052"/>
            </w:r>
            <w:r>
              <w:rPr>
                <w:rFonts w:hint="eastAsia" w:asciiTheme="minorEastAsia" w:hAnsiTheme="minorEastAsia" w:cstheme="minorEastAsia"/>
                <w:szCs w:val="21"/>
                <w:shd w:val="clear" w:color="auto" w:fill="FFFFFF"/>
                <w:lang w:eastAsia="zh-CN"/>
              </w:rPr>
              <w:t>电话会议</w:t>
            </w:r>
          </w:p>
          <w:p>
            <w:pPr>
              <w:jc w:val="left"/>
              <w:rPr>
                <w:rFonts w:asciiTheme="minorEastAsia" w:hAnsiTheme="minorEastAsia" w:cstheme="minorEastAsia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szCs w:val="21"/>
                <w:shd w:val="clear" w:color="auto" w:fill="FFFFFF"/>
              </w:rPr>
              <w:sym w:font="Wingdings 2" w:char="00A3"/>
            </w:r>
            <w:r>
              <w:rPr>
                <w:rFonts w:hint="eastAsia" w:asciiTheme="minorEastAsia" w:hAnsiTheme="minorEastAsia" w:cstheme="minorEastAsia"/>
                <w:szCs w:val="21"/>
                <w:shd w:val="clear" w:color="auto" w:fill="FFFFFF"/>
              </w:rPr>
              <w:t xml:space="preserve">媒体采访         </w:t>
            </w:r>
            <w:r>
              <w:rPr>
                <w:rFonts w:hint="eastAsia" w:asciiTheme="minorEastAsia" w:hAnsiTheme="minorEastAsia" w:cstheme="minorEastAsia"/>
                <w:szCs w:val="21"/>
                <w:shd w:val="clear" w:color="auto" w:fill="FFFFFF"/>
              </w:rPr>
              <w:sym w:font="Wingdings 2" w:char="00A3"/>
            </w:r>
            <w:r>
              <w:rPr>
                <w:rFonts w:hint="eastAsia" w:asciiTheme="minorEastAsia" w:hAnsiTheme="minorEastAsia" w:cstheme="minorEastAsia"/>
                <w:szCs w:val="21"/>
                <w:shd w:val="clear" w:color="auto" w:fill="FFFFFF"/>
              </w:rPr>
              <w:t xml:space="preserve">业绩说明会    </w:t>
            </w:r>
            <w:r>
              <w:rPr>
                <w:rFonts w:hint="eastAsia" w:asciiTheme="minorEastAsia" w:hAnsiTheme="minorEastAsia" w:cstheme="minorEastAsia"/>
                <w:szCs w:val="21"/>
                <w:shd w:val="clear" w:color="auto" w:fill="FFFFFF"/>
              </w:rPr>
              <w:sym w:font="Wingdings 2" w:char="00A3"/>
            </w:r>
            <w:r>
              <w:rPr>
                <w:rFonts w:hint="eastAsia" w:asciiTheme="minorEastAsia" w:hAnsiTheme="minorEastAsia" w:cstheme="minorEastAsia"/>
                <w:szCs w:val="21"/>
                <w:shd w:val="clear" w:color="auto" w:fill="FFFFFF"/>
              </w:rPr>
              <w:t xml:space="preserve">新闻发布会  </w:t>
            </w:r>
          </w:p>
          <w:p>
            <w:pPr>
              <w:rPr>
                <w:rFonts w:hint="eastAsia" w:ascii="sans-serif" w:hAnsi="sans-serif" w:eastAsia="宋体" w:cs="sans-serif"/>
                <w:sz w:val="24"/>
                <w:u w:val="single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szCs w:val="21"/>
                <w:shd w:val="clear" w:color="auto" w:fill="FFFFFF"/>
              </w:rPr>
              <w:sym w:font="Wingdings 2" w:char="00A3"/>
            </w:r>
            <w:r>
              <w:rPr>
                <w:rFonts w:hint="eastAsia" w:asciiTheme="minorEastAsia" w:hAnsiTheme="minorEastAsia" w:cstheme="minorEastAsia"/>
                <w:szCs w:val="21"/>
                <w:shd w:val="clear" w:color="auto" w:fill="FFFFFF"/>
              </w:rPr>
              <w:t xml:space="preserve">路演活动         </w:t>
            </w:r>
            <w:r>
              <w:rPr>
                <w:rFonts w:hint="eastAsia" w:asciiTheme="minorEastAsia" w:hAnsiTheme="minorEastAsia" w:cstheme="minorEastAsia"/>
                <w:szCs w:val="21"/>
                <w:shd w:val="clear" w:color="auto" w:fill="FFFFFF"/>
              </w:rPr>
              <w:sym w:font="Wingdings 2" w:char="00A3"/>
            </w:r>
            <w:r>
              <w:rPr>
                <w:rFonts w:hint="eastAsia" w:asciiTheme="minorEastAsia" w:hAnsiTheme="minorEastAsia" w:cstheme="minorEastAsia"/>
                <w:szCs w:val="21"/>
                <w:shd w:val="clear" w:color="auto" w:fill="FFFFFF"/>
              </w:rPr>
              <w:t xml:space="preserve">现场参观      </w:t>
            </w:r>
            <w:r>
              <w:rPr>
                <w:rFonts w:hint="eastAsia" w:asciiTheme="minorEastAsia" w:hAnsiTheme="minorEastAsia" w:cstheme="minorEastAsia"/>
                <w:szCs w:val="21"/>
                <w:shd w:val="clear" w:color="auto" w:fill="FFFFFF"/>
              </w:rPr>
              <w:sym w:font="Wingdings 2" w:char="00A3"/>
            </w:r>
            <w:r>
              <w:rPr>
                <w:rFonts w:hint="eastAsia" w:asciiTheme="minorEastAsia" w:hAnsiTheme="minorEastAsia" w:cstheme="minorEastAsia"/>
                <w:szCs w:val="21"/>
                <w:shd w:val="clear" w:color="auto" w:fill="FFFFFF"/>
              </w:rPr>
              <w:t>其他</w:t>
            </w:r>
            <w:r>
              <w:rPr>
                <w:rFonts w:hint="eastAsia" w:asciiTheme="minorEastAsia" w:hAnsiTheme="minorEastAsia" w:cstheme="minorEastAsia"/>
                <w:szCs w:val="21"/>
                <w:u w:val="single"/>
                <w:shd w:val="clear" w:color="auto" w:fill="FFFFFF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</w:trPr>
        <w:tc>
          <w:tcPr>
            <w:tcW w:w="2304" w:type="dxa"/>
            <w:vAlign w:val="center"/>
          </w:tcPr>
          <w:p>
            <w:pPr>
              <w:jc w:val="center"/>
              <w:rPr>
                <w:rFonts w:ascii="sans-serif" w:hAnsi="sans-serif" w:eastAsia="sans-serif" w:cs="sans-serif"/>
                <w:szCs w:val="21"/>
                <w:shd w:val="clear" w:color="auto" w:fill="FFFFFF"/>
              </w:rPr>
            </w:pPr>
            <w:r>
              <w:rPr>
                <w:rFonts w:ascii="sans-serif" w:hAnsi="sans-serif" w:eastAsia="sans-serif" w:cs="sans-serif"/>
                <w:szCs w:val="21"/>
                <w:shd w:val="clear" w:color="auto" w:fill="FFFFFF"/>
              </w:rPr>
              <w:t>参与单位名称及人员姓名</w:t>
            </w:r>
          </w:p>
        </w:tc>
        <w:tc>
          <w:tcPr>
            <w:tcW w:w="6218" w:type="dxa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FFFFFF"/>
                <w:lang w:val="en-US" w:eastAsia="zh-CN"/>
              </w:rPr>
              <w:t>2024年8月20日20:00-21:00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  <w:lang w:val="en-US" w:eastAsia="zh-CN"/>
              </w:rPr>
              <w:t>长城证券、兴业证券、平安基金、融通基金、华宝基金、国联基金、广发资管、睿亿投资、鹏扬基金、远桥资本、玖润投资、万和证券、太平资产、青郦投资、信达澳亚基金、鹏华基金、南方基金、泰聚基金、国投瑞银、通怡资产、龙航资产、新华基金、汇丰晋信、富达基金、易方达、万家基金、展博投资、大成基金、鼎萨投资、中银国际资管、天虫资产</w:t>
            </w:r>
          </w:p>
          <w:p>
            <w:pPr>
              <w:rPr>
                <w:rFonts w:hint="default" w:ascii="宋体" w:hAnsi="宋体" w:eastAsia="宋体" w:cs="宋体"/>
                <w:b/>
                <w:bCs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FFFFFF"/>
                <w:lang w:val="en-US" w:eastAsia="zh-CN"/>
              </w:rPr>
              <w:t>2024年8月23日 20:00-20:30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  <w:lang w:val="en-US" w:eastAsia="zh-CN"/>
              </w:rPr>
              <w:t>兴业证券、长盛基金、银河基金、建信基金、信达澳亚、华夏久盈、华泰柏瑞、富荣基金、中金资管、新华基金、富国基金、鹏华基金、华安基金、蜂巢基金、鸿盛基金、汇丰晋信、博道基金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FFFFFF"/>
                <w:lang w:val="en-US" w:eastAsia="zh-CN"/>
              </w:rPr>
              <w:t>2024年8月27日 14:00-15:30</w:t>
            </w:r>
          </w:p>
          <w:p>
            <w:pPr>
              <w:rPr>
                <w:rFonts w:hint="default" w:ascii="宋体" w:hAnsi="宋体" w:eastAsia="宋体" w:cs="宋体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shd w:val="clear" w:color="auto" w:fill="FFFFFF"/>
                <w:lang w:val="en-US" w:eastAsia="zh-CN"/>
              </w:rPr>
              <w:t>从业基金</w:t>
            </w: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  <w:lang w:val="en-US" w:eastAsia="zh-CN"/>
              </w:rPr>
              <w:t>、</w:t>
            </w:r>
            <w:r>
              <w:rPr>
                <w:rFonts w:hint="default" w:ascii="宋体" w:hAnsi="宋体" w:eastAsia="宋体" w:cs="宋体"/>
                <w:sz w:val="24"/>
                <w:szCs w:val="24"/>
                <w:shd w:val="clear" w:color="auto" w:fill="FFFFFF"/>
                <w:lang w:val="en-US" w:eastAsia="zh-CN"/>
              </w:rPr>
              <w:t>天风证券</w:t>
            </w: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  <w:lang w:val="en-US" w:eastAsia="zh-CN"/>
              </w:rPr>
              <w:t>、</w:t>
            </w:r>
            <w:r>
              <w:rPr>
                <w:rFonts w:hint="default" w:ascii="宋体" w:hAnsi="宋体" w:eastAsia="宋体" w:cs="宋体"/>
                <w:sz w:val="24"/>
                <w:szCs w:val="24"/>
                <w:shd w:val="clear" w:color="auto" w:fill="FFFFFF"/>
                <w:lang w:val="en-US" w:eastAsia="zh-CN"/>
              </w:rPr>
              <w:t>鼎萨投资</w:t>
            </w: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  <w:lang w:val="en-US" w:eastAsia="zh-CN"/>
              </w:rPr>
              <w:t>、</w:t>
            </w:r>
            <w:r>
              <w:rPr>
                <w:rFonts w:hint="default" w:ascii="宋体" w:hAnsi="宋体" w:eastAsia="宋体" w:cs="宋体"/>
                <w:sz w:val="24"/>
                <w:szCs w:val="24"/>
                <w:shd w:val="clear" w:color="auto" w:fill="FFFFFF"/>
                <w:lang w:val="en-US" w:eastAsia="zh-CN"/>
              </w:rPr>
              <w:t>博普投资</w:t>
            </w: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  <w:lang w:val="en-US" w:eastAsia="zh-CN"/>
              </w:rPr>
              <w:t>、</w:t>
            </w:r>
            <w:r>
              <w:rPr>
                <w:rFonts w:hint="default" w:ascii="宋体" w:hAnsi="宋体" w:eastAsia="宋体" w:cs="宋体"/>
                <w:sz w:val="24"/>
                <w:szCs w:val="24"/>
                <w:shd w:val="clear" w:color="auto" w:fill="FFFFFF"/>
                <w:lang w:val="en-US" w:eastAsia="zh-CN"/>
              </w:rPr>
              <w:t>瑞信致远</w:t>
            </w: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  <w:lang w:val="en-US" w:eastAsia="zh-CN"/>
              </w:rPr>
              <w:t>、</w:t>
            </w:r>
            <w:r>
              <w:rPr>
                <w:rFonts w:hint="default" w:ascii="宋体" w:hAnsi="宋体" w:eastAsia="宋体" w:cs="宋体"/>
                <w:sz w:val="24"/>
                <w:szCs w:val="24"/>
                <w:shd w:val="clear" w:color="auto" w:fill="FFFFFF"/>
                <w:lang w:val="en-US" w:eastAsia="zh-CN"/>
              </w:rPr>
              <w:t xml:space="preserve">恒越基金 </w:t>
            </w: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  <w:lang w:val="en-US" w:eastAsia="zh-CN"/>
              </w:rPr>
              <w:t>、</w:t>
            </w:r>
            <w:r>
              <w:rPr>
                <w:rFonts w:hint="default" w:ascii="宋体" w:hAnsi="宋体" w:eastAsia="宋体" w:cs="宋体"/>
                <w:sz w:val="24"/>
                <w:szCs w:val="24"/>
                <w:shd w:val="clear" w:color="auto" w:fill="FFFFFF"/>
                <w:lang w:val="en-US" w:eastAsia="zh-CN"/>
              </w:rPr>
              <w:t>蜂巢基金</w:t>
            </w:r>
          </w:p>
          <w:p>
            <w:pPr>
              <w:rPr>
                <w:rFonts w:hint="default" w:ascii="宋体" w:hAnsi="宋体" w:eastAsia="宋体" w:cs="宋体"/>
                <w:b/>
                <w:bCs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FFFFFF"/>
                <w:lang w:val="en-US" w:eastAsia="zh-CN"/>
              </w:rPr>
              <w:t>2024年8月28日 10:00-11:30</w:t>
            </w:r>
          </w:p>
          <w:p>
            <w:pPr>
              <w:rPr>
                <w:rFonts w:hint="default" w:ascii="宋体" w:hAnsi="宋体" w:eastAsia="宋体" w:cs="宋体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shd w:val="clear" w:color="auto" w:fill="FFFFFF"/>
                <w:lang w:val="en-US" w:eastAsia="zh-CN"/>
              </w:rPr>
              <w:t>财通资管</w:t>
            </w: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  <w:lang w:val="en-US" w:eastAsia="zh-CN"/>
              </w:rPr>
              <w:t>、</w:t>
            </w:r>
            <w:r>
              <w:rPr>
                <w:rFonts w:hint="default" w:ascii="宋体" w:hAnsi="宋体" w:eastAsia="宋体" w:cs="宋体"/>
                <w:sz w:val="24"/>
                <w:szCs w:val="24"/>
                <w:shd w:val="clear" w:color="auto" w:fill="FFFFFF"/>
                <w:lang w:val="en-US" w:eastAsia="zh-CN"/>
              </w:rPr>
              <w:t>泉果基金</w:t>
            </w: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  <w:lang w:val="en-US" w:eastAsia="zh-CN"/>
              </w:rPr>
              <w:t>、</w:t>
            </w:r>
            <w:r>
              <w:rPr>
                <w:rFonts w:hint="default" w:ascii="宋体" w:hAnsi="宋体" w:eastAsia="宋体" w:cs="宋体"/>
                <w:sz w:val="24"/>
                <w:szCs w:val="24"/>
                <w:shd w:val="clear" w:color="auto" w:fill="FFFFFF"/>
                <w:lang w:val="en-US" w:eastAsia="zh-CN"/>
              </w:rPr>
              <w:t xml:space="preserve">东方财富 </w:t>
            </w: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  <w:lang w:val="en-US" w:eastAsia="zh-CN"/>
              </w:rPr>
              <w:t>、</w:t>
            </w:r>
            <w:r>
              <w:rPr>
                <w:rFonts w:hint="default" w:ascii="宋体" w:hAnsi="宋体" w:eastAsia="宋体" w:cs="宋体"/>
                <w:sz w:val="24"/>
                <w:szCs w:val="24"/>
                <w:shd w:val="clear" w:color="auto" w:fill="FFFFFF"/>
                <w:lang w:val="en-US" w:eastAsia="zh-CN"/>
              </w:rPr>
              <w:t>国君资管</w:t>
            </w: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  <w:lang w:val="en-US" w:eastAsia="zh-CN"/>
              </w:rPr>
              <w:t>、</w:t>
            </w:r>
            <w:r>
              <w:rPr>
                <w:rFonts w:hint="default" w:ascii="宋体" w:hAnsi="宋体" w:eastAsia="宋体" w:cs="宋体"/>
                <w:sz w:val="24"/>
                <w:szCs w:val="24"/>
                <w:shd w:val="clear" w:color="auto" w:fill="FFFFFF"/>
                <w:lang w:val="en-US" w:eastAsia="zh-CN"/>
              </w:rPr>
              <w:t>国投瑞银</w:t>
            </w: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  <w:lang w:val="en-US" w:eastAsia="zh-CN"/>
              </w:rPr>
              <w:t>、</w:t>
            </w:r>
            <w:r>
              <w:rPr>
                <w:rFonts w:hint="default" w:ascii="宋体" w:hAnsi="宋体" w:eastAsia="宋体" w:cs="宋体"/>
                <w:sz w:val="24"/>
                <w:szCs w:val="24"/>
                <w:shd w:val="clear" w:color="auto" w:fill="FFFFFF"/>
                <w:lang w:val="en-US" w:eastAsia="zh-CN"/>
              </w:rPr>
              <w:t>创富兆业投资</w:t>
            </w: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  <w:lang w:val="en-US" w:eastAsia="zh-CN"/>
              </w:rPr>
              <w:t>、</w:t>
            </w:r>
            <w:r>
              <w:rPr>
                <w:rFonts w:hint="default" w:ascii="宋体" w:hAnsi="宋体" w:eastAsia="宋体" w:cs="宋体"/>
                <w:sz w:val="24"/>
                <w:szCs w:val="24"/>
                <w:shd w:val="clear" w:color="auto" w:fill="FFFFFF"/>
                <w:lang w:val="en-US" w:eastAsia="zh-CN"/>
              </w:rPr>
              <w:t>东北证券</w:t>
            </w: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  <w:lang w:val="en-US" w:eastAsia="zh-CN"/>
              </w:rPr>
              <w:t>、</w:t>
            </w:r>
            <w:r>
              <w:rPr>
                <w:rFonts w:hint="default" w:ascii="宋体" w:hAnsi="宋体" w:eastAsia="宋体" w:cs="宋体"/>
                <w:sz w:val="24"/>
                <w:szCs w:val="24"/>
                <w:shd w:val="clear" w:color="auto" w:fill="FFFFFF"/>
                <w:lang w:val="en-US" w:eastAsia="zh-CN"/>
              </w:rPr>
              <w:t>从业基金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304" w:type="dxa"/>
            <w:vAlign w:val="center"/>
          </w:tcPr>
          <w:p>
            <w:pPr>
              <w:jc w:val="center"/>
              <w:rPr>
                <w:rFonts w:ascii="sans-serif" w:hAnsi="sans-serif" w:eastAsia="sans-serif" w:cs="sans-serif"/>
                <w:szCs w:val="21"/>
                <w:shd w:val="clear" w:color="auto" w:fill="FFFFFF"/>
              </w:rPr>
            </w:pPr>
            <w:r>
              <w:rPr>
                <w:rFonts w:ascii="sans-serif" w:hAnsi="sans-serif" w:eastAsia="sans-serif" w:cs="sans-serif"/>
                <w:szCs w:val="21"/>
                <w:shd w:val="clear" w:color="auto" w:fill="FFFFFF"/>
              </w:rPr>
              <w:t>时间</w:t>
            </w:r>
          </w:p>
        </w:tc>
        <w:tc>
          <w:tcPr>
            <w:tcW w:w="6218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  <w:lang w:val="en-US" w:eastAsia="zh-CN"/>
              </w:rPr>
              <w:t>2024年8月20日20:00-21:00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  <w:lang w:val="en-US" w:eastAsia="zh-CN"/>
              </w:rPr>
              <w:t>2024年8月23日 20:00-20:30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  <w:lang w:val="en-US" w:eastAsia="zh-CN"/>
              </w:rPr>
              <w:t>2024年8月27日 14:00-15:30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  <w:lang w:val="en-US" w:eastAsia="zh-CN"/>
              </w:rPr>
              <w:t>2024年8月28日 10:00-11:30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304" w:type="dxa"/>
            <w:vAlign w:val="center"/>
          </w:tcPr>
          <w:p>
            <w:pPr>
              <w:jc w:val="center"/>
              <w:rPr>
                <w:rFonts w:hint="eastAsia" w:ascii="sans-serif" w:hAnsi="sans-serif" w:eastAsia="宋体" w:cs="sans-serif"/>
                <w:szCs w:val="21"/>
                <w:shd w:val="clear" w:color="auto" w:fill="FFFFFF"/>
              </w:rPr>
            </w:pPr>
            <w:r>
              <w:rPr>
                <w:rFonts w:hint="eastAsia" w:ascii="sans-serif" w:hAnsi="sans-serif" w:eastAsia="宋体" w:cs="sans-serif"/>
                <w:szCs w:val="21"/>
                <w:shd w:val="clear" w:color="auto" w:fill="FFFFFF"/>
              </w:rPr>
              <w:t>地点</w:t>
            </w:r>
          </w:p>
        </w:tc>
        <w:tc>
          <w:tcPr>
            <w:tcW w:w="6218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  <w:lang w:val="en-US" w:eastAsia="zh-CN"/>
              </w:rPr>
              <w:t>2024年8月20日电话会议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  <w:lang w:val="en-US" w:eastAsia="zh-CN"/>
              </w:rPr>
              <w:t>2024年8月23日电话会议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  <w:lang w:val="en-US" w:eastAsia="zh-CN"/>
              </w:rPr>
              <w:t>2024年8月27日现场调研公司会议室</w:t>
            </w:r>
          </w:p>
          <w:p>
            <w:pPr>
              <w:rPr>
                <w:rFonts w:hint="default" w:ascii="宋体" w:hAnsi="宋体" w:eastAsia="宋体" w:cs="宋体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  <w:lang w:val="en-US" w:eastAsia="zh-CN"/>
              </w:rPr>
              <w:t>2024年8月28日现场调研公司会议室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304" w:type="dxa"/>
            <w:vAlign w:val="center"/>
          </w:tcPr>
          <w:p>
            <w:pPr>
              <w:jc w:val="center"/>
              <w:rPr>
                <w:rFonts w:ascii="sans-serif" w:hAnsi="sans-serif" w:eastAsia="sans-serif" w:cs="sans-serif"/>
                <w:szCs w:val="21"/>
                <w:shd w:val="clear" w:color="auto" w:fill="FFFFFF"/>
              </w:rPr>
            </w:pPr>
            <w:r>
              <w:rPr>
                <w:rFonts w:ascii="sans-serif" w:hAnsi="sans-serif" w:eastAsia="sans-serif" w:cs="sans-serif"/>
                <w:szCs w:val="21"/>
                <w:shd w:val="clear" w:color="auto" w:fill="FFFFFF"/>
              </w:rPr>
              <w:t>公司接待人员姓名</w:t>
            </w:r>
          </w:p>
        </w:tc>
        <w:tc>
          <w:tcPr>
            <w:tcW w:w="6218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</w:rPr>
              <w:t>董事长、总经理：王成海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</w:rPr>
              <w:t>董事会秘书：王晓兰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</w:rPr>
              <w:t>财务总监：陈公平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2304" w:type="dxa"/>
            <w:vAlign w:val="center"/>
          </w:tcPr>
          <w:p>
            <w:pPr>
              <w:jc w:val="center"/>
              <w:rPr>
                <w:rFonts w:ascii="sans-serif" w:hAnsi="sans-serif" w:eastAsia="sans-serif" w:cs="sans-serif"/>
                <w:szCs w:val="21"/>
                <w:shd w:val="clear" w:color="auto" w:fill="FFFFFF"/>
              </w:rPr>
            </w:pPr>
            <w:r>
              <w:rPr>
                <w:rFonts w:ascii="sans-serif" w:hAnsi="sans-serif" w:eastAsia="sans-serif" w:cs="sans-serif"/>
                <w:szCs w:val="21"/>
                <w:shd w:val="clear" w:color="auto" w:fill="FFFFFF"/>
              </w:rPr>
              <w:t>投资者关系活动主要内容介绍</w:t>
            </w:r>
          </w:p>
        </w:tc>
        <w:tc>
          <w:tcPr>
            <w:tcW w:w="6218" w:type="dxa"/>
            <w:vAlign w:val="center"/>
          </w:tcPr>
          <w:p>
            <w:pPr>
              <w:numPr>
                <w:ilvl w:val="0"/>
                <w:numId w:val="1"/>
              </w:numPr>
              <w:autoSpaceDE w:val="0"/>
              <w:rPr>
                <w:rFonts w:hint="eastAsia" w:ascii="Times New Roman" w:hAnsi="Times New Roman" w:cs="Times New Roman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lang w:val="en-US" w:eastAsia="zh-CN"/>
              </w:rPr>
              <w:t>介绍公司2024年上半年经营情况</w:t>
            </w:r>
          </w:p>
          <w:p>
            <w:pPr>
              <w:numPr>
                <w:ilvl w:val="0"/>
                <w:numId w:val="0"/>
              </w:numPr>
              <w:autoSpaceDE w:val="0"/>
              <w:ind w:firstLine="420" w:firstLineChars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2024年上半年，公司实现营业收入为45,216.78万元，较去年同期上涨36.12%；归属于上市公司股东的</w:t>
            </w:r>
            <w:r>
              <w:rPr>
                <w:rFonts w:hint="eastAsia" w:ascii="Times New Roman" w:hAnsi="Times New Roman" w:cs="Times New Roman"/>
              </w:rPr>
              <w:t>净</w:t>
            </w:r>
            <w:r>
              <w:rPr>
                <w:rFonts w:ascii="Times New Roman" w:hAnsi="Times New Roman" w:cs="Times New Roman"/>
              </w:rPr>
              <w:t>利润4,930.28万元，较去年同期上涨9.50%；实现归属于上市公司股东的扣除非经常性损益的净利润4,525.89万元，较去年同期上涨14.24%。</w:t>
            </w:r>
          </w:p>
          <w:p>
            <w:pPr>
              <w:ind w:firstLine="420" w:firstLineChars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2024上半年，AI的高速发展，加大了对通讯连接器的使用，直接客户对公司的高速通讯连接器及其组件需求旺盛，订单量增加，产品仍以I/O连接器Cage为主，QSPF 56G等老品需求不断增长，新品QSFP-DD/OSFP 112G系列开始量产；精密结构件产品仍保持稳定的增长。</w:t>
            </w:r>
          </w:p>
          <w:p>
            <w:pPr>
              <w:numPr>
                <w:ilvl w:val="0"/>
                <w:numId w:val="0"/>
              </w:numPr>
              <w:ind w:firstLine="420" w:firstLineChars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年上半年，公司仍以电控系列连接器、高压连接器等产品为主，往期开发的电控系列连接器产品保持量产状态；对于部分铜排类产品，由于大宗原材料的涨幅较大对成本影响较大，公司进行了业务调整；正在开发的BMS Gen6电池项目逐渐进入小批量试产阶段；公司仍保持现有的营销团队，加大对新客户的开发，以深圳、长春、重庆等城市辐射各大车厂，提供就近服务。</w:t>
            </w:r>
          </w:p>
          <w:p>
            <w:pPr>
              <w:numPr>
                <w:ilvl w:val="0"/>
                <w:numId w:val="0"/>
              </w:numPr>
              <w:ind w:firstLine="420" w:firstLineChars="200"/>
              <w:rPr>
                <w:rFonts w:ascii="Times New Roman" w:hAnsi="Times New Roman" w:cs="Times New Roma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 w:eastAsiaTheme="minor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二、问答环节</w:t>
            </w:r>
          </w:p>
          <w:p>
            <w:pPr>
              <w:numPr>
                <w:ilvl w:val="0"/>
                <w:numId w:val="2"/>
              </w:numPr>
              <w:ind w:left="425" w:leftChars="0" w:hanging="425" w:firstLineChars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请问贵公司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2024年二季度业务增长112G和56G贡献分别有多少？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答：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从今年二季度开始112G开始进入了批量生产阶段，增速较快，但公司今年二季度56G的订单量还是大于112G,所以业绩贡献上还是56G较大。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2"/>
              </w:numPr>
              <w:ind w:left="425" w:leftChars="0" w:hanging="425" w:firstLineChars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请问2024年半年报披露的数据中，通讯业务占比有多少？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答：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随着AI的高速发展，通讯连接器的需求增大，公司今年上半年通讯业务需求有所回暖，通讯模块收入占比约有70%。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2"/>
              </w:numPr>
              <w:ind w:left="425" w:leftChars="0" w:hanging="425" w:firstLineChars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请问公司目前的主要生产基地有哪些，主要生产的产品包括哪些？</w:t>
            </w:r>
          </w:p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答：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公司目前投产的生产基地分别为东莞鼎通、河南信阳的鼎润以及马来西亚子公司。东莞鼎通主要生产通讯连接器和汽车连接器，河南信阳主要以汽车为主，同时洛阳中航光电的产品也是河南信阳那边在供货，马来西亚目前正在不断开发新项目。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2"/>
              </w:numPr>
              <w:ind w:left="425" w:leftChars="0" w:hanging="425" w:firstLineChars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请问公司预计2024年下半年业绩情况如何？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答：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根据目前市场情况和客户的需求，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公司今年下半年业务情况也是比较乐观的，全年公司仍然以2024年股权激励中同比50%的增速为目标。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2"/>
              </w:numPr>
              <w:ind w:left="425" w:leftChars="0" w:hanging="425" w:firstLineChars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请问贵公司目前的订单情况及对今年下半年和2025年的展望是怎样的？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答：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目前来看，客户需求仍有增加，公司订单饱和，产能提升，生产经营较为紧张，没有受到GB200产品延期的影响，对于下半年公司通讯业务仍有增长空间。基于目前通讯的高速发展，同时公司仍在不断加大与现有客户合作，拓展新项目，对于2025年公司仍然比较看好后续行情，另外在新能源汽车模块也会随着业务的调整，盈利情况会有所提升。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2"/>
              </w:numPr>
              <w:ind w:left="425" w:leftChars="0" w:hanging="425" w:firstLineChars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请问湖南长沙的建设目前进度如何，后续资金充足吗？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答：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湖南长沙子公司一期正在建设中，2022年定增的汽车连接器项目由河南信阳变更为湖南长沙，目前资金上没有问题，在长沙建设主要为了配套现有的汽车客户。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yellow"/>
                <w:lang w:val="en-US" w:eastAsia="zh-CN"/>
              </w:rPr>
            </w:pPr>
          </w:p>
          <w:p>
            <w:pPr>
              <w:numPr>
                <w:ilvl w:val="0"/>
                <w:numId w:val="2"/>
              </w:numPr>
              <w:ind w:left="425" w:leftChars="0" w:hanging="425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请问贵公司目前产能情况怎么样？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答：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公司近几年在产能上做了一些扩充，随着需求的增加，产能利用率会逐渐提升，目前东莞鼎通产能利用率基本较为饱和，河南鼎润目前IPO产能在逐渐释放，马来西亚工厂目前开展新项目。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2"/>
              </w:numPr>
              <w:ind w:left="425" w:leftChars="0" w:hanging="425" w:firstLineChars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请问贵公司三季度订单是不是还是在增长的状态，112G和56G的增长情况分别是怎样的？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答：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公司QSFP-DD 112G cage产品自二季度开始上量，订单增长速度较快，56G cage产品订单逐渐趋于稳定。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2"/>
              </w:numPr>
              <w:ind w:left="425" w:leftChars="0" w:hanging="425" w:firstLineChars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请问下半年公司毛利率会不会有所提高？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答：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下半年伴随着通讯的增长和子公司河南鼎润业务量的提高，整体稼动率也会提高，毛利率会有所改善。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2"/>
              </w:numPr>
              <w:ind w:left="425" w:leftChars="0" w:hanging="425" w:firstLineChars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请问112G产品在生产中相较于之前的产品难度是否提高？</w:t>
            </w:r>
          </w:p>
          <w:p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答：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QSFP-DD 112G产品无论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在生产工艺还是组装环节相较于之前的产品难度都有所提升，在产品工艺上精度的要求更高了，内部结构上也更复杂；112G产品多以二层系列为主，加之原材料主要为不锈钢，所以对组装的环节和柔性要求都会更高；不论生产中的冲压还是组装环节对于零件的损耗都比较大。</w:t>
            </w:r>
          </w:p>
          <w:p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2"/>
              </w:numPr>
              <w:ind w:left="425" w:leftChars="0" w:hanging="425" w:firstLineChars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之前看二季度感觉4、5月份业绩情况没那么好，但从半年报的数据来看整体还是超预期的，请问这个主要是6月份单月做的比较好吗？</w:t>
            </w:r>
          </w:p>
          <w:p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答：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二季度分月份来看的话，环比上每个月份都是有增长，QSFP-DD 112G产品自二季度开始上量，增速较快。</w:t>
            </w:r>
          </w:p>
          <w:p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2"/>
              </w:numPr>
              <w:ind w:left="425" w:leftChars="0" w:hanging="425" w:firstLineChars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请问2024年上半年Cage产品占了公司多少份额？</w:t>
            </w:r>
          </w:p>
          <w:p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答：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公司今年上半年Cage产品占了通讯业务的约70%的份额。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2"/>
              </w:numPr>
              <w:ind w:left="425" w:leftChars="0" w:hanging="425" w:firstLineChars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从今年半年报数据看，汽车业务的盈利情况不是很好，请问主要原因是？</w:t>
            </w:r>
          </w:p>
          <w:p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答：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公司汽车盈利情况主要受铜价上涨的影响，另外汽车本身由于竞价的模式，利润就不是很高，但后半年的情况会好一些，因为目前正在调整业务布局，利润低的产品正在逐渐剔除。</w:t>
            </w:r>
          </w:p>
          <w:p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2"/>
              </w:numPr>
              <w:ind w:left="425" w:leftChars="0" w:hanging="425" w:firstLineChars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请问公司后续在研发上会侧重于通讯还是开发一些新的产品？</w:t>
            </w:r>
          </w:p>
          <w:p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答：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公司后续研发依旧是会跟着现有大客户走，通讯和汽车上都会同步进行，此外，公司后续也会开发一些新的产品品类。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2304" w:type="dxa"/>
            <w:vAlign w:val="center"/>
          </w:tcPr>
          <w:p>
            <w:pPr>
              <w:jc w:val="center"/>
              <w:rPr>
                <w:rFonts w:ascii="sans-serif" w:hAnsi="sans-serif" w:eastAsia="sans-serif" w:cs="sans-serif"/>
                <w:szCs w:val="21"/>
                <w:shd w:val="clear" w:color="auto" w:fill="FFFFFF"/>
              </w:rPr>
            </w:pPr>
            <w:r>
              <w:rPr>
                <w:rFonts w:ascii="sans-serif" w:hAnsi="sans-serif" w:eastAsia="sans-serif" w:cs="sans-serif"/>
                <w:szCs w:val="21"/>
                <w:shd w:val="clear" w:color="auto" w:fill="FFFFFF"/>
              </w:rPr>
              <w:t>附件清单（如有）</w:t>
            </w:r>
          </w:p>
        </w:tc>
        <w:tc>
          <w:tcPr>
            <w:tcW w:w="6218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24"/>
                <w:shd w:val="clear" w:color="auto" w:fill="FFFFFF"/>
              </w:rPr>
            </w:pPr>
          </w:p>
        </w:tc>
      </w:tr>
    </w:tbl>
    <w:p>
      <w:pPr>
        <w:jc w:val="left"/>
        <w:rPr>
          <w:rFonts w:ascii="sans-serif" w:hAnsi="sans-serif" w:eastAsia="sans-serif" w:cs="sans-serif"/>
          <w:sz w:val="24"/>
          <w:shd w:val="clear" w:color="auto" w:fill="FFFFFF"/>
        </w:rPr>
      </w:pPr>
    </w:p>
    <w:p>
      <w:pPr>
        <w:jc w:val="left"/>
        <w:rPr>
          <w:rFonts w:ascii="sans-serif" w:hAnsi="sans-serif" w:eastAsia="sans-serif" w:cs="sans-serif"/>
          <w:sz w:val="24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D50BACD"/>
    <w:multiLevelType w:val="singleLevel"/>
    <w:tmpl w:val="8D50BACD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0ED6BA21"/>
    <w:multiLevelType w:val="singleLevel"/>
    <w:tmpl w:val="0ED6BA2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3ODRjMDk5YTg4ZTk1ZWNlODVlODNkYTgwOWRkOTQifQ=="/>
  </w:docVars>
  <w:rsids>
    <w:rsidRoot w:val="0091283B"/>
    <w:rsid w:val="00062B32"/>
    <w:rsid w:val="0091283B"/>
    <w:rsid w:val="058D1612"/>
    <w:rsid w:val="0B204802"/>
    <w:rsid w:val="0EC86D78"/>
    <w:rsid w:val="123478B9"/>
    <w:rsid w:val="12F0389D"/>
    <w:rsid w:val="1C1A2FDF"/>
    <w:rsid w:val="1C3844FE"/>
    <w:rsid w:val="209507F0"/>
    <w:rsid w:val="21BD2B8F"/>
    <w:rsid w:val="254610F8"/>
    <w:rsid w:val="31CC1E9B"/>
    <w:rsid w:val="364E0396"/>
    <w:rsid w:val="3D7A2E99"/>
    <w:rsid w:val="42BC4BDD"/>
    <w:rsid w:val="42EE1632"/>
    <w:rsid w:val="49BA061D"/>
    <w:rsid w:val="5F903ADA"/>
    <w:rsid w:val="688D02FE"/>
    <w:rsid w:val="704F6D52"/>
    <w:rsid w:val="77817A9A"/>
    <w:rsid w:val="7B7B027E"/>
    <w:rsid w:val="7DF45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4</Pages>
  <Words>2265</Words>
  <Characters>2588</Characters>
  <Lines>2</Lines>
  <Paragraphs>1</Paragraphs>
  <TotalTime>9</TotalTime>
  <ScaleCrop>false</ScaleCrop>
  <LinksUpToDate>false</LinksUpToDate>
  <CharactersWithSpaces>2671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2021-01-20T09:15:00Z</dcterms:created>
  <dc:creator>wxl</dc:creator>
  <cp:lastModifiedBy>禾宁</cp:lastModifiedBy>
  <cp:lastPrinted>2021-01-21T07:19:00Z</cp:lastPrinted>
  <dcterms:modified xsi:type="dcterms:W3CDTF">2024-09-05T02:15:51Z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069C084958AB4CAFAD211BEEF5A09285_13</vt:lpwstr>
  </property>
</Properties>
</file>