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229" w:type="dxa"/>
        <w:tblInd w:w="-318" w:type="dxa"/>
        <w:tblLayout w:type="fixed"/>
        <w:tblCellMar>
          <w:top w:w="0" w:type="dxa"/>
          <w:left w:w="108" w:type="dxa"/>
          <w:bottom w:w="0" w:type="dxa"/>
          <w:right w:w="108" w:type="dxa"/>
        </w:tblCellMar>
      </w:tblPr>
      <w:tblGrid>
        <w:gridCol w:w="2000"/>
        <w:gridCol w:w="600"/>
        <w:gridCol w:w="6629"/>
      </w:tblGrid>
      <w:tr w14:paraId="14ABD7D2">
        <w:tblPrEx>
          <w:tblCellMar>
            <w:top w:w="0" w:type="dxa"/>
            <w:left w:w="108" w:type="dxa"/>
            <w:bottom w:w="0" w:type="dxa"/>
            <w:right w:w="108" w:type="dxa"/>
          </w:tblCellMar>
        </w:tblPrEx>
        <w:trPr>
          <w:trHeight w:val="270" w:hRule="atLeast"/>
        </w:trPr>
        <w:tc>
          <w:tcPr>
            <w:tcW w:w="2600" w:type="dxa"/>
            <w:gridSpan w:val="2"/>
            <w:tcBorders>
              <w:top w:val="nil"/>
              <w:left w:val="nil"/>
              <w:bottom w:val="nil"/>
              <w:right w:val="nil"/>
            </w:tcBorders>
            <w:shd w:val="clear" w:color="auto" w:fill="auto"/>
            <w:vAlign w:val="center"/>
          </w:tcPr>
          <w:p w14:paraId="40FE5DFF">
            <w:pPr>
              <w:widowControl/>
              <w:jc w:val="left"/>
              <w:rPr>
                <w:rFonts w:ascii="宋体" w:hAnsi="宋体" w:eastAsia="宋体" w:cs="宋体"/>
                <w:color w:val="000000"/>
                <w:kern w:val="0"/>
                <w:sz w:val="24"/>
              </w:rPr>
            </w:pPr>
            <w:r>
              <w:rPr>
                <w:rFonts w:hint="eastAsia" w:ascii="宋体" w:hAnsi="宋体" w:eastAsia="宋体" w:cs="宋体"/>
                <w:color w:val="000000"/>
                <w:kern w:val="0"/>
                <w:sz w:val="24"/>
              </w:rPr>
              <w:t>证券代码</w:t>
            </w:r>
            <w:r>
              <w:rPr>
                <w:rFonts w:ascii="Times New Roman" w:hAnsi="宋体" w:eastAsia="宋体" w:cs="Times New Roman"/>
                <w:sz w:val="24"/>
                <w:szCs w:val="24"/>
              </w:rPr>
              <w:t>600480</w:t>
            </w:r>
          </w:p>
        </w:tc>
        <w:tc>
          <w:tcPr>
            <w:tcW w:w="6629" w:type="dxa"/>
            <w:tcBorders>
              <w:top w:val="nil"/>
              <w:left w:val="nil"/>
              <w:bottom w:val="nil"/>
              <w:right w:val="nil"/>
            </w:tcBorders>
            <w:shd w:val="clear" w:color="auto" w:fill="auto"/>
            <w:vAlign w:val="center"/>
          </w:tcPr>
          <w:p w14:paraId="3CAE578B">
            <w:pPr>
              <w:widowControl/>
              <w:ind w:right="-107"/>
              <w:jc w:val="right"/>
              <w:rPr>
                <w:rFonts w:ascii="宋体" w:hAnsi="宋体" w:eastAsia="宋体" w:cs="宋体"/>
                <w:color w:val="000000"/>
                <w:kern w:val="0"/>
                <w:sz w:val="24"/>
              </w:rPr>
            </w:pPr>
            <w:r>
              <w:rPr>
                <w:rFonts w:hint="eastAsia" w:ascii="宋体" w:hAnsi="宋体" w:eastAsia="宋体" w:cs="宋体"/>
                <w:color w:val="000000"/>
                <w:kern w:val="0"/>
                <w:sz w:val="24"/>
              </w:rPr>
              <w:t xml:space="preserve">  证券简称：凌云</w:t>
            </w:r>
            <w:r>
              <w:rPr>
                <w:rFonts w:hint="eastAsia" w:ascii="Times New Roman" w:hAnsi="宋体" w:eastAsia="宋体" w:cs="Times New Roman"/>
                <w:sz w:val="24"/>
                <w:szCs w:val="24"/>
              </w:rPr>
              <w:t>股份</w:t>
            </w:r>
          </w:p>
        </w:tc>
      </w:tr>
      <w:tr w14:paraId="69053F1E">
        <w:tblPrEx>
          <w:tblCellMar>
            <w:top w:w="0" w:type="dxa"/>
            <w:left w:w="108" w:type="dxa"/>
            <w:bottom w:w="0" w:type="dxa"/>
            <w:right w:w="108" w:type="dxa"/>
          </w:tblCellMar>
        </w:tblPrEx>
        <w:trPr>
          <w:trHeight w:val="1237" w:hRule="atLeast"/>
        </w:trPr>
        <w:tc>
          <w:tcPr>
            <w:tcW w:w="9229" w:type="dxa"/>
            <w:gridSpan w:val="3"/>
            <w:tcBorders>
              <w:top w:val="nil"/>
              <w:left w:val="nil"/>
              <w:bottom w:val="nil"/>
              <w:right w:val="nil"/>
            </w:tcBorders>
            <w:shd w:val="clear" w:color="auto" w:fill="auto"/>
            <w:vAlign w:val="center"/>
          </w:tcPr>
          <w:p w14:paraId="22403CC7">
            <w:pPr>
              <w:widowControl/>
              <w:spacing w:before="312" w:beforeLines="100" w:line="420" w:lineRule="exact"/>
              <w:jc w:val="center"/>
              <w:rPr>
                <w:rFonts w:ascii="宋体" w:hAnsi="宋体" w:eastAsia="宋体" w:cs="宋体"/>
                <w:b/>
                <w:color w:val="000000"/>
                <w:kern w:val="0"/>
                <w:sz w:val="28"/>
              </w:rPr>
            </w:pPr>
            <w:r>
              <w:rPr>
                <w:rFonts w:hint="eastAsia" w:ascii="宋体" w:hAnsi="宋体" w:eastAsia="宋体" w:cs="宋体"/>
                <w:b/>
                <w:color w:val="000000"/>
                <w:kern w:val="0"/>
                <w:sz w:val="28"/>
              </w:rPr>
              <w:t>凌云工业股份有限公司投资者关系活动记录表</w:t>
            </w:r>
          </w:p>
        </w:tc>
      </w:tr>
      <w:tr w14:paraId="639C60FC">
        <w:tblPrEx>
          <w:tblCellMar>
            <w:top w:w="0" w:type="dxa"/>
            <w:left w:w="108" w:type="dxa"/>
            <w:bottom w:w="0" w:type="dxa"/>
            <w:right w:w="108" w:type="dxa"/>
          </w:tblCellMar>
        </w:tblPrEx>
        <w:trPr>
          <w:trHeight w:val="1339"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2F10A7D9">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投资者关系</w:t>
            </w:r>
          </w:p>
          <w:p w14:paraId="3F385165">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活动类别</w:t>
            </w:r>
          </w:p>
        </w:tc>
        <w:tc>
          <w:tcPr>
            <w:tcW w:w="7229" w:type="dxa"/>
            <w:gridSpan w:val="2"/>
            <w:tcBorders>
              <w:top w:val="single" w:color="auto" w:sz="4" w:space="0"/>
              <w:left w:val="nil"/>
              <w:bottom w:val="single" w:color="auto" w:sz="4" w:space="0"/>
              <w:right w:val="single" w:color="auto" w:sz="4" w:space="0"/>
            </w:tcBorders>
            <w:shd w:val="clear" w:color="auto" w:fill="auto"/>
            <w:vAlign w:val="center"/>
          </w:tcPr>
          <w:p w14:paraId="5D1E80A6">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□特定对象调研     </w:t>
            </w:r>
            <w:r>
              <w:rPr>
                <w:rFonts w:hint="eastAsia" w:ascii="宋体" w:hAnsi="宋体" w:eastAsia="宋体" w:cs="宋体"/>
                <w:color w:val="000000"/>
                <w:kern w:val="0"/>
                <w:sz w:val="24"/>
              </w:rPr>
              <w:sym w:font="Wingdings 2" w:char="00A3"/>
            </w:r>
            <w:r>
              <w:rPr>
                <w:rFonts w:hint="eastAsia" w:ascii="宋体" w:hAnsi="宋体" w:eastAsia="宋体" w:cs="宋体"/>
                <w:color w:val="000000"/>
                <w:kern w:val="0"/>
                <w:sz w:val="24"/>
              </w:rPr>
              <w:t>分析师会议</w:t>
            </w:r>
          </w:p>
          <w:p w14:paraId="65710689">
            <w:pPr>
              <w:widowControl/>
              <w:jc w:val="left"/>
              <w:rPr>
                <w:rFonts w:ascii="宋体" w:hAnsi="宋体" w:eastAsia="宋体" w:cs="宋体"/>
                <w:color w:val="000000"/>
                <w:kern w:val="0"/>
                <w:sz w:val="24"/>
              </w:rPr>
            </w:pPr>
            <w:r>
              <w:rPr>
                <w:rFonts w:hint="eastAsia" w:ascii="宋体" w:hAnsi="宋体" w:eastAsia="宋体" w:cs="宋体"/>
                <w:color w:val="000000"/>
                <w:kern w:val="0"/>
                <w:sz w:val="24"/>
              </w:rPr>
              <w:t>□媒体采访         ☑业绩说明会</w:t>
            </w:r>
          </w:p>
          <w:p w14:paraId="437A5C26">
            <w:pPr>
              <w:widowControl/>
              <w:jc w:val="left"/>
              <w:rPr>
                <w:rFonts w:ascii="宋体" w:hAnsi="宋体" w:eastAsia="宋体" w:cs="宋体"/>
                <w:color w:val="000000"/>
                <w:kern w:val="0"/>
                <w:sz w:val="24"/>
              </w:rPr>
            </w:pPr>
            <w:r>
              <w:rPr>
                <w:rFonts w:hint="eastAsia" w:ascii="宋体" w:hAnsi="宋体" w:eastAsia="宋体" w:cs="宋体"/>
                <w:color w:val="000000"/>
                <w:kern w:val="0"/>
                <w:sz w:val="24"/>
              </w:rPr>
              <w:t>□新闻发布会       □路演活动</w:t>
            </w:r>
          </w:p>
          <w:p w14:paraId="1BA806BF">
            <w:pPr>
              <w:widowControl/>
              <w:jc w:val="left"/>
              <w:rPr>
                <w:rFonts w:ascii="宋体" w:hAnsi="宋体" w:eastAsia="宋体" w:cs="宋体"/>
                <w:color w:val="000000"/>
                <w:kern w:val="0"/>
                <w:sz w:val="24"/>
              </w:rPr>
            </w:pPr>
            <w:r>
              <w:rPr>
                <w:rFonts w:hint="eastAsia" w:ascii="宋体" w:hAnsi="宋体" w:eastAsia="宋体" w:cs="宋体"/>
                <w:color w:val="000000"/>
                <w:kern w:val="0"/>
                <w:sz w:val="24"/>
              </w:rPr>
              <w:t xml:space="preserve">□现场调研        </w:t>
            </w:r>
            <w:r>
              <w:rPr>
                <w:rFonts w:ascii="宋体" w:hAnsi="宋体" w:eastAsia="宋体" w:cs="宋体"/>
                <w:color w:val="000000"/>
                <w:kern w:val="0"/>
                <w:sz w:val="24"/>
              </w:rPr>
              <w:t xml:space="preserve"> </w:t>
            </w:r>
            <w:r>
              <w:rPr>
                <w:rFonts w:hint="eastAsia" w:ascii="宋体" w:hAnsi="宋体" w:eastAsia="宋体" w:cs="宋体"/>
                <w:color w:val="000000"/>
                <w:kern w:val="0"/>
                <w:sz w:val="24"/>
              </w:rPr>
              <w:t>□其他</w:t>
            </w:r>
          </w:p>
        </w:tc>
      </w:tr>
      <w:tr w14:paraId="25740B90">
        <w:tblPrEx>
          <w:tblCellMar>
            <w:top w:w="0" w:type="dxa"/>
            <w:left w:w="108" w:type="dxa"/>
            <w:bottom w:w="0" w:type="dxa"/>
            <w:right w:w="108" w:type="dxa"/>
          </w:tblCellMar>
        </w:tblPrEx>
        <w:trPr>
          <w:trHeight w:val="1145" w:hRule="atLeast"/>
        </w:trPr>
        <w:tc>
          <w:tcPr>
            <w:tcW w:w="2000" w:type="dxa"/>
            <w:tcBorders>
              <w:top w:val="nil"/>
              <w:left w:val="single" w:color="auto" w:sz="4" w:space="0"/>
              <w:bottom w:val="single" w:color="auto" w:sz="4" w:space="0"/>
              <w:right w:val="single" w:color="auto" w:sz="4" w:space="0"/>
            </w:tcBorders>
            <w:shd w:val="clear" w:color="auto" w:fill="auto"/>
            <w:vAlign w:val="center"/>
          </w:tcPr>
          <w:p w14:paraId="0029B485">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参与单位</w:t>
            </w:r>
          </w:p>
          <w:p w14:paraId="03819040">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名称及人员姓名</w:t>
            </w:r>
          </w:p>
        </w:tc>
        <w:tc>
          <w:tcPr>
            <w:tcW w:w="7229" w:type="dxa"/>
            <w:gridSpan w:val="2"/>
            <w:tcBorders>
              <w:top w:val="nil"/>
              <w:left w:val="nil"/>
              <w:bottom w:val="single" w:color="auto" w:sz="4" w:space="0"/>
              <w:right w:val="single" w:color="auto" w:sz="4" w:space="0"/>
            </w:tcBorders>
            <w:shd w:val="clear" w:color="auto" w:fill="auto"/>
            <w:vAlign w:val="center"/>
          </w:tcPr>
          <w:p w14:paraId="129979D1">
            <w:pPr>
              <w:widowControl/>
              <w:jc w:val="center"/>
              <w:rPr>
                <w:rFonts w:ascii="宋体" w:hAnsi="宋体" w:eastAsia="宋体" w:cs="宋体"/>
                <w:color w:val="000000"/>
                <w:kern w:val="0"/>
                <w:sz w:val="24"/>
              </w:rPr>
            </w:pPr>
            <w:r>
              <w:rPr>
                <w:rFonts w:hint="eastAsia" w:ascii="宋体" w:hAnsi="宋体" w:eastAsia="宋体" w:cs="宋体"/>
                <w:sz w:val="24"/>
                <w:szCs w:val="24"/>
              </w:rPr>
              <w:t>参加“2024年半年度</w:t>
            </w:r>
            <w:r>
              <w:rPr>
                <w:rFonts w:ascii="宋体" w:hAnsi="宋体" w:eastAsia="宋体" w:cs="宋体"/>
                <w:sz w:val="24"/>
                <w:szCs w:val="24"/>
              </w:rPr>
              <w:t>业绩说明会</w:t>
            </w:r>
            <w:r>
              <w:rPr>
                <w:rFonts w:hint="eastAsia" w:ascii="宋体" w:hAnsi="宋体" w:eastAsia="宋体" w:cs="宋体"/>
                <w:sz w:val="24"/>
                <w:szCs w:val="24"/>
              </w:rPr>
              <w:t>”的</w:t>
            </w:r>
            <w:r>
              <w:rPr>
                <w:rFonts w:ascii="宋体" w:hAnsi="宋体" w:eastAsia="宋体" w:cs="宋体"/>
                <w:sz w:val="24"/>
                <w:szCs w:val="24"/>
              </w:rPr>
              <w:t>投资者</w:t>
            </w:r>
          </w:p>
        </w:tc>
      </w:tr>
      <w:tr w14:paraId="709C7D7C">
        <w:tblPrEx>
          <w:tblCellMar>
            <w:top w:w="0" w:type="dxa"/>
            <w:left w:w="108" w:type="dxa"/>
            <w:bottom w:w="0" w:type="dxa"/>
            <w:right w:w="108" w:type="dxa"/>
          </w:tblCellMar>
        </w:tblPrEx>
        <w:trPr>
          <w:trHeight w:val="662"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4E127B3B">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时间</w:t>
            </w:r>
          </w:p>
        </w:tc>
        <w:tc>
          <w:tcPr>
            <w:tcW w:w="722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E2E509">
            <w:pPr>
              <w:widowControl/>
              <w:jc w:val="center"/>
              <w:rPr>
                <w:rFonts w:ascii="宋体" w:hAnsi="宋体" w:eastAsia="宋体" w:cs="宋体"/>
                <w:color w:val="000000"/>
                <w:kern w:val="0"/>
                <w:sz w:val="24"/>
              </w:rPr>
            </w:pPr>
            <w:r>
              <w:rPr>
                <w:rFonts w:ascii="宋体" w:hAnsi="宋体" w:eastAsia="宋体" w:cs="宋体"/>
                <w:color w:val="000000"/>
                <w:kern w:val="0"/>
                <w:sz w:val="24"/>
              </w:rPr>
              <w:t>202</w:t>
            </w:r>
            <w:r>
              <w:rPr>
                <w:rFonts w:hint="eastAsia" w:ascii="宋体" w:hAnsi="宋体" w:eastAsia="宋体" w:cs="宋体"/>
                <w:color w:val="000000"/>
                <w:kern w:val="0"/>
                <w:sz w:val="24"/>
              </w:rPr>
              <w:t>4年9月6日1</w:t>
            </w:r>
            <w:r>
              <w:rPr>
                <w:rFonts w:ascii="宋体" w:hAnsi="宋体" w:eastAsia="宋体" w:cs="宋体"/>
                <w:color w:val="000000"/>
                <w:kern w:val="0"/>
                <w:sz w:val="24"/>
              </w:rPr>
              <w:t>5</w:t>
            </w:r>
            <w:r>
              <w:rPr>
                <w:rFonts w:hint="eastAsia" w:ascii="宋体" w:hAnsi="宋体" w:eastAsia="宋体" w:cs="宋体"/>
                <w:color w:val="000000"/>
                <w:kern w:val="0"/>
                <w:sz w:val="24"/>
              </w:rPr>
              <w:t>:</w:t>
            </w:r>
            <w:r>
              <w:rPr>
                <w:rFonts w:ascii="宋体" w:hAnsi="宋体" w:eastAsia="宋体" w:cs="宋体"/>
                <w:color w:val="000000"/>
                <w:kern w:val="0"/>
                <w:sz w:val="24"/>
              </w:rPr>
              <w:t>0</w:t>
            </w:r>
            <w:r>
              <w:rPr>
                <w:rFonts w:hint="eastAsia" w:ascii="宋体" w:hAnsi="宋体" w:eastAsia="宋体" w:cs="宋体"/>
                <w:color w:val="000000"/>
                <w:kern w:val="0"/>
                <w:sz w:val="24"/>
              </w:rPr>
              <w:t>0-</w:t>
            </w:r>
            <w:r>
              <w:rPr>
                <w:rFonts w:ascii="宋体" w:hAnsi="宋体" w:eastAsia="宋体" w:cs="宋体"/>
                <w:color w:val="000000"/>
                <w:kern w:val="0"/>
                <w:sz w:val="24"/>
              </w:rPr>
              <w:t>16</w:t>
            </w:r>
            <w:r>
              <w:rPr>
                <w:rFonts w:hint="eastAsia" w:ascii="宋体" w:hAnsi="宋体" w:eastAsia="宋体" w:cs="宋体"/>
                <w:color w:val="000000"/>
                <w:kern w:val="0"/>
                <w:sz w:val="24"/>
              </w:rPr>
              <w:t>:30</w:t>
            </w:r>
          </w:p>
        </w:tc>
      </w:tr>
      <w:tr w14:paraId="1DB39A33">
        <w:tblPrEx>
          <w:tblCellMar>
            <w:top w:w="0" w:type="dxa"/>
            <w:left w:w="108" w:type="dxa"/>
            <w:bottom w:w="0" w:type="dxa"/>
            <w:right w:w="108" w:type="dxa"/>
          </w:tblCellMar>
        </w:tblPrEx>
        <w:trPr>
          <w:trHeight w:val="700" w:hRule="atLeast"/>
        </w:trPr>
        <w:tc>
          <w:tcPr>
            <w:tcW w:w="2000" w:type="dxa"/>
            <w:tcBorders>
              <w:top w:val="single" w:color="auto" w:sz="4" w:space="0"/>
              <w:left w:val="single" w:color="auto" w:sz="4" w:space="0"/>
              <w:bottom w:val="single" w:color="auto" w:sz="4" w:space="0"/>
              <w:right w:val="single" w:color="auto" w:sz="4" w:space="0"/>
            </w:tcBorders>
            <w:shd w:val="clear" w:color="auto" w:fill="auto"/>
            <w:vAlign w:val="center"/>
          </w:tcPr>
          <w:p w14:paraId="1E74C864">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地点</w:t>
            </w:r>
          </w:p>
        </w:tc>
        <w:tc>
          <w:tcPr>
            <w:tcW w:w="7229" w:type="dxa"/>
            <w:gridSpan w:val="2"/>
            <w:tcBorders>
              <w:top w:val="single" w:color="auto" w:sz="4" w:space="0"/>
              <w:left w:val="nil"/>
              <w:bottom w:val="single" w:color="auto" w:sz="4" w:space="0"/>
              <w:right w:val="single" w:color="auto" w:sz="4" w:space="0"/>
            </w:tcBorders>
            <w:shd w:val="clear" w:color="auto" w:fill="auto"/>
            <w:vAlign w:val="center"/>
          </w:tcPr>
          <w:p w14:paraId="19C8A9C4">
            <w:pPr>
              <w:jc w:val="center"/>
              <w:rPr>
                <w:sz w:val="24"/>
                <w:szCs w:val="24"/>
              </w:rPr>
            </w:pPr>
            <w:r>
              <w:rPr>
                <w:rFonts w:hint="eastAsia"/>
                <w:sz w:val="24"/>
                <w:szCs w:val="24"/>
              </w:rPr>
              <w:t>上海证券交易所上证路演中心</w:t>
            </w:r>
          </w:p>
          <w:p w14:paraId="46BFF355">
            <w:pPr>
              <w:jc w:val="center"/>
              <w:rPr>
                <w:rFonts w:ascii="宋体" w:hAnsi="宋体" w:eastAsia="宋体" w:cs="宋体"/>
                <w:color w:val="000000"/>
                <w:kern w:val="0"/>
                <w:sz w:val="24"/>
              </w:rPr>
            </w:pPr>
            <w:r>
              <w:rPr>
                <w:rFonts w:hint="eastAsia"/>
                <w:sz w:val="24"/>
                <w:szCs w:val="24"/>
              </w:rPr>
              <w:t>（网址：http://roadshow.sseinfo.com/）</w:t>
            </w:r>
          </w:p>
        </w:tc>
      </w:tr>
      <w:tr w14:paraId="526492C9">
        <w:tblPrEx>
          <w:tblCellMar>
            <w:top w:w="0" w:type="dxa"/>
            <w:left w:w="108" w:type="dxa"/>
            <w:bottom w:w="0" w:type="dxa"/>
            <w:right w:w="108" w:type="dxa"/>
          </w:tblCellMar>
        </w:tblPrEx>
        <w:trPr>
          <w:trHeight w:val="904" w:hRule="atLeast"/>
        </w:trPr>
        <w:tc>
          <w:tcPr>
            <w:tcW w:w="2000" w:type="dxa"/>
            <w:tcBorders>
              <w:top w:val="nil"/>
              <w:left w:val="single" w:color="auto" w:sz="4" w:space="0"/>
              <w:bottom w:val="single" w:color="auto" w:sz="4" w:space="0"/>
              <w:right w:val="single" w:color="auto" w:sz="4" w:space="0"/>
            </w:tcBorders>
            <w:shd w:val="clear" w:color="auto" w:fill="auto"/>
            <w:vAlign w:val="center"/>
          </w:tcPr>
          <w:p w14:paraId="246D924C">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上市公司</w:t>
            </w:r>
          </w:p>
          <w:p w14:paraId="73908C56">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接待人员姓名</w:t>
            </w:r>
          </w:p>
        </w:tc>
        <w:tc>
          <w:tcPr>
            <w:tcW w:w="7229" w:type="dxa"/>
            <w:gridSpan w:val="2"/>
            <w:tcBorders>
              <w:top w:val="nil"/>
              <w:left w:val="nil"/>
              <w:bottom w:val="single" w:color="auto" w:sz="4" w:space="0"/>
              <w:right w:val="single" w:color="auto" w:sz="4" w:space="0"/>
            </w:tcBorders>
            <w:shd w:val="clear" w:color="auto" w:fill="auto"/>
            <w:vAlign w:val="center"/>
          </w:tcPr>
          <w:p w14:paraId="119A0048">
            <w:pPr>
              <w:adjustRightInd w:val="0"/>
              <w:snapToGrid w:val="0"/>
              <w:spacing w:before="156" w:beforeLines="50" w:after="156" w:afterLines="50"/>
              <w:jc w:val="center"/>
              <w:rPr>
                <w:rFonts w:ascii="Arial" w:hAnsi="Arial" w:cs="Arial"/>
                <w:sz w:val="24"/>
                <w:szCs w:val="24"/>
              </w:rPr>
            </w:pPr>
            <w:r>
              <w:rPr>
                <w:rFonts w:ascii="Arial" w:hAnsi="Arial" w:cs="Arial"/>
                <w:sz w:val="24"/>
                <w:szCs w:val="24"/>
              </w:rPr>
              <w:t>董事长：罗开全</w:t>
            </w:r>
          </w:p>
          <w:p w14:paraId="5630D556">
            <w:pPr>
              <w:adjustRightInd w:val="0"/>
              <w:snapToGrid w:val="0"/>
              <w:spacing w:before="156" w:beforeLines="50" w:after="156" w:afterLines="50"/>
              <w:jc w:val="center"/>
              <w:rPr>
                <w:rFonts w:ascii="Arial" w:hAnsi="Arial" w:cs="Arial"/>
                <w:sz w:val="24"/>
                <w:szCs w:val="24"/>
              </w:rPr>
            </w:pPr>
            <w:r>
              <w:rPr>
                <w:rFonts w:ascii="Arial" w:hAnsi="Arial" w:cs="Arial"/>
                <w:sz w:val="24"/>
                <w:szCs w:val="24"/>
              </w:rPr>
              <w:t>总经理：郑英军</w:t>
            </w:r>
          </w:p>
          <w:p w14:paraId="77027058">
            <w:pPr>
              <w:adjustRightInd w:val="0"/>
              <w:snapToGrid w:val="0"/>
              <w:spacing w:before="156" w:beforeLines="50" w:after="156" w:afterLines="50"/>
              <w:jc w:val="center"/>
              <w:rPr>
                <w:rFonts w:ascii="Arial" w:hAnsi="Arial" w:cs="Arial"/>
                <w:sz w:val="24"/>
                <w:szCs w:val="24"/>
              </w:rPr>
            </w:pPr>
            <w:r>
              <w:rPr>
                <w:rFonts w:ascii="Arial" w:hAnsi="Arial" w:cs="Arial"/>
                <w:sz w:val="24"/>
                <w:szCs w:val="24"/>
              </w:rPr>
              <w:t>董事会秘书、总会计师：李超</w:t>
            </w:r>
          </w:p>
          <w:p w14:paraId="62183027">
            <w:pPr>
              <w:spacing w:before="156" w:beforeLines="50" w:after="156" w:afterLines="50"/>
              <w:jc w:val="center"/>
              <w:rPr>
                <w:rFonts w:ascii="宋体" w:hAnsi="宋体" w:cs="宋体"/>
                <w:color w:val="000000"/>
                <w:kern w:val="0"/>
                <w:sz w:val="24"/>
              </w:rPr>
            </w:pPr>
            <w:r>
              <w:rPr>
                <w:rFonts w:ascii="Arial" w:hAnsi="Arial" w:cs="Arial"/>
                <w:sz w:val="24"/>
                <w:szCs w:val="24"/>
              </w:rPr>
              <w:t>独立董事：</w:t>
            </w:r>
            <w:r>
              <w:rPr>
                <w:rFonts w:hint="eastAsia" w:ascii="Arial" w:hAnsi="Arial" w:cs="Arial"/>
                <w:sz w:val="24"/>
                <w:szCs w:val="24"/>
              </w:rPr>
              <w:t>王子冬</w:t>
            </w:r>
          </w:p>
        </w:tc>
      </w:tr>
      <w:tr w14:paraId="19494820">
        <w:tblPrEx>
          <w:tblCellMar>
            <w:top w:w="0" w:type="dxa"/>
            <w:left w:w="108" w:type="dxa"/>
            <w:bottom w:w="0" w:type="dxa"/>
            <w:right w:w="108" w:type="dxa"/>
          </w:tblCellMar>
        </w:tblPrEx>
        <w:trPr>
          <w:trHeight w:val="1540" w:hRule="atLeast"/>
        </w:trPr>
        <w:tc>
          <w:tcPr>
            <w:tcW w:w="2000" w:type="dxa"/>
            <w:tcBorders>
              <w:top w:val="nil"/>
              <w:left w:val="single" w:color="auto" w:sz="4" w:space="0"/>
              <w:bottom w:val="single" w:color="auto" w:sz="4" w:space="0"/>
              <w:right w:val="single" w:color="auto" w:sz="4" w:space="0"/>
            </w:tcBorders>
            <w:shd w:val="clear" w:color="auto" w:fill="auto"/>
            <w:vAlign w:val="center"/>
          </w:tcPr>
          <w:p w14:paraId="71F08340">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投资者活动</w:t>
            </w:r>
          </w:p>
          <w:p w14:paraId="1CC303F7">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主要内容介绍</w:t>
            </w:r>
          </w:p>
        </w:tc>
        <w:tc>
          <w:tcPr>
            <w:tcW w:w="7229" w:type="dxa"/>
            <w:gridSpan w:val="2"/>
            <w:tcBorders>
              <w:top w:val="nil"/>
              <w:left w:val="nil"/>
              <w:bottom w:val="single" w:color="auto" w:sz="4" w:space="0"/>
              <w:right w:val="single" w:color="auto" w:sz="4" w:space="0"/>
            </w:tcBorders>
            <w:shd w:val="clear" w:color="auto" w:fill="auto"/>
            <w:vAlign w:val="center"/>
          </w:tcPr>
          <w:p w14:paraId="5436410E">
            <w:pPr>
              <w:widowControl/>
              <w:ind w:firstLine="480" w:firstLineChars="200"/>
              <w:rPr>
                <w:rFonts w:ascii="宋体" w:hAnsi="宋体" w:eastAsia="宋体" w:cs="宋体"/>
                <w:color w:val="000000"/>
                <w:kern w:val="0"/>
                <w:sz w:val="24"/>
              </w:rPr>
            </w:pPr>
            <w:r>
              <w:rPr>
                <w:rFonts w:ascii="宋体" w:hAnsi="宋体" w:eastAsia="宋体" w:cs="宋体"/>
                <w:color w:val="000000"/>
                <w:kern w:val="0"/>
                <w:sz w:val="24"/>
              </w:rPr>
              <w:t>为便于广大投资者更全面深入地了解公司</w:t>
            </w:r>
            <w:r>
              <w:rPr>
                <w:rFonts w:hint="eastAsia" w:ascii="宋体" w:hAnsi="宋体" w:eastAsia="宋体" w:cs="宋体"/>
                <w:color w:val="000000"/>
                <w:kern w:val="0"/>
                <w:sz w:val="24"/>
              </w:rPr>
              <w:t>2024年半年</w:t>
            </w:r>
            <w:r>
              <w:rPr>
                <w:rFonts w:ascii="宋体" w:hAnsi="宋体" w:eastAsia="宋体" w:cs="宋体"/>
                <w:color w:val="000000"/>
                <w:kern w:val="0"/>
                <w:sz w:val="24"/>
              </w:rPr>
              <w:t>度经营成果、财务状况，公司于202</w:t>
            </w:r>
            <w:r>
              <w:rPr>
                <w:rFonts w:hint="eastAsia" w:ascii="宋体" w:hAnsi="宋体" w:eastAsia="宋体" w:cs="宋体"/>
                <w:color w:val="000000"/>
                <w:kern w:val="0"/>
                <w:sz w:val="24"/>
              </w:rPr>
              <w:t>4</w:t>
            </w:r>
            <w:r>
              <w:rPr>
                <w:rFonts w:ascii="宋体" w:hAnsi="宋体" w:eastAsia="宋体" w:cs="宋体"/>
                <w:color w:val="000000"/>
                <w:kern w:val="0"/>
                <w:sz w:val="24"/>
              </w:rPr>
              <w:t>年</w:t>
            </w:r>
            <w:r>
              <w:rPr>
                <w:rFonts w:hint="eastAsia" w:ascii="宋体" w:hAnsi="宋体" w:eastAsia="宋体" w:cs="宋体"/>
                <w:color w:val="000000"/>
                <w:kern w:val="0"/>
                <w:sz w:val="24"/>
              </w:rPr>
              <w:t>9</w:t>
            </w:r>
            <w:r>
              <w:rPr>
                <w:rFonts w:ascii="宋体" w:hAnsi="宋体" w:eastAsia="宋体" w:cs="宋体"/>
                <w:color w:val="000000"/>
                <w:kern w:val="0"/>
                <w:sz w:val="24"/>
              </w:rPr>
              <w:t>月</w:t>
            </w:r>
            <w:r>
              <w:rPr>
                <w:rFonts w:hint="eastAsia" w:ascii="宋体" w:hAnsi="宋体" w:eastAsia="宋体" w:cs="宋体"/>
                <w:color w:val="000000"/>
                <w:kern w:val="0"/>
                <w:sz w:val="24"/>
              </w:rPr>
              <w:t>6</w:t>
            </w:r>
            <w:r>
              <w:rPr>
                <w:rFonts w:ascii="宋体" w:hAnsi="宋体" w:eastAsia="宋体" w:cs="宋体"/>
                <w:color w:val="000000"/>
                <w:kern w:val="0"/>
                <w:sz w:val="24"/>
              </w:rPr>
              <w:t>日下午15:00-16:</w:t>
            </w:r>
            <w:r>
              <w:rPr>
                <w:rFonts w:hint="eastAsia" w:ascii="宋体" w:hAnsi="宋体" w:eastAsia="宋体" w:cs="宋体"/>
                <w:color w:val="000000"/>
                <w:kern w:val="0"/>
                <w:sz w:val="24"/>
              </w:rPr>
              <w:t>3</w:t>
            </w:r>
            <w:r>
              <w:rPr>
                <w:rFonts w:ascii="宋体" w:hAnsi="宋体" w:eastAsia="宋体" w:cs="宋体"/>
                <w:color w:val="000000"/>
                <w:kern w:val="0"/>
                <w:sz w:val="24"/>
              </w:rPr>
              <w:t>0举行</w:t>
            </w:r>
            <w:r>
              <w:rPr>
                <w:rFonts w:hint="eastAsia" w:ascii="宋体" w:hAnsi="宋体" w:eastAsia="宋体" w:cs="宋体"/>
                <w:sz w:val="24"/>
                <w:szCs w:val="24"/>
              </w:rPr>
              <w:t>2024年半年度</w:t>
            </w:r>
            <w:r>
              <w:rPr>
                <w:rFonts w:ascii="宋体" w:hAnsi="宋体" w:eastAsia="宋体" w:cs="宋体"/>
                <w:color w:val="000000"/>
                <w:kern w:val="0"/>
                <w:sz w:val="24"/>
              </w:rPr>
              <w:t>业绩说明会，就投资者关心的问题进行交流。</w:t>
            </w:r>
          </w:p>
        </w:tc>
      </w:tr>
      <w:tr w14:paraId="1AD942BB">
        <w:tblPrEx>
          <w:tblCellMar>
            <w:top w:w="0" w:type="dxa"/>
            <w:left w:w="108" w:type="dxa"/>
            <w:bottom w:w="0" w:type="dxa"/>
            <w:right w:w="108" w:type="dxa"/>
          </w:tblCellMar>
        </w:tblPrEx>
        <w:trPr>
          <w:trHeight w:val="1279" w:hRule="atLeast"/>
        </w:trPr>
        <w:tc>
          <w:tcPr>
            <w:tcW w:w="2000" w:type="dxa"/>
            <w:tcBorders>
              <w:top w:val="nil"/>
              <w:left w:val="single" w:color="auto" w:sz="4" w:space="0"/>
              <w:bottom w:val="single" w:color="auto" w:sz="4" w:space="0"/>
              <w:right w:val="single" w:color="auto" w:sz="4" w:space="0"/>
            </w:tcBorders>
            <w:shd w:val="clear" w:color="auto" w:fill="auto"/>
            <w:vAlign w:val="center"/>
          </w:tcPr>
          <w:p w14:paraId="56F1ED36">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附件清单</w:t>
            </w:r>
          </w:p>
        </w:tc>
        <w:tc>
          <w:tcPr>
            <w:tcW w:w="7229" w:type="dxa"/>
            <w:gridSpan w:val="2"/>
            <w:tcBorders>
              <w:top w:val="nil"/>
              <w:left w:val="nil"/>
              <w:bottom w:val="single" w:color="auto" w:sz="4" w:space="0"/>
              <w:right w:val="single" w:color="auto" w:sz="4" w:space="0"/>
            </w:tcBorders>
            <w:shd w:val="clear" w:color="auto" w:fill="auto"/>
            <w:vAlign w:val="center"/>
          </w:tcPr>
          <w:p w14:paraId="6232F5B6">
            <w:pPr>
              <w:widowControl/>
              <w:jc w:val="center"/>
              <w:rPr>
                <w:rFonts w:ascii="宋体" w:hAnsi="宋体" w:eastAsia="宋体" w:cs="宋体"/>
                <w:color w:val="000000"/>
                <w:kern w:val="0"/>
                <w:sz w:val="24"/>
              </w:rPr>
            </w:pPr>
            <w:r>
              <w:rPr>
                <w:rFonts w:hint="eastAsia" w:ascii="宋体" w:hAnsi="宋体" w:eastAsia="宋体" w:cs="宋体"/>
                <w:sz w:val="24"/>
                <w:szCs w:val="24"/>
              </w:rPr>
              <w:t>2024年半年度</w:t>
            </w:r>
            <w:r>
              <w:rPr>
                <w:rFonts w:hint="eastAsia" w:ascii="宋体" w:hAnsi="宋体" w:eastAsia="宋体" w:cs="宋体"/>
                <w:color w:val="000000"/>
                <w:kern w:val="0"/>
                <w:sz w:val="24"/>
              </w:rPr>
              <w:t>业绩说明会</w:t>
            </w:r>
            <w:r>
              <w:rPr>
                <w:rFonts w:hint="eastAsia" w:ascii="宋体" w:hAnsi="宋体" w:eastAsia="宋体" w:cs="宋体"/>
                <w:kern w:val="0"/>
                <w:sz w:val="24"/>
              </w:rPr>
              <w:t>会议纪要</w:t>
            </w:r>
          </w:p>
        </w:tc>
      </w:tr>
    </w:tbl>
    <w:p w14:paraId="2078C166">
      <w:pPr>
        <w:rPr>
          <w:sz w:val="22"/>
        </w:rPr>
        <w:sectPr>
          <w:footerReference r:id="rId5" w:type="default"/>
          <w:pgSz w:w="11906" w:h="16838"/>
          <w:pgMar w:top="1440" w:right="1800" w:bottom="1440" w:left="1800" w:header="851" w:footer="992" w:gutter="0"/>
          <w:pgNumType w:start="0"/>
          <w:cols w:space="425" w:num="1"/>
          <w:titlePg/>
          <w:docGrid w:type="lines" w:linePitch="312" w:charSpace="0"/>
        </w:sectPr>
      </w:pPr>
    </w:p>
    <w:p w14:paraId="60465173">
      <w:pPr>
        <w:rPr>
          <w:rFonts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kern w:val="0"/>
          <w:sz w:val="28"/>
          <w:szCs w:val="28"/>
          <w14:textFill>
            <w14:solidFill>
              <w14:schemeClr w14:val="tx1"/>
            </w14:solidFill>
          </w14:textFill>
        </w:rPr>
        <w:t>附件：</w:t>
      </w:r>
    </w:p>
    <w:p w14:paraId="21F7A973">
      <w:pPr>
        <w:jc w:val="center"/>
        <w:rPr>
          <w:rFonts w:ascii="方正小标宋简体" w:hAnsi="Times New Roman" w:eastAsia="方正小标宋简体" w:cs="Times New Roman"/>
          <w:color w:val="FF0000"/>
          <w:sz w:val="36"/>
          <w:szCs w:val="36"/>
        </w:rPr>
      </w:pPr>
      <w:r>
        <w:rPr>
          <w:rFonts w:hint="eastAsia" w:ascii="方正小标宋简体" w:hAnsi="Times New Roman" w:eastAsia="方正小标宋简体" w:cs="Times New Roman"/>
          <w:color w:val="FF0000"/>
          <w:sz w:val="36"/>
          <w:szCs w:val="36"/>
        </w:rPr>
        <w:t>2024年半年度业绩说明会</w:t>
      </w:r>
    </w:p>
    <w:p w14:paraId="50AA96FC">
      <w:pPr>
        <w:jc w:val="center"/>
        <w:rPr>
          <w:rFonts w:ascii="方正小标宋简体" w:hAnsi="Times New Roman" w:eastAsia="方正小标宋简体" w:cs="Times New Roman"/>
          <w:color w:val="2E2E2E"/>
          <w:sz w:val="28"/>
          <w:szCs w:val="28"/>
        </w:rPr>
      </w:pPr>
      <w:r>
        <w:rPr>
          <w:rFonts w:hint="eastAsia" w:ascii="方正小标宋简体" w:hAnsi="Times New Roman" w:eastAsia="方正小标宋简体" w:cs="Times New Roman"/>
          <w:color w:val="FF0000"/>
          <w:sz w:val="36"/>
          <w:szCs w:val="36"/>
        </w:rPr>
        <w:t>会议纪要</w:t>
      </w:r>
    </w:p>
    <w:p w14:paraId="5AB8E112">
      <w:pPr>
        <w:spacing w:before="156" w:beforeLines="50" w:line="560" w:lineRule="exact"/>
        <w:ind w:firstLine="643" w:firstLineChars="200"/>
        <w:rPr>
          <w:rFonts w:ascii="仿宋_GB2312" w:hAnsi="Times New Roman" w:eastAsia="仿宋_GB2312" w:cs="Times New Roman"/>
          <w:color w:val="2E2E2E"/>
          <w:sz w:val="32"/>
          <w:szCs w:val="32"/>
        </w:rPr>
      </w:pPr>
      <w:r>
        <w:rPr>
          <w:rFonts w:hint="eastAsia" w:ascii="仿宋_GB2312" w:hAnsi="Times New Roman" w:eastAsia="仿宋_GB2312" w:cs="Times New Roman"/>
          <w:b/>
          <w:color w:val="2E2E2E"/>
          <w:sz w:val="32"/>
          <w:szCs w:val="32"/>
        </w:rPr>
        <w:t>时间：</w:t>
      </w:r>
      <w:r>
        <w:rPr>
          <w:rFonts w:hint="eastAsia" w:ascii="仿宋_GB2312" w:hAnsi="Times New Roman" w:eastAsia="仿宋_GB2312" w:cs="Times New Roman"/>
          <w:color w:val="2E2E2E"/>
          <w:sz w:val="32"/>
          <w:szCs w:val="32"/>
        </w:rPr>
        <w:t>2024年9月6日15:00-16:30</w:t>
      </w:r>
    </w:p>
    <w:p w14:paraId="623D2DDF">
      <w:pPr>
        <w:spacing w:before="156" w:beforeLines="50" w:line="560" w:lineRule="exact"/>
        <w:ind w:firstLine="643" w:firstLineChars="200"/>
        <w:rPr>
          <w:rFonts w:ascii="仿宋_GB2312" w:hAnsi="Times New Roman" w:eastAsia="仿宋_GB2312" w:cs="Times New Roman"/>
          <w:color w:val="2E2E2E"/>
          <w:sz w:val="32"/>
          <w:szCs w:val="32"/>
        </w:rPr>
      </w:pPr>
      <w:r>
        <w:rPr>
          <w:rFonts w:hint="eastAsia" w:ascii="仿宋_GB2312" w:hAnsi="Times New Roman" w:eastAsia="仿宋_GB2312" w:cs="Times New Roman"/>
          <w:b/>
          <w:color w:val="2E2E2E"/>
          <w:sz w:val="32"/>
          <w:szCs w:val="32"/>
        </w:rPr>
        <w:t>地点：</w:t>
      </w:r>
      <w:r>
        <w:rPr>
          <w:rFonts w:hint="eastAsia" w:ascii="仿宋_GB2312" w:hAnsi="Arial" w:eastAsia="仿宋_GB2312" w:cs="Arial"/>
          <w:color w:val="000000"/>
          <w:sz w:val="32"/>
          <w:szCs w:val="32"/>
        </w:rPr>
        <w:t>上海证券交易所上证路演中心（网址：</w:t>
      </w:r>
      <w:r>
        <w:fldChar w:fldCharType="begin"/>
      </w:r>
      <w:r>
        <w:instrText xml:space="preserve"> HYPERLINK "https://roadshow.sseinfo.com/）" </w:instrText>
      </w:r>
      <w:r>
        <w:fldChar w:fldCharType="separate"/>
      </w:r>
      <w:r>
        <w:rPr>
          <w:rStyle w:val="9"/>
          <w:rFonts w:hint="eastAsia" w:ascii="仿宋_GB2312" w:hAnsi="Arial" w:eastAsia="仿宋_GB2312" w:cs="Arial"/>
          <w:color w:val="000000"/>
          <w:sz w:val="32"/>
          <w:szCs w:val="32"/>
        </w:rPr>
        <w:t>https://roadshow.sseinfo.com/）</w:t>
      </w:r>
      <w:r>
        <w:rPr>
          <w:rStyle w:val="9"/>
          <w:rFonts w:hint="eastAsia" w:ascii="仿宋_GB2312" w:hAnsi="Arial" w:eastAsia="仿宋_GB2312" w:cs="Arial"/>
          <w:color w:val="000000"/>
          <w:sz w:val="32"/>
          <w:szCs w:val="32"/>
        </w:rPr>
        <w:fldChar w:fldCharType="end"/>
      </w:r>
    </w:p>
    <w:p w14:paraId="0116B238">
      <w:pPr>
        <w:spacing w:before="156" w:beforeLines="50" w:line="560" w:lineRule="exact"/>
        <w:ind w:firstLine="643" w:firstLineChars="200"/>
        <w:rPr>
          <w:rFonts w:ascii="仿宋_GB2312" w:hAnsi="宋体" w:eastAsia="仿宋_GB2312" w:cs="宋体"/>
          <w:color w:val="000000"/>
          <w:kern w:val="0"/>
          <w:sz w:val="32"/>
          <w:szCs w:val="32"/>
        </w:rPr>
      </w:pPr>
      <w:r>
        <w:rPr>
          <w:rFonts w:hint="eastAsia" w:ascii="仿宋_GB2312" w:hAnsi="Times New Roman" w:eastAsia="仿宋_GB2312" w:cs="Times New Roman"/>
          <w:b/>
          <w:color w:val="2E2E2E"/>
          <w:sz w:val="32"/>
          <w:szCs w:val="32"/>
        </w:rPr>
        <w:t>内容：</w:t>
      </w:r>
      <w:r>
        <w:rPr>
          <w:rFonts w:hint="eastAsia" w:ascii="仿宋_GB2312" w:hAnsi="宋体" w:eastAsia="仿宋_GB2312" w:cs="宋体"/>
          <w:color w:val="000000"/>
          <w:kern w:val="0"/>
          <w:sz w:val="32"/>
          <w:szCs w:val="32"/>
        </w:rPr>
        <w:t>为便于广大投资者更全面深入地了解公司2024年半年度经营成果、财务状况，公司于2024年9月6日下午15:00-16:30举行2024年半年度业绩说明会，就投资者关心的问题进行交流。</w:t>
      </w:r>
    </w:p>
    <w:p w14:paraId="6C2D7183">
      <w:pPr>
        <w:spacing w:before="156" w:beforeLines="50" w:line="560" w:lineRule="exact"/>
        <w:ind w:firstLine="640" w:firstLineChars="200"/>
        <w:rPr>
          <w:rFonts w:ascii="仿宋_GB2312" w:hAnsi="Times New Roman" w:eastAsia="仿宋_GB2312" w:cs="Times New Roman"/>
          <w:color w:val="2E2E2E"/>
          <w:sz w:val="32"/>
          <w:szCs w:val="32"/>
        </w:rPr>
      </w:pPr>
    </w:p>
    <w:p w14:paraId="1A582F7A">
      <w:pPr>
        <w:widowControl/>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问题1：</w:t>
      </w:r>
      <w:r>
        <w:rPr>
          <w:rFonts w:hint="eastAsia" w:ascii="仿宋_GB2312" w:eastAsia="仿宋_GB2312" w:hAnsiTheme="minorEastAsia"/>
          <w:sz w:val="32"/>
          <w:szCs w:val="32"/>
        </w:rPr>
        <w:t xml:space="preserve">您好，目前公司订单情况以及生产经营情况如何？ </w:t>
      </w:r>
    </w:p>
    <w:p w14:paraId="539006F5">
      <w:pPr>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回复：</w:t>
      </w:r>
      <w:r>
        <w:rPr>
          <w:rFonts w:hint="eastAsia" w:ascii="仿宋_GB2312" w:eastAsia="仿宋_GB2312" w:hAnsiTheme="minorEastAsia"/>
          <w:sz w:val="32"/>
          <w:szCs w:val="32"/>
        </w:rPr>
        <w:t>目前公司订单情况稳定，经营情况仍保持稳定和韧性，产能利用充分。谢谢您的关注。</w:t>
      </w:r>
    </w:p>
    <w:p w14:paraId="1350E013">
      <w:pPr>
        <w:widowControl/>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问题2：</w:t>
      </w:r>
      <w:r>
        <w:rPr>
          <w:rFonts w:hint="eastAsia" w:ascii="仿宋_GB2312" w:eastAsia="仿宋_GB2312" w:hAnsiTheme="minorEastAsia"/>
          <w:sz w:val="32"/>
          <w:szCs w:val="32"/>
        </w:rPr>
        <w:t>公司在汽车零部件领域如何对标优质企业？</w:t>
      </w:r>
    </w:p>
    <w:p w14:paraId="7100CC85">
      <w:pPr>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回复：</w:t>
      </w:r>
      <w:r>
        <w:rPr>
          <w:rFonts w:hint="eastAsia" w:ascii="仿宋_GB2312" w:eastAsia="仿宋_GB2312" w:hAnsiTheme="minorEastAsia"/>
          <w:sz w:val="32"/>
          <w:szCs w:val="32"/>
        </w:rPr>
        <w:t>在汽车零部件领域，对标优质企业是提升自身竞争力的重要手段。公司首先通过每季度召开经营分析会，与同行业优质企业财务指标、市场营销等方面进行分析；其次利用自身优势，与主流客户高层会晤，充分发挥双方专业优势，共同服务汽车领域；再次，推动汽车产业智能化转型，与主要供应商签订战略合作协议，提升自身的竞争力和市场地位。谢谢您关注。</w:t>
      </w:r>
    </w:p>
    <w:p w14:paraId="45666F48">
      <w:pPr>
        <w:widowControl/>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问题3：</w:t>
      </w:r>
      <w:r>
        <w:rPr>
          <w:rFonts w:hint="eastAsia" w:ascii="仿宋_GB2312" w:eastAsia="仿宋_GB2312" w:hAnsiTheme="minorEastAsia"/>
          <w:sz w:val="32"/>
          <w:szCs w:val="32"/>
        </w:rPr>
        <w:t>公司进行中期利润分配吗？</w:t>
      </w:r>
    </w:p>
    <w:p w14:paraId="0A0AB650">
      <w:pPr>
        <w:widowControl/>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回复：</w:t>
      </w:r>
      <w:r>
        <w:rPr>
          <w:rFonts w:hint="eastAsia" w:ascii="仿宋_GB2312" w:eastAsia="仿宋_GB2312" w:hAnsiTheme="minorEastAsia"/>
          <w:sz w:val="32"/>
          <w:szCs w:val="32"/>
        </w:rPr>
        <w:t>公司积极加强对投资者的回报，结合中期盈利情况、未来的资金需求以及投资者分享公司发展成果的合理诉求。2024年半年度拟以实施权益分派股权登记日登记的总股本为基数，向全体股东每10股派发现金红利1.00元（含税），不进行送股或以资本公积转增股本。感谢您的关注。</w:t>
      </w:r>
    </w:p>
    <w:p w14:paraId="0500E037">
      <w:pPr>
        <w:widowControl/>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问题4：</w:t>
      </w:r>
      <w:r>
        <w:rPr>
          <w:rFonts w:hint="eastAsia" w:ascii="仿宋_GB2312" w:eastAsia="仿宋_GB2312" w:hAnsiTheme="minorEastAsia"/>
          <w:sz w:val="32"/>
          <w:szCs w:val="32"/>
        </w:rPr>
        <w:t>公司上半年经营业绩不错，对于下半年有什么预期吗？</w:t>
      </w:r>
    </w:p>
    <w:p w14:paraId="16D761EF">
      <w:pPr>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回复：</w:t>
      </w:r>
      <w:r>
        <w:rPr>
          <w:rFonts w:hint="eastAsia" w:ascii="仿宋_GB2312" w:eastAsia="仿宋_GB2312" w:hAnsiTheme="minorEastAsia"/>
          <w:sz w:val="32"/>
          <w:szCs w:val="32"/>
        </w:rPr>
        <w:t>报告期内，2024年上半年实现营业收入89.38亿元，同比增长3.27%；归属于上市公司股东的净利润3.99亿元，同比增长23.69%。报告期内公司运营平稳有序，经营情况未发生重大变化，具备持续经营与稳健发展的能力。谢谢您关注。</w:t>
      </w:r>
    </w:p>
    <w:p w14:paraId="2D89BBDD">
      <w:pPr>
        <w:widowControl/>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问题5：</w:t>
      </w:r>
      <w:r>
        <w:rPr>
          <w:rFonts w:hint="eastAsia" w:ascii="仿宋_GB2312" w:eastAsia="仿宋_GB2312" w:hAnsiTheme="minorEastAsia"/>
          <w:sz w:val="32"/>
          <w:szCs w:val="32"/>
        </w:rPr>
        <w:t>您好，请问公司未来如何处理区域化和专业化发展的矛盾</w:t>
      </w:r>
    </w:p>
    <w:p w14:paraId="7ACA5C71">
      <w:pPr>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回复：</w:t>
      </w:r>
      <w:r>
        <w:rPr>
          <w:rFonts w:hint="eastAsia" w:ascii="仿宋_GB2312" w:eastAsia="仿宋_GB2312" w:hAnsiTheme="minorEastAsia"/>
          <w:sz w:val="32"/>
          <w:szCs w:val="32"/>
        </w:rPr>
        <w:t>尊敬的投资者您好，区域化和专业化发展是凌云股份未来发展的两个方向，凌云股份发展过程中在全国多个省市和地区布点，主要分部在东北、华北、华东、中南、西南地区，按照区域划分进行整合有利于提高管理效率，合理调配资源，提高资产利用率。围绕热成型加工工艺和新能源业务，成立了专业化的公司，有利于集中技术优势、产线优势，快速成为行业单打冠军，同时也和其他区域协同，互相配合，二者不是非此即彼的关系。谢谢您的关注。</w:t>
      </w:r>
    </w:p>
    <w:p w14:paraId="7DA5A740">
      <w:pPr>
        <w:widowControl/>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问题6：</w:t>
      </w:r>
      <w:r>
        <w:rPr>
          <w:rFonts w:hint="eastAsia" w:ascii="仿宋_GB2312" w:eastAsia="仿宋_GB2312" w:hAnsiTheme="minorEastAsia"/>
          <w:sz w:val="32"/>
          <w:szCs w:val="32"/>
        </w:rPr>
        <w:t>公司目前市场拓展与新获订单情况是怎样的？</w:t>
      </w:r>
    </w:p>
    <w:p w14:paraId="5AE4643A">
      <w:pPr>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回复：</w:t>
      </w:r>
      <w:r>
        <w:rPr>
          <w:rFonts w:hint="eastAsia" w:ascii="仿宋_GB2312" w:eastAsia="仿宋_GB2312" w:hAnsiTheme="minorEastAsia"/>
          <w:sz w:val="32"/>
          <w:szCs w:val="32"/>
        </w:rPr>
        <w:t>公司加大市场开拓力度，陆续拜访国内外优质客户，基本覆盖国内主流客户，近期与宝马、日本丰田、奇瑞汽车等高层会晤，参加2024北京国际汽车展览会，为市场全面开拓打造多层次交流渠道。2024年上半年公司汽车金属板块累计定点项目137个，汽车管路板块累计定点项目243个。中标项目中保险杠、电池壳、热成型等优势产品占比为81.24%。比亚迪辊压件和铝制门槛总成项目实现零件平台化应用推广，</w:t>
      </w:r>
      <w:r>
        <w:rPr>
          <w:rFonts w:hint="eastAsia" w:ascii="仿宋_GB2312" w:eastAsia="仿宋_GB2312" w:hAnsiTheme="minorEastAsia"/>
          <w:spacing w:val="-6"/>
          <w:sz w:val="32"/>
          <w:szCs w:val="32"/>
        </w:rPr>
        <w:t>配套一汽大众、长安、奇瑞、理想、长城等客户的产品结构持续调整升级，</w:t>
      </w:r>
      <w:r>
        <w:rPr>
          <w:rFonts w:hint="eastAsia" w:ascii="仿宋_GB2312" w:eastAsia="仿宋_GB2312" w:hAnsiTheme="minorEastAsia"/>
          <w:sz w:val="32"/>
          <w:szCs w:val="32"/>
        </w:rPr>
        <w:t>定点全球领先的通信设备供应商新能源储能柜项目实现谱系突破，定点北美新能源头部企业储能项目实现汽车零部件与储能产品同时供货。感谢您的关注。</w:t>
      </w:r>
    </w:p>
    <w:p w14:paraId="5DF953FC">
      <w:pPr>
        <w:widowControl/>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问题7：</w:t>
      </w:r>
      <w:r>
        <w:rPr>
          <w:rFonts w:hint="eastAsia" w:ascii="仿宋_GB2312" w:eastAsia="仿宋_GB2312" w:hAnsiTheme="minorEastAsia"/>
          <w:sz w:val="32"/>
          <w:szCs w:val="32"/>
        </w:rPr>
        <w:t>六维传感器业务进展是否顺利，</w:t>
      </w:r>
      <w:bookmarkStart w:id="0" w:name="_GoBack"/>
      <w:bookmarkEnd w:id="0"/>
      <w:r>
        <w:rPr>
          <w:rFonts w:hint="eastAsia" w:ascii="仿宋_GB2312" w:eastAsia="仿宋_GB2312" w:hAnsiTheme="minorEastAsia"/>
          <w:sz w:val="32"/>
          <w:szCs w:val="32"/>
        </w:rPr>
        <w:t>现在到了哪个阶段，预计什么时候可以量产，是否会对公司未来的发展产生重大的影响</w:t>
      </w:r>
    </w:p>
    <w:p w14:paraId="64306895">
      <w:pPr>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回复：</w:t>
      </w:r>
      <w:r>
        <w:rPr>
          <w:rFonts w:hint="eastAsia" w:ascii="仿宋_GB2312" w:eastAsia="仿宋_GB2312" w:hAnsiTheme="minorEastAsia"/>
          <w:sz w:val="32"/>
          <w:szCs w:val="32"/>
        </w:rPr>
        <w:t>凌云股份作为牵头单位，联合相关单位成立传感器项目工作组，组织制定项目计划，推进项目开发。现已生产出相关样件，公司会积极把握潜在市场机会，加强与行业内相关企业沟通交流。感谢您的关注。</w:t>
      </w:r>
    </w:p>
    <w:p w14:paraId="1F224B6D">
      <w:pPr>
        <w:widowControl/>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问题8：</w:t>
      </w:r>
      <w:r>
        <w:rPr>
          <w:rFonts w:hint="eastAsia" w:ascii="仿宋_GB2312" w:eastAsia="仿宋_GB2312" w:hAnsiTheme="minorEastAsia"/>
          <w:sz w:val="32"/>
          <w:szCs w:val="32"/>
        </w:rPr>
        <w:t>公司在汽车零部件行业中竞争优势有哪些，比如订单、客户方面？</w:t>
      </w:r>
    </w:p>
    <w:p w14:paraId="00CD6C9E">
      <w:pPr>
        <w:spacing w:before="156" w:beforeLines="50" w:line="560" w:lineRule="exact"/>
        <w:ind w:firstLine="732" w:firstLineChars="228"/>
        <w:rPr>
          <w:rFonts w:ascii="仿宋_GB2312" w:eastAsia="仿宋_GB2312" w:hAnsiTheme="minorEastAsia"/>
          <w:sz w:val="32"/>
          <w:szCs w:val="32"/>
        </w:rPr>
      </w:pPr>
      <w:r>
        <w:rPr>
          <w:rFonts w:hint="eastAsia" w:ascii="仿宋_GB2312" w:eastAsia="仿宋_GB2312" w:hAnsiTheme="minorEastAsia"/>
          <w:b/>
          <w:bCs/>
          <w:sz w:val="32"/>
          <w:szCs w:val="32"/>
        </w:rPr>
        <w:t>回复：</w:t>
      </w:r>
      <w:r>
        <w:rPr>
          <w:rFonts w:hint="eastAsia" w:ascii="仿宋_GB2312" w:eastAsia="仿宋_GB2312" w:hAnsiTheme="minorEastAsia"/>
          <w:sz w:val="32"/>
          <w:szCs w:val="32"/>
        </w:rPr>
        <w:t>尊敬的投资者你好，公司已经在汽车零部件行业深耕多年，集同步设计、产线、产能布局于一体，可以提供系统的解决方案，满足客户需求。公司现场管理、质量管控、技术能力、运营水平，较新进本行业的企业有较高优势；公司覆盖客户范围广泛，产品种类、谱系丰富。近年来公司逐步聚焦国内外高端客户和核心产品，在积极推动产品结构转型和客户结构调整的同时，持续完善全球化布局以及全球化供货能力，提高了覆盖欧洲、中国和北美等主要汽车生产基地配套供应能力。感谢您的关注。</w:t>
      </w:r>
    </w:p>
    <w:sect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6269389"/>
      <w:docPartObj>
        <w:docPartGallery w:val="AutoText"/>
      </w:docPartObj>
    </w:sdtPr>
    <w:sdtContent>
      <w:p w14:paraId="5F10D100">
        <w:pPr>
          <w:pStyle w:val="3"/>
          <w:jc w:val="center"/>
          <w:rPr>
            <w:rFonts w:hint="eastAsia"/>
          </w:rPr>
        </w:pPr>
        <w:r>
          <w:fldChar w:fldCharType="begin"/>
        </w:r>
        <w:r>
          <w:instrText xml:space="preserve">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zNTFkMzg2ODQ0Y2ZiZmMwMmZlOGVhMDUwNTA5MzYifQ=="/>
  </w:docVars>
  <w:rsids>
    <w:rsidRoot w:val="00687AE7"/>
    <w:rsid w:val="000052FC"/>
    <w:rsid w:val="000074AF"/>
    <w:rsid w:val="000161F7"/>
    <w:rsid w:val="000423C8"/>
    <w:rsid w:val="00046C5F"/>
    <w:rsid w:val="00060333"/>
    <w:rsid w:val="0006150D"/>
    <w:rsid w:val="00072EA5"/>
    <w:rsid w:val="00077B6B"/>
    <w:rsid w:val="00080E49"/>
    <w:rsid w:val="0009025D"/>
    <w:rsid w:val="000A3F0E"/>
    <w:rsid w:val="000A4476"/>
    <w:rsid w:val="000A4E1B"/>
    <w:rsid w:val="000B298A"/>
    <w:rsid w:val="000D6646"/>
    <w:rsid w:val="000E5177"/>
    <w:rsid w:val="000F3911"/>
    <w:rsid w:val="00104407"/>
    <w:rsid w:val="00106848"/>
    <w:rsid w:val="0013431A"/>
    <w:rsid w:val="00142E10"/>
    <w:rsid w:val="00172C03"/>
    <w:rsid w:val="00177FC0"/>
    <w:rsid w:val="0018434E"/>
    <w:rsid w:val="00186B93"/>
    <w:rsid w:val="0019069D"/>
    <w:rsid w:val="00191191"/>
    <w:rsid w:val="00193B39"/>
    <w:rsid w:val="001D1A9E"/>
    <w:rsid w:val="0020178C"/>
    <w:rsid w:val="0020221F"/>
    <w:rsid w:val="00206EFD"/>
    <w:rsid w:val="002070A7"/>
    <w:rsid w:val="00214963"/>
    <w:rsid w:val="0024244F"/>
    <w:rsid w:val="00244454"/>
    <w:rsid w:val="002476D5"/>
    <w:rsid w:val="00254EA8"/>
    <w:rsid w:val="002613CD"/>
    <w:rsid w:val="00273D08"/>
    <w:rsid w:val="00296E14"/>
    <w:rsid w:val="002D5A26"/>
    <w:rsid w:val="002E6299"/>
    <w:rsid w:val="00306DDA"/>
    <w:rsid w:val="00310254"/>
    <w:rsid w:val="00347138"/>
    <w:rsid w:val="003574BF"/>
    <w:rsid w:val="00365B72"/>
    <w:rsid w:val="00383DDA"/>
    <w:rsid w:val="00394A18"/>
    <w:rsid w:val="003A5081"/>
    <w:rsid w:val="003A594C"/>
    <w:rsid w:val="003D2D83"/>
    <w:rsid w:val="004208FA"/>
    <w:rsid w:val="00422819"/>
    <w:rsid w:val="004252B8"/>
    <w:rsid w:val="00434AC0"/>
    <w:rsid w:val="0045686C"/>
    <w:rsid w:val="0046742F"/>
    <w:rsid w:val="00482328"/>
    <w:rsid w:val="00482E07"/>
    <w:rsid w:val="00487641"/>
    <w:rsid w:val="0049274A"/>
    <w:rsid w:val="0049720D"/>
    <w:rsid w:val="004A7C17"/>
    <w:rsid w:val="004A7FFB"/>
    <w:rsid w:val="004C1D25"/>
    <w:rsid w:val="004E3EFB"/>
    <w:rsid w:val="004E4E63"/>
    <w:rsid w:val="0051060C"/>
    <w:rsid w:val="00521A08"/>
    <w:rsid w:val="005327E5"/>
    <w:rsid w:val="00535AC9"/>
    <w:rsid w:val="00536638"/>
    <w:rsid w:val="0054007B"/>
    <w:rsid w:val="0054424D"/>
    <w:rsid w:val="005567BF"/>
    <w:rsid w:val="00557090"/>
    <w:rsid w:val="0056199E"/>
    <w:rsid w:val="005A3577"/>
    <w:rsid w:val="005A3FFA"/>
    <w:rsid w:val="005A4878"/>
    <w:rsid w:val="005A70D4"/>
    <w:rsid w:val="005E0EE9"/>
    <w:rsid w:val="005F1B25"/>
    <w:rsid w:val="00606771"/>
    <w:rsid w:val="00617781"/>
    <w:rsid w:val="0062144E"/>
    <w:rsid w:val="006252B3"/>
    <w:rsid w:val="0063669B"/>
    <w:rsid w:val="006722E5"/>
    <w:rsid w:val="00673157"/>
    <w:rsid w:val="006833BE"/>
    <w:rsid w:val="00686D69"/>
    <w:rsid w:val="00687AE7"/>
    <w:rsid w:val="006A2E3D"/>
    <w:rsid w:val="006A41F6"/>
    <w:rsid w:val="006E60CA"/>
    <w:rsid w:val="006F64CD"/>
    <w:rsid w:val="00702CCC"/>
    <w:rsid w:val="00734485"/>
    <w:rsid w:val="0073638C"/>
    <w:rsid w:val="007448DB"/>
    <w:rsid w:val="00765DED"/>
    <w:rsid w:val="007675CE"/>
    <w:rsid w:val="007678FB"/>
    <w:rsid w:val="00770FA0"/>
    <w:rsid w:val="007713EC"/>
    <w:rsid w:val="00771877"/>
    <w:rsid w:val="00791949"/>
    <w:rsid w:val="007A31FB"/>
    <w:rsid w:val="007E1183"/>
    <w:rsid w:val="007F51FE"/>
    <w:rsid w:val="00836CE5"/>
    <w:rsid w:val="008427D2"/>
    <w:rsid w:val="008507D6"/>
    <w:rsid w:val="00851BE2"/>
    <w:rsid w:val="0089608D"/>
    <w:rsid w:val="008A1D0A"/>
    <w:rsid w:val="008B608C"/>
    <w:rsid w:val="008D4871"/>
    <w:rsid w:val="008F0B43"/>
    <w:rsid w:val="0092431A"/>
    <w:rsid w:val="009350FB"/>
    <w:rsid w:val="00965E1A"/>
    <w:rsid w:val="00997E1D"/>
    <w:rsid w:val="009A63BD"/>
    <w:rsid w:val="009A6AE4"/>
    <w:rsid w:val="009C71D4"/>
    <w:rsid w:val="009F7475"/>
    <w:rsid w:val="00A037CF"/>
    <w:rsid w:val="00A0698A"/>
    <w:rsid w:val="00A547D6"/>
    <w:rsid w:val="00A561D3"/>
    <w:rsid w:val="00A575AC"/>
    <w:rsid w:val="00A61E5D"/>
    <w:rsid w:val="00A667B4"/>
    <w:rsid w:val="00AA13B8"/>
    <w:rsid w:val="00AC5DD9"/>
    <w:rsid w:val="00AD169D"/>
    <w:rsid w:val="00AD290F"/>
    <w:rsid w:val="00AD4D39"/>
    <w:rsid w:val="00AF16F4"/>
    <w:rsid w:val="00B046ED"/>
    <w:rsid w:val="00B243B9"/>
    <w:rsid w:val="00B3106A"/>
    <w:rsid w:val="00B332F8"/>
    <w:rsid w:val="00B40500"/>
    <w:rsid w:val="00B51921"/>
    <w:rsid w:val="00B554DD"/>
    <w:rsid w:val="00B57FB8"/>
    <w:rsid w:val="00B86F72"/>
    <w:rsid w:val="00B95256"/>
    <w:rsid w:val="00BC5DF7"/>
    <w:rsid w:val="00BD7B88"/>
    <w:rsid w:val="00BE40C6"/>
    <w:rsid w:val="00C03241"/>
    <w:rsid w:val="00C05F3C"/>
    <w:rsid w:val="00C14E8E"/>
    <w:rsid w:val="00C20CB5"/>
    <w:rsid w:val="00C27145"/>
    <w:rsid w:val="00C315EC"/>
    <w:rsid w:val="00C47189"/>
    <w:rsid w:val="00C62B1E"/>
    <w:rsid w:val="00C62E0C"/>
    <w:rsid w:val="00C662D8"/>
    <w:rsid w:val="00C765A9"/>
    <w:rsid w:val="00C9430E"/>
    <w:rsid w:val="00CA33C8"/>
    <w:rsid w:val="00CC12DA"/>
    <w:rsid w:val="00CC3106"/>
    <w:rsid w:val="00D05710"/>
    <w:rsid w:val="00D21E7A"/>
    <w:rsid w:val="00D21F02"/>
    <w:rsid w:val="00D258D3"/>
    <w:rsid w:val="00D27445"/>
    <w:rsid w:val="00D36BD3"/>
    <w:rsid w:val="00D42C87"/>
    <w:rsid w:val="00D66314"/>
    <w:rsid w:val="00DA2539"/>
    <w:rsid w:val="00DB06B9"/>
    <w:rsid w:val="00DB0DEB"/>
    <w:rsid w:val="00DF30A2"/>
    <w:rsid w:val="00E35000"/>
    <w:rsid w:val="00E43434"/>
    <w:rsid w:val="00E44B1D"/>
    <w:rsid w:val="00E472FF"/>
    <w:rsid w:val="00E5126A"/>
    <w:rsid w:val="00E531FD"/>
    <w:rsid w:val="00E81E90"/>
    <w:rsid w:val="00E84D39"/>
    <w:rsid w:val="00EA64A5"/>
    <w:rsid w:val="00EC4453"/>
    <w:rsid w:val="00ED0D26"/>
    <w:rsid w:val="00ED1467"/>
    <w:rsid w:val="00ED472B"/>
    <w:rsid w:val="00EE0D5E"/>
    <w:rsid w:val="00EE10BC"/>
    <w:rsid w:val="00EF151E"/>
    <w:rsid w:val="00F03F01"/>
    <w:rsid w:val="00F12C1A"/>
    <w:rsid w:val="00F132CB"/>
    <w:rsid w:val="00F1607D"/>
    <w:rsid w:val="00F27DB6"/>
    <w:rsid w:val="00F8449F"/>
    <w:rsid w:val="00FA3F72"/>
    <w:rsid w:val="00FC1095"/>
    <w:rsid w:val="00FC1D4E"/>
    <w:rsid w:val="00FC5952"/>
    <w:rsid w:val="00FD488A"/>
    <w:rsid w:val="00FE61F9"/>
    <w:rsid w:val="00FF03A5"/>
    <w:rsid w:val="029226E2"/>
    <w:rsid w:val="02CC4935"/>
    <w:rsid w:val="03063E06"/>
    <w:rsid w:val="07A330EF"/>
    <w:rsid w:val="0D807E06"/>
    <w:rsid w:val="0DC75D2B"/>
    <w:rsid w:val="0EBD2371"/>
    <w:rsid w:val="0F40007A"/>
    <w:rsid w:val="0F4C05FA"/>
    <w:rsid w:val="126C6731"/>
    <w:rsid w:val="1362144A"/>
    <w:rsid w:val="1C1816D3"/>
    <w:rsid w:val="1CF025A9"/>
    <w:rsid w:val="27AD6986"/>
    <w:rsid w:val="2A6B4BBC"/>
    <w:rsid w:val="2D8C0434"/>
    <w:rsid w:val="2E394242"/>
    <w:rsid w:val="2E3F5900"/>
    <w:rsid w:val="33426F5E"/>
    <w:rsid w:val="372226B2"/>
    <w:rsid w:val="415973BB"/>
    <w:rsid w:val="41B12486"/>
    <w:rsid w:val="42577E71"/>
    <w:rsid w:val="42F27D13"/>
    <w:rsid w:val="47F250F5"/>
    <w:rsid w:val="4F9667B6"/>
    <w:rsid w:val="4F9B6910"/>
    <w:rsid w:val="5087127B"/>
    <w:rsid w:val="51CA5654"/>
    <w:rsid w:val="56371DD9"/>
    <w:rsid w:val="5A802114"/>
    <w:rsid w:val="5B1F15F5"/>
    <w:rsid w:val="5ECC6B94"/>
    <w:rsid w:val="61F878E1"/>
    <w:rsid w:val="6CA81D9E"/>
    <w:rsid w:val="715F1190"/>
    <w:rsid w:val="73273C73"/>
    <w:rsid w:val="792C73C7"/>
    <w:rsid w:val="7A7F2B18"/>
    <w:rsid w:val="7EEC08D3"/>
    <w:rsid w:val="7EEF7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autoRedefine/>
    <w:qFormat/>
    <w:uiPriority w:val="20"/>
    <w:rPr>
      <w:i/>
    </w:rPr>
  </w:style>
  <w:style w:type="character" w:styleId="9">
    <w:name w:val="Hyperlink"/>
    <w:autoRedefine/>
    <w:qFormat/>
    <w:uiPriority w:val="0"/>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autoRedefine/>
    <w:qFormat/>
    <w:uiPriority w:val="34"/>
    <w:pPr>
      <w:ind w:firstLine="420" w:firstLineChars="200"/>
    </w:pPr>
  </w:style>
  <w:style w:type="character" w:customStyle="1" w:styleId="13">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4231B-FEE2-4621-AA1C-9EFC4FD7CE35}">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1872</Words>
  <Characters>2052</Characters>
  <Lines>15</Lines>
  <Paragraphs>4</Paragraphs>
  <TotalTime>26</TotalTime>
  <ScaleCrop>false</ScaleCrop>
  <LinksUpToDate>false</LinksUpToDate>
  <CharactersWithSpaces>2085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2023-10-31T06:30:00Z</dcterms:created>
  <dc:creator>qy</dc:creator>
  <cp:lastModifiedBy>王海霞</cp:lastModifiedBy>
  <cp:lastPrinted>2017-05-15T03:21:00Z</cp:lastPrinted>
  <dcterms:modified xsi:type="dcterms:W3CDTF">2024-09-06T08:47:23Z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0AE9AA42249F4402A1AE7F0ECE9B1F7C_13</vt:lpwstr>
  </property>
</Properties>
</file>