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C90C">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深圳市三旺通信股份有限公司</w:t>
      </w:r>
    </w:p>
    <w:p w14:paraId="19E3118B">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投资者关系活动记录表</w:t>
      </w:r>
    </w:p>
    <w:p w14:paraId="4CFA52AE">
      <w:pPr>
        <w:spacing w:after="240" w:afterLines="10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（2</w:t>
      </w:r>
      <w:r>
        <w:rPr>
          <w:rFonts w:ascii="宋体" w:hAnsi="宋体" w:eastAsia="宋体" w:cs="宋体"/>
          <w:b/>
          <w:bCs/>
          <w:sz w:val="32"/>
          <w:szCs w:val="24"/>
        </w:rPr>
        <w:t>02</w:t>
      </w:r>
      <w:r>
        <w:rPr>
          <w:rFonts w:hint="eastAsia" w:ascii="宋体" w:hAnsi="宋体" w:eastAsia="宋体" w:cs="宋体"/>
          <w:b/>
          <w:bCs/>
          <w:sz w:val="32"/>
          <w:szCs w:val="24"/>
          <w:lang w:val="en-US"/>
        </w:rPr>
        <w:t>4</w:t>
      </w:r>
      <w:r>
        <w:rPr>
          <w:rFonts w:hint="eastAsia" w:ascii="宋体" w:hAnsi="宋体" w:eastAsia="宋体" w:cs="宋体"/>
          <w:b/>
          <w:bCs/>
          <w:sz w:val="32"/>
          <w:szCs w:val="24"/>
        </w:rPr>
        <w:t>年</w:t>
      </w:r>
      <w:r>
        <w:rPr>
          <w:rFonts w:hint="eastAsia" w:ascii="宋体" w:hAnsi="宋体" w:eastAsia="宋体" w:cs="宋体"/>
          <w:b/>
          <w:bCs/>
          <w:sz w:val="32"/>
          <w:szCs w:val="24"/>
          <w:lang w:val="en-US" w:eastAsia="zh-CN"/>
        </w:rPr>
        <w:t>9</w:t>
      </w:r>
      <w:r>
        <w:rPr>
          <w:rFonts w:hint="eastAsia" w:ascii="宋体" w:hAnsi="宋体" w:eastAsia="宋体" w:cs="宋体"/>
          <w:b/>
          <w:bCs/>
          <w:sz w:val="32"/>
          <w:szCs w:val="24"/>
        </w:rPr>
        <w:t>月）</w:t>
      </w:r>
    </w:p>
    <w:p w14:paraId="554B4094">
      <w:pPr>
        <w:spacing w:before="50" w:after="240" w:afterLines="100"/>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rPr>
        <w:t xml:space="preserve">证券简称：三旺通信 </w:t>
      </w:r>
      <w:r>
        <w:rPr>
          <w:rFonts w:ascii="宋体" w:hAnsi="宋体" w:eastAsia="宋体" w:cs="宋体"/>
          <w:sz w:val="24"/>
          <w:szCs w:val="24"/>
        </w:rPr>
        <w:t xml:space="preserve">     </w:t>
      </w:r>
      <w:r>
        <w:rPr>
          <w:rFonts w:hint="eastAsia" w:ascii="宋体" w:hAnsi="宋体" w:eastAsia="宋体" w:cs="宋体"/>
          <w:sz w:val="24"/>
          <w:szCs w:val="24"/>
        </w:rPr>
        <w:t>证券代码：6</w:t>
      </w:r>
      <w:r>
        <w:rPr>
          <w:rFonts w:ascii="宋体" w:hAnsi="宋体" w:eastAsia="宋体" w:cs="宋体"/>
          <w:sz w:val="24"/>
          <w:szCs w:val="24"/>
        </w:rPr>
        <w:t>88618</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编号：</w:t>
      </w:r>
      <w:r>
        <w:rPr>
          <w:rFonts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20</w:t>
      </w:r>
    </w:p>
    <w:tbl>
      <w:tblPr>
        <w:tblStyle w:val="12"/>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7812"/>
      </w:tblGrid>
      <w:tr w14:paraId="5A39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898" w:type="pct"/>
            <w:vAlign w:val="center"/>
          </w:tcPr>
          <w:p w14:paraId="226030DA">
            <w:pPr>
              <w:pStyle w:val="20"/>
              <w:ind w:firstLine="482"/>
              <w:jc w:val="center"/>
              <w:rPr>
                <w:rFonts w:hint="eastAsia" w:ascii="宋体" w:hAnsi="宋体" w:eastAsia="宋体" w:cs="宋体"/>
                <w:b/>
                <w:bCs/>
                <w:sz w:val="24"/>
                <w:szCs w:val="24"/>
              </w:rPr>
            </w:pPr>
          </w:p>
          <w:p w14:paraId="7AF65630">
            <w:pPr>
              <w:pStyle w:val="20"/>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4101" w:type="pct"/>
            <w:vAlign w:val="center"/>
          </w:tcPr>
          <w:p w14:paraId="39273654">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2D17F10C">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619A0406">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41188AD">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□现场参观 </w:t>
            </w:r>
            <w:r>
              <w:rPr>
                <w:rFonts w:ascii="宋体" w:hAnsi="宋体" w:eastAsia="宋体" w:cs="宋体"/>
                <w:sz w:val="24"/>
                <w:szCs w:val="24"/>
              </w:rPr>
              <w:t xml:space="preserve">     </w:t>
            </w:r>
            <w:r>
              <w:rPr>
                <w:rFonts w:hint="eastAsia" w:ascii="宋体" w:hAnsi="宋体" w:eastAsia="宋体" w:cs="宋体"/>
                <w:sz w:val="24"/>
                <w:szCs w:val="24"/>
              </w:rPr>
              <w:t>■其他（</w:t>
            </w:r>
            <w:r>
              <w:rPr>
                <w:rFonts w:hint="eastAsia" w:ascii="宋体" w:hAnsi="宋体" w:eastAsia="宋体" w:cs="宋体"/>
                <w:sz w:val="24"/>
                <w:szCs w:val="24"/>
                <w:lang w:val="en-US"/>
              </w:rPr>
              <w:t>电话会议</w:t>
            </w:r>
            <w:r>
              <w:rPr>
                <w:rFonts w:hint="eastAsia" w:ascii="宋体" w:hAnsi="宋体" w:eastAsia="宋体" w:cs="宋体"/>
                <w:sz w:val="24"/>
                <w:szCs w:val="24"/>
                <w:lang w:val="en-US" w:eastAsia="zh-CN"/>
              </w:rPr>
              <w:t>、券商策略会</w:t>
            </w:r>
            <w:r>
              <w:rPr>
                <w:rFonts w:hint="eastAsia" w:ascii="宋体" w:hAnsi="宋体" w:eastAsia="宋体" w:cs="宋体"/>
                <w:sz w:val="24"/>
                <w:szCs w:val="24"/>
              </w:rPr>
              <w:t>）</w:t>
            </w:r>
          </w:p>
        </w:tc>
      </w:tr>
      <w:tr w14:paraId="647C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98" w:type="pct"/>
            <w:vAlign w:val="center"/>
          </w:tcPr>
          <w:p w14:paraId="37E4E239">
            <w:pPr>
              <w:pStyle w:val="20"/>
              <w:ind w:left="241" w:hanging="241" w:hangingChars="100"/>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4101" w:type="pct"/>
            <w:vAlign w:val="center"/>
          </w:tcPr>
          <w:tbl>
            <w:tblPr>
              <w:tblStyle w:val="12"/>
              <w:tblW w:w="7227" w:type="dxa"/>
              <w:tblInd w:w="274" w:type="dxa"/>
              <w:tblLayout w:type="fixed"/>
              <w:tblCellMar>
                <w:top w:w="0" w:type="dxa"/>
                <w:left w:w="108" w:type="dxa"/>
                <w:bottom w:w="0" w:type="dxa"/>
                <w:right w:w="108" w:type="dxa"/>
              </w:tblCellMar>
            </w:tblPr>
            <w:tblGrid>
              <w:gridCol w:w="4256"/>
              <w:gridCol w:w="2971"/>
            </w:tblGrid>
            <w:tr w14:paraId="679DB852">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835">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汇丰晋信基金管理有限公司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B13">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李凡</w:t>
                  </w:r>
                </w:p>
              </w:tc>
            </w:tr>
            <w:tr w14:paraId="50AD2493">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F72F">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信达澳亚基金管理有限公司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BA1">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郭敏</w:t>
                  </w:r>
                </w:p>
              </w:tc>
            </w:tr>
            <w:tr w14:paraId="1A82B41D">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7AA">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恒越基金管理有限公司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BD6">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陈宇翔</w:t>
                  </w:r>
                </w:p>
              </w:tc>
            </w:tr>
            <w:tr w14:paraId="62DBB740">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DF62">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富安达基金管理有限公司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623B">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朱义</w:t>
                  </w:r>
                </w:p>
              </w:tc>
            </w:tr>
            <w:tr w14:paraId="3611B668">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670F">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博时基金管理有限公司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AE32">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谢泽林</w:t>
                  </w:r>
                </w:p>
              </w:tc>
            </w:tr>
            <w:tr w14:paraId="14FF1EE1">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86A">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鹏华基金管理有限公司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4014">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周书臣</w:t>
                  </w:r>
                </w:p>
              </w:tc>
            </w:tr>
            <w:tr w14:paraId="535BA85C">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0867">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rPr>
                    <w:t>华富基金</w:t>
                  </w:r>
                  <w:r>
                    <w:rPr>
                      <w:rFonts w:hint="eastAsia" w:ascii="宋体" w:hAnsi="宋体" w:eastAsia="宋体" w:cs="宋体"/>
                      <w:color w:val="000000"/>
                      <w:sz w:val="22"/>
                      <w:szCs w:val="22"/>
                      <w:lang w:val="en-US" w:eastAsia="zh-CN"/>
                    </w:rPr>
                    <w:t>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1A74">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姚明昊</w:t>
                  </w:r>
                </w:p>
              </w:tc>
            </w:tr>
            <w:tr w14:paraId="583A4BA4">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A22">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南方基金管理股份有限公司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8BA5">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李响</w:t>
                  </w:r>
                </w:p>
              </w:tc>
            </w:tr>
            <w:tr w14:paraId="56FCF0E1">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BD5C">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工银瑞信基金管理有限公司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AC77">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刘展硕</w:t>
                  </w:r>
                </w:p>
              </w:tc>
            </w:tr>
            <w:tr w14:paraId="27C3EB51">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0849">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循远资产管理(上海)有限公司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F3C">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毛文静</w:t>
                  </w:r>
                </w:p>
              </w:tc>
            </w:tr>
            <w:tr w14:paraId="0447AD85">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048">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华晨资产管理有限公司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B334">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唐毅</w:t>
                  </w:r>
                </w:p>
              </w:tc>
            </w:tr>
            <w:tr w14:paraId="2DE6871D">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E26">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宏利资产管理有限公司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E68C">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李文琳</w:t>
                  </w:r>
                </w:p>
              </w:tc>
            </w:tr>
            <w:tr w14:paraId="04795D41">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6DC2">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磐厚动量(上海)资本管理有限公司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95D7">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胡建芳</w:t>
                  </w:r>
                </w:p>
              </w:tc>
            </w:tr>
            <w:tr w14:paraId="7EBB9463">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0847">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东方红资产管理有限公司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EAC1">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张明宇</w:t>
                  </w:r>
                </w:p>
              </w:tc>
            </w:tr>
            <w:tr w14:paraId="062BE005">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9B32">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上海鹏石投资管理有限公司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7C7C">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武若愚</w:t>
                  </w:r>
                </w:p>
              </w:tc>
            </w:tr>
            <w:tr w14:paraId="6BC7FF60">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2EF3">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深圳市达晨财智创业投资管理有限公司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1EC7">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江婧尧</w:t>
                  </w:r>
                </w:p>
              </w:tc>
            </w:tr>
            <w:tr w14:paraId="0DED1A47">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48CA">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深圳市远致富海投资管理有限公司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B88C">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林蓓</w:t>
                  </w:r>
                </w:p>
              </w:tc>
            </w:tr>
            <w:tr w14:paraId="42155329">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0472">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前海人寿保险股份有限公司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FCAA">
                  <w:pPr>
                    <w:widowControl/>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rPr>
                    <w:t>张艺</w:t>
                  </w:r>
                  <w:r>
                    <w:rPr>
                      <w:rFonts w:hint="eastAsia" w:ascii="宋体" w:hAnsi="宋体" w:eastAsia="宋体" w:cs="宋体"/>
                      <w:color w:val="000000"/>
                      <w:sz w:val="22"/>
                      <w:szCs w:val="22"/>
                      <w:lang w:val="en-US" w:eastAsia="zh-CN"/>
                    </w:rPr>
                    <w:t>、梁廷</w:t>
                  </w:r>
                </w:p>
              </w:tc>
            </w:tr>
            <w:tr w14:paraId="36C3C63D">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C038">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首创证券股份有限</w:t>
                  </w:r>
                  <w:bookmarkStart w:id="0" w:name="_GoBack"/>
                  <w:bookmarkEnd w:id="0"/>
                  <w:r>
                    <w:rPr>
                      <w:rFonts w:hint="eastAsia" w:ascii="宋体" w:hAnsi="宋体" w:eastAsia="宋体" w:cs="宋体"/>
                      <w:color w:val="000000"/>
                      <w:sz w:val="22"/>
                      <w:szCs w:val="22"/>
                      <w:lang w:val="en-US"/>
                    </w:rPr>
                    <w:t>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CF68">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孙少艾</w:t>
                  </w:r>
                </w:p>
              </w:tc>
            </w:tr>
            <w:tr w14:paraId="7BD92812">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6E0">
                  <w:pPr>
                    <w:widowControl/>
                    <w:textAlignment w:val="center"/>
                    <w:rPr>
                      <w:rFonts w:hint="default" w:ascii="宋体" w:hAnsi="宋体" w:eastAsia="宋体" w:cs="宋体"/>
                      <w:color w:val="000000"/>
                      <w:sz w:val="22"/>
                      <w:szCs w:val="22"/>
                      <w:lang w:val="en-US" w:eastAsia="zh-CN"/>
                    </w:rPr>
                  </w:pPr>
                  <w:r>
                    <w:rPr>
                      <w:rFonts w:ascii="宋体" w:hAnsi="宋体" w:eastAsia="宋体" w:cs="宋体"/>
                      <w:sz w:val="22"/>
                      <w:szCs w:val="22"/>
                    </w:rPr>
                    <w:t>长江证券</w:t>
                  </w:r>
                  <w:r>
                    <w:rPr>
                      <w:rFonts w:hint="eastAsia" w:ascii="宋体" w:hAnsi="宋体" w:eastAsia="宋体" w:cs="宋体"/>
                      <w:sz w:val="22"/>
                      <w:szCs w:val="22"/>
                      <w:lang w:val="en-US" w:eastAsia="zh-CN"/>
                    </w:rPr>
                    <w:t>股份有限公司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94CA">
                  <w:pPr>
                    <w:widowControl/>
                    <w:textAlignment w:val="center"/>
                    <w:rPr>
                      <w:rFonts w:hint="eastAsia" w:ascii="宋体" w:hAnsi="宋体" w:eastAsia="宋体" w:cs="宋体"/>
                      <w:color w:val="000000"/>
                      <w:sz w:val="22"/>
                      <w:szCs w:val="22"/>
                      <w:lang w:val="en-US"/>
                    </w:rPr>
                  </w:pPr>
                  <w:r>
                    <w:rPr>
                      <w:rFonts w:ascii="宋体" w:hAnsi="宋体" w:eastAsia="宋体" w:cs="宋体"/>
                      <w:sz w:val="22"/>
                      <w:szCs w:val="22"/>
                    </w:rPr>
                    <w:t>黄天佑</w:t>
                  </w:r>
                </w:p>
              </w:tc>
            </w:tr>
            <w:tr w14:paraId="0C4CADB7">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B0E">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国信证券股份有限公司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61CD">
                  <w:pPr>
                    <w:widowControl/>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袁文翀</w:t>
                  </w:r>
                </w:p>
              </w:tc>
            </w:tr>
            <w:tr w14:paraId="699CC4D2">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AC7">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华泰证券股份有限公司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C593">
                  <w:pPr>
                    <w:widowControl/>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王珂</w:t>
                  </w:r>
                </w:p>
              </w:tc>
            </w:tr>
          </w:tbl>
          <w:p w14:paraId="519C7E01">
            <w:pPr>
              <w:pStyle w:val="20"/>
              <w:jc w:val="both"/>
              <w:rPr>
                <w:rFonts w:hint="eastAsia" w:ascii="宋体" w:hAnsi="宋体" w:eastAsia="宋体" w:cs="宋体"/>
                <w:sz w:val="24"/>
                <w:szCs w:val="24"/>
              </w:rPr>
            </w:pPr>
          </w:p>
        </w:tc>
      </w:tr>
      <w:tr w14:paraId="31E7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98" w:type="pct"/>
            <w:vAlign w:val="center"/>
          </w:tcPr>
          <w:p w14:paraId="393E37EA">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101" w:type="pct"/>
            <w:vAlign w:val="center"/>
          </w:tcPr>
          <w:p w14:paraId="475C350F">
            <w:pPr>
              <w:pStyle w:val="20"/>
              <w:ind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rPr>
              <w:t>2</w:t>
            </w:r>
            <w:r>
              <w:rPr>
                <w:rFonts w:ascii="宋体" w:hAnsi="宋体" w:eastAsia="宋体" w:cs="宋体"/>
                <w:sz w:val="24"/>
                <w:szCs w:val="24"/>
              </w:rPr>
              <w:t>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4日、5</w:t>
            </w:r>
            <w:r>
              <w:rPr>
                <w:rFonts w:hint="eastAsia" w:ascii="宋体" w:hAnsi="宋体" w:eastAsia="宋体" w:cs="宋体"/>
                <w:sz w:val="24"/>
                <w:szCs w:val="24"/>
                <w:lang w:val="en-US"/>
              </w:rPr>
              <w:t>日</w:t>
            </w:r>
          </w:p>
        </w:tc>
      </w:tr>
      <w:tr w14:paraId="516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98" w:type="pct"/>
            <w:vAlign w:val="center"/>
          </w:tcPr>
          <w:p w14:paraId="31EE062C">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地点</w:t>
            </w:r>
          </w:p>
        </w:tc>
        <w:tc>
          <w:tcPr>
            <w:tcW w:w="4101" w:type="pct"/>
            <w:vAlign w:val="center"/>
          </w:tcPr>
          <w:p w14:paraId="3B318846">
            <w:pPr>
              <w:pStyle w:val="20"/>
              <w:ind w:firstLine="48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深圳</w:t>
            </w:r>
          </w:p>
        </w:tc>
      </w:tr>
      <w:tr w14:paraId="3702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98" w:type="pct"/>
            <w:vAlign w:val="center"/>
          </w:tcPr>
          <w:p w14:paraId="2930A183">
            <w:pPr>
              <w:pStyle w:val="20"/>
              <w:rPr>
                <w:rFonts w:hint="eastAsia" w:ascii="宋体" w:hAnsi="宋体" w:eastAsia="宋体" w:cs="宋体"/>
                <w:b/>
                <w:bCs/>
                <w:sz w:val="24"/>
                <w:szCs w:val="24"/>
              </w:rPr>
            </w:pPr>
            <w:r>
              <w:rPr>
                <w:rFonts w:hint="eastAsia" w:ascii="宋体" w:hAnsi="宋体" w:eastAsia="宋体" w:cs="宋体"/>
                <w:b/>
                <w:bCs/>
                <w:sz w:val="24"/>
                <w:szCs w:val="24"/>
              </w:rPr>
              <w:t>公司接待人员</w:t>
            </w:r>
          </w:p>
          <w:p w14:paraId="6AF30631">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姓名</w:t>
            </w:r>
          </w:p>
        </w:tc>
        <w:tc>
          <w:tcPr>
            <w:tcW w:w="4101" w:type="pct"/>
            <w:vAlign w:val="bottom"/>
          </w:tcPr>
          <w:p w14:paraId="62DD840C">
            <w:pPr>
              <w:pStyle w:val="20"/>
              <w:spacing w:line="360" w:lineRule="auto"/>
              <w:ind w:firstLine="482"/>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董事会秘书：熊莹莹 </w:t>
            </w:r>
          </w:p>
        </w:tc>
      </w:tr>
      <w:tr w14:paraId="658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98" w:type="pct"/>
            <w:vAlign w:val="center"/>
          </w:tcPr>
          <w:p w14:paraId="746E3CA4">
            <w:pPr>
              <w:pStyle w:val="20"/>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4101" w:type="pct"/>
            <w:vAlign w:val="center"/>
          </w:tcPr>
          <w:p w14:paraId="63315C7C">
            <w:pPr>
              <w:spacing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问题1</w:t>
            </w:r>
            <w:r>
              <w:rPr>
                <w:rFonts w:ascii="宋体" w:hAnsi="宋体" w:eastAsia="宋体" w:cs="宋体"/>
                <w:b/>
                <w:bCs/>
                <w:sz w:val="24"/>
                <w:szCs w:val="24"/>
                <w:lang w:val="en-US"/>
              </w:rPr>
              <w:t>：</w:t>
            </w:r>
            <w:r>
              <w:rPr>
                <w:rFonts w:hint="eastAsia" w:ascii="宋体" w:hAnsi="宋体" w:eastAsia="宋体" w:cs="宋体"/>
                <w:b/>
                <w:bCs/>
                <w:sz w:val="24"/>
                <w:szCs w:val="24"/>
                <w:lang w:val="en-US" w:eastAsia="zh-CN"/>
              </w:rPr>
              <w:t>2024年上半年公司营业收入下滑的原因以及解决方案类业务之后的规划</w:t>
            </w:r>
            <w:r>
              <w:rPr>
                <w:rFonts w:hint="eastAsia" w:ascii="宋体" w:hAnsi="宋体" w:eastAsia="宋体" w:cs="宋体"/>
                <w:b/>
                <w:bCs/>
                <w:sz w:val="24"/>
                <w:szCs w:val="24"/>
                <w:lang w:val="en-US"/>
              </w:rPr>
              <w:t>？</w:t>
            </w:r>
          </w:p>
          <w:p w14:paraId="0CC6CC06">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w:t>
            </w:r>
            <w:r>
              <w:rPr>
                <w:rFonts w:hint="eastAsia" w:ascii="宋体" w:hAnsi="宋体" w:eastAsia="宋体" w:cs="宋体"/>
                <w:sz w:val="24"/>
                <w:szCs w:val="24"/>
                <w:lang w:val="en-US" w:eastAsia="zh-CN"/>
              </w:rPr>
              <w:t>2024年上半年，公司营业收入较上年同期降低21.41%，主要原因是受复杂经济环境和下游需求波动的影响，公司有选择性地推进解决方案类业务的发展，以确保资源的有效配置和业务的长远发展，导致上半年解决方案类业务订单量同比减少，且部分解决方案类项目实施周期较长，项目进度延后或验收推迟，这在一定程度上影响了上半年的营收表现。公司计划由过往单一的通信产品提供商转变为场景化的软硬件产品解决方案提供商，这是需要一定周期的，未来公司将积极应对技术快速迭代、市场需求多变等挑战，采取灵活的市场策略，持续优化产品线，并通过与客户的紧密合作，深入了解并满足客户的需求。</w:t>
            </w:r>
          </w:p>
          <w:p w14:paraId="10A1E544">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问题2：</w:t>
            </w:r>
            <w:r>
              <w:rPr>
                <w:rFonts w:hint="eastAsia" w:ascii="宋体" w:hAnsi="宋体" w:eastAsia="宋体" w:cs="宋体"/>
                <w:b/>
                <w:bCs/>
                <w:sz w:val="24"/>
                <w:szCs w:val="24"/>
                <w:lang w:val="en-US" w:eastAsia="zh-CN"/>
              </w:rPr>
              <w:t>请问公司在手订单情况以及订单的交付周期如何</w:t>
            </w:r>
            <w:r>
              <w:rPr>
                <w:rFonts w:hint="eastAsia" w:ascii="宋体" w:hAnsi="宋体" w:eastAsia="宋体" w:cs="宋体"/>
                <w:b/>
                <w:bCs/>
                <w:sz w:val="24"/>
                <w:szCs w:val="24"/>
                <w:lang w:val="en-US"/>
              </w:rPr>
              <w:t>？</w:t>
            </w:r>
          </w:p>
          <w:p w14:paraId="52ED1545">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w:t>
            </w:r>
            <w:r>
              <w:rPr>
                <w:rFonts w:hint="eastAsia" w:ascii="宋体" w:hAnsi="宋体" w:eastAsia="宋体" w:cs="宋体"/>
                <w:sz w:val="24"/>
                <w:szCs w:val="24"/>
                <w:lang w:val="en-US" w:eastAsia="zh-CN"/>
              </w:rPr>
              <w:t>公司主营业务订单交付时间周期一般较短，从执行到回款最快2-3个月，主要视客户项目及行业场景不同而有所差异，具体交付时间与客户项目时间有关。截至目前，公司在手订单较为充裕。</w:t>
            </w:r>
          </w:p>
          <w:p w14:paraId="59EDBE37">
            <w:pPr>
              <w:spacing w:line="360" w:lineRule="auto"/>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问题3：</w:t>
            </w:r>
            <w:r>
              <w:rPr>
                <w:rFonts w:hint="eastAsia" w:ascii="宋体" w:hAnsi="宋体" w:eastAsia="宋体" w:cs="宋体"/>
                <w:b/>
                <w:bCs/>
                <w:sz w:val="24"/>
                <w:szCs w:val="24"/>
                <w:lang w:val="en-US" w:eastAsia="zh-CN"/>
              </w:rPr>
              <w:t>公司海外业务目前的情况如何</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未来的规划是怎样的？</w:t>
            </w:r>
          </w:p>
          <w:p w14:paraId="57E9C886">
            <w:pPr>
              <w:spacing w:line="360" w:lineRule="auto"/>
              <w:ind w:firstLine="480" w:firstLineChars="200"/>
              <w:jc w:val="both"/>
              <w:rPr>
                <w:rFonts w:hint="default" w:ascii="宋体" w:hAnsi="宋体" w:eastAsia="宋体" w:cs="宋体"/>
                <w:sz w:val="24"/>
                <w:szCs w:val="24"/>
                <w:lang w:val="en-US" w:eastAsia="zh-CN"/>
              </w:rPr>
            </w:pPr>
            <w:r>
              <w:rPr>
                <w:rFonts w:ascii="宋体" w:hAnsi="宋体" w:eastAsia="宋体" w:cs="宋体"/>
                <w:sz w:val="24"/>
                <w:szCs w:val="24"/>
                <w:lang w:val="en-US"/>
              </w:rPr>
              <w:t>回复：</w:t>
            </w:r>
            <w:r>
              <w:rPr>
                <w:rFonts w:hint="eastAsia" w:ascii="宋体" w:hAnsi="宋体" w:eastAsia="宋体" w:cs="宋体"/>
                <w:sz w:val="24"/>
                <w:szCs w:val="24"/>
                <w:lang w:val="en-US"/>
              </w:rPr>
              <w:t>2024年上半年，受全球经济环境影响，公司海外市场业务实现营业收入1,038.63万元，</w:t>
            </w:r>
            <w:r>
              <w:rPr>
                <w:rFonts w:hint="eastAsia" w:ascii="宋体" w:hAnsi="宋体" w:eastAsia="宋体" w:cs="宋体"/>
                <w:sz w:val="24"/>
                <w:szCs w:val="24"/>
                <w:lang w:val="en-US" w:eastAsia="zh-CN"/>
              </w:rPr>
              <w:t>较去年同期下滑。针对当前这种情况，我们仍将继续积极布局海外市场，重点关注东南亚和欧洲地区，寻求业务突破。未来随着外部环境的改善，预计公司海外业务将有所恢复和发展。</w:t>
            </w:r>
          </w:p>
          <w:p w14:paraId="6C21E073">
            <w:pPr>
              <w:pStyle w:val="21"/>
              <w:autoSpaceDE/>
              <w:autoSpaceDN/>
              <w:spacing w:line="360" w:lineRule="auto"/>
              <w:ind w:firstLine="482"/>
              <w:jc w:val="both"/>
              <w:rPr>
                <w:rFonts w:hint="default" w:ascii="宋体" w:hAnsi="宋体" w:eastAsia="宋体" w:cs="宋体"/>
                <w:b/>
                <w:bCs/>
                <w:sz w:val="24"/>
                <w:szCs w:val="24"/>
                <w:lang w:val="en-US"/>
              </w:rPr>
            </w:pPr>
            <w:r>
              <w:rPr>
                <w:rFonts w:hint="eastAsia" w:ascii="宋体" w:hAnsi="宋体" w:eastAsia="宋体" w:cs="宋体"/>
                <w:b/>
                <w:bCs/>
                <w:sz w:val="24"/>
                <w:szCs w:val="24"/>
                <w:lang w:val="en-US"/>
              </w:rPr>
              <w:t>问题4：</w:t>
            </w:r>
            <w:r>
              <w:rPr>
                <w:rFonts w:hint="eastAsia" w:ascii="宋体" w:hAnsi="宋体" w:eastAsia="宋体" w:cs="宋体"/>
                <w:b/>
                <w:bCs/>
                <w:sz w:val="24"/>
                <w:szCs w:val="24"/>
                <w:lang w:val="en-US" w:eastAsia="zh-CN"/>
              </w:rPr>
              <w:t>公司目前的产品研发情况如何？</w:t>
            </w:r>
          </w:p>
          <w:p w14:paraId="0C81661E">
            <w:pPr>
              <w:pStyle w:val="21"/>
              <w:autoSpaceDE/>
              <w:autoSpaceDN/>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回复：</w:t>
            </w:r>
            <w:r>
              <w:rPr>
                <w:rFonts w:hint="eastAsia" w:ascii="宋体" w:hAnsi="宋体" w:eastAsia="宋体" w:cs="宋体"/>
                <w:sz w:val="24"/>
                <w:szCs w:val="24"/>
                <w:lang w:val="en-US" w:eastAsia="zh-CN"/>
              </w:rPr>
              <w:t>基于工业互联网体系架构3.0，公司完成了以工业网络、工业平台、工业安全、工业AI、工业控制、边缘计算为主体的产品和技术整体布局，打造了全栈式工业互联网解决方案、端到端数字化系统解决方案、HaaS解决方案、端到端TSN解决方案等。根据不同客户、不同应用场景有效地进行灵活定制，围绕系统架构正逐步开发模块化产品技术、SWOS工业交换机操作系统、NOS工业交换机操作系统，持续夯实产品的可靠性、实时性、安全性、稳定性，促进产品高质量提升。在不断加强定制化的同时，公司进一步加大行业专用产品、技术方向的投入，努力掌握工业互联网核心技术与核心装备，突破关键零组件，形成自主可控的工业互联网完整产业链。</w:t>
            </w:r>
          </w:p>
          <w:p w14:paraId="4F19CFD2">
            <w:pPr>
              <w:pStyle w:val="21"/>
              <w:autoSpaceDE/>
              <w:autoSpaceDN/>
              <w:spacing w:line="360" w:lineRule="auto"/>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问题5：按照行业板块划分，公司2024年上半年营收主要来源于哪几个行业板块？</w:t>
            </w:r>
          </w:p>
          <w:p w14:paraId="7D23F57A">
            <w:pPr>
              <w:pStyle w:val="21"/>
              <w:autoSpaceDE/>
              <w:autoSpaceDN/>
              <w:spacing w:line="360" w:lineRule="auto"/>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回</w:t>
            </w:r>
            <w:r>
              <w:rPr>
                <w:rFonts w:hint="eastAsia" w:ascii="宋体" w:hAnsi="宋体" w:eastAsia="宋体" w:cs="宋体"/>
                <w:b w:val="0"/>
                <w:bCs w:val="0"/>
                <w:sz w:val="24"/>
                <w:szCs w:val="24"/>
                <w:lang w:val="en-US" w:eastAsia="zh-CN"/>
              </w:rPr>
              <w:t>复：公司2024年上半年营收主要来源于智慧能源和智慧交通行业，占总营收的比重约为72.05%。其中，智慧能源行业实现营业收入8,218.82万元，占总营收的比重约为52.56%，同比增长24.06%，智慧交通行业实现营业收入3,048.00万元，占总营收的比重约为19.49%。</w:t>
            </w:r>
          </w:p>
          <w:p w14:paraId="31D0F6AD">
            <w:pPr>
              <w:pStyle w:val="21"/>
              <w:autoSpaceDE/>
              <w:autoSpaceDN/>
              <w:spacing w:line="360" w:lineRule="auto"/>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问题6：能否介绍一下公司在智慧矿山行业的应用场景及应用案例情况？</w:t>
            </w:r>
          </w:p>
          <w:p w14:paraId="662FC078">
            <w:pPr>
              <w:pStyle w:val="21"/>
              <w:autoSpaceDE/>
              <w:autoSpaceDN/>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回</w:t>
            </w:r>
            <w:r>
              <w:rPr>
                <w:rFonts w:hint="eastAsia" w:ascii="宋体" w:hAnsi="宋体" w:eastAsia="宋体" w:cs="宋体"/>
                <w:b w:val="0"/>
                <w:bCs w:val="0"/>
                <w:sz w:val="24"/>
                <w:szCs w:val="24"/>
                <w:lang w:val="en-US" w:eastAsia="zh-CN"/>
              </w:rPr>
              <w:t>复：公司在矿业的应用场景包含煤矿、非煤矿山井下自动化、地面监控、尾矿库监测、矿山智能化、智慧矿山、井下六大系统、万兆网络改造、5G融合、智能化采掘系统、精准人员定位系统等。应用案例包含神东大柳塔煤矿、平煤神马集团平禹煤电、朱集东矿、神木张家峁矿业等。其中，神东大柳塔煤矿是全球产煤量最大的井工煤矿，在全国煤炭界率先推行智慧矿山创新建设。三旺通信在该项目中采用环形网络结构，为定位数据提供足够的传输带宽以及极高的冗余性，护航井下定位系统的稳定运行。</w:t>
            </w:r>
          </w:p>
        </w:tc>
      </w:tr>
      <w:tr w14:paraId="48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3C3B5D0A">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附件清单</w:t>
            </w:r>
          </w:p>
          <w:p w14:paraId="19C55A63">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（如有）</w:t>
            </w:r>
          </w:p>
        </w:tc>
        <w:tc>
          <w:tcPr>
            <w:tcW w:w="4101" w:type="pct"/>
            <w:vAlign w:val="center"/>
          </w:tcPr>
          <w:p w14:paraId="3CA0FE3E">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无</w:t>
            </w:r>
          </w:p>
        </w:tc>
      </w:tr>
      <w:tr w14:paraId="25B95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2E0DDFCF">
            <w:pPr>
              <w:pStyle w:val="20"/>
              <w:ind w:firstLine="241" w:firstLineChars="100"/>
              <w:rPr>
                <w:rFonts w:hint="eastAsia" w:ascii="宋体" w:hAnsi="宋体" w:eastAsia="宋体" w:cs="宋体"/>
                <w:b/>
                <w:bCs/>
                <w:sz w:val="24"/>
                <w:szCs w:val="24"/>
                <w:lang w:val="en-US"/>
              </w:rPr>
            </w:pPr>
            <w:r>
              <w:rPr>
                <w:rFonts w:hint="eastAsia" w:ascii="宋体" w:hAnsi="宋体" w:eastAsia="宋体" w:cs="宋体"/>
                <w:b/>
                <w:bCs/>
                <w:sz w:val="24"/>
                <w:szCs w:val="24"/>
                <w:lang w:val="en-US"/>
              </w:rPr>
              <w:t>风险提示</w:t>
            </w:r>
          </w:p>
        </w:tc>
        <w:tc>
          <w:tcPr>
            <w:tcW w:w="4101" w:type="pct"/>
            <w:vAlign w:val="center"/>
          </w:tcPr>
          <w:p w14:paraId="78F50374">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公司郑重提醒广大投资者，以上如涉及对行业发展趋势、公司发展战略规划、未来经营情况等内容的预测，不能视为公司或公司管理层对行业、公司发展的承诺和保证。有关信息请以公司在指定信息披露媒体《中国证券报》《上海证券报》、《证券时报》以及上海证券交易所网站（www.sse.com.cn）披露的相关公告为准，敬请广大投资者注意投资风险。</w:t>
            </w:r>
          </w:p>
        </w:tc>
      </w:tr>
      <w:tr w14:paraId="34E6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98" w:type="pct"/>
            <w:vAlign w:val="center"/>
          </w:tcPr>
          <w:p w14:paraId="105315CB">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日期</w:t>
            </w:r>
          </w:p>
        </w:tc>
        <w:tc>
          <w:tcPr>
            <w:tcW w:w="4101" w:type="pct"/>
            <w:vAlign w:val="center"/>
          </w:tcPr>
          <w:p w14:paraId="2B4EA6E1">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tc>
      </w:tr>
    </w:tbl>
    <w:p w14:paraId="47E46934">
      <w:pPr>
        <w:rPr>
          <w:rFonts w:hint="eastAsia" w:ascii="宋体" w:hAnsi="宋体" w:eastAsia="宋体" w:cs="宋体"/>
          <w:sz w:val="24"/>
          <w:szCs w:val="24"/>
        </w:rPr>
      </w:pPr>
    </w:p>
    <w:sectPr>
      <w:footerReference r:id="rId3" w:type="default"/>
      <w:type w:val="continuous"/>
      <w:pgSz w:w="11910" w:h="16840"/>
      <w:pgMar w:top="1276" w:right="1420" w:bottom="1270" w:left="1276"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29514"/>
    </w:sdtPr>
    <w:sdtContent>
      <w:p w14:paraId="428BF27A">
        <w:pPr>
          <w:pStyle w:val="7"/>
          <w:ind w:firstLine="440"/>
          <w:jc w:val="center"/>
          <w:rPr>
            <w:rFonts w:hint="eastAsia"/>
          </w:rPr>
        </w:pPr>
        <w:r>
          <w:fldChar w:fldCharType="begin"/>
        </w:r>
        <w:r>
          <w:instrText xml:space="preserve">PAGE   \* MERGEFORMAT</w:instrText>
        </w:r>
        <w:r>
          <w:fldChar w:fldCharType="separate"/>
        </w:r>
        <w:r>
          <w:t>3</w:t>
        </w:r>
        <w:r>
          <w:fldChar w:fldCharType="end"/>
        </w:r>
      </w:p>
    </w:sdtContent>
  </w:sdt>
  <w:p w14:paraId="44588A3E">
    <w:pPr>
      <w:ind w:firstLine="44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71FFB"/>
    <w:rsid w:val="003729D3"/>
    <w:rsid w:val="0037434B"/>
    <w:rsid w:val="00374B73"/>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45AB"/>
    <w:rsid w:val="00994841"/>
    <w:rsid w:val="0099541A"/>
    <w:rsid w:val="00995E90"/>
    <w:rsid w:val="00996553"/>
    <w:rsid w:val="009A02C8"/>
    <w:rsid w:val="009A2255"/>
    <w:rsid w:val="009A28E1"/>
    <w:rsid w:val="009A3607"/>
    <w:rsid w:val="009A46B4"/>
    <w:rsid w:val="009A6C5D"/>
    <w:rsid w:val="009B1ADD"/>
    <w:rsid w:val="009B2539"/>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A013C4"/>
    <w:rsid w:val="00A01755"/>
    <w:rsid w:val="00A0191C"/>
    <w:rsid w:val="00A01F99"/>
    <w:rsid w:val="00A03AF4"/>
    <w:rsid w:val="00A05AB9"/>
    <w:rsid w:val="00A062B3"/>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EAD"/>
    <w:rsid w:val="00DD6157"/>
    <w:rsid w:val="00DD63FF"/>
    <w:rsid w:val="00DE02AC"/>
    <w:rsid w:val="00DE17A7"/>
    <w:rsid w:val="00DE19C5"/>
    <w:rsid w:val="00DE420A"/>
    <w:rsid w:val="00DE42FA"/>
    <w:rsid w:val="00DE49F7"/>
    <w:rsid w:val="00DE779C"/>
    <w:rsid w:val="00DF0247"/>
    <w:rsid w:val="00DF52E7"/>
    <w:rsid w:val="00DF6BF5"/>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1E96C2E"/>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97DAC"/>
    <w:rsid w:val="0F4528D8"/>
    <w:rsid w:val="10F7682E"/>
    <w:rsid w:val="11AF3221"/>
    <w:rsid w:val="1203061D"/>
    <w:rsid w:val="12070CAE"/>
    <w:rsid w:val="122E47A2"/>
    <w:rsid w:val="12B5714F"/>
    <w:rsid w:val="12BF6B70"/>
    <w:rsid w:val="15790DC2"/>
    <w:rsid w:val="162752AF"/>
    <w:rsid w:val="16355ED4"/>
    <w:rsid w:val="165840B5"/>
    <w:rsid w:val="168F6536"/>
    <w:rsid w:val="169544FF"/>
    <w:rsid w:val="175020E4"/>
    <w:rsid w:val="177831BD"/>
    <w:rsid w:val="17B31280"/>
    <w:rsid w:val="180A3DB0"/>
    <w:rsid w:val="18597385"/>
    <w:rsid w:val="19042D9A"/>
    <w:rsid w:val="1A034EA3"/>
    <w:rsid w:val="1A3369FB"/>
    <w:rsid w:val="1BD25F20"/>
    <w:rsid w:val="1D5D57EA"/>
    <w:rsid w:val="1DC00535"/>
    <w:rsid w:val="1E076032"/>
    <w:rsid w:val="207D2D29"/>
    <w:rsid w:val="20872CA1"/>
    <w:rsid w:val="209D3BF8"/>
    <w:rsid w:val="20D152EE"/>
    <w:rsid w:val="20FB5A46"/>
    <w:rsid w:val="2198622B"/>
    <w:rsid w:val="21CA57CE"/>
    <w:rsid w:val="21EF5245"/>
    <w:rsid w:val="229E0373"/>
    <w:rsid w:val="22B3482A"/>
    <w:rsid w:val="23A64C21"/>
    <w:rsid w:val="24AF3C02"/>
    <w:rsid w:val="24CA338F"/>
    <w:rsid w:val="25395E1B"/>
    <w:rsid w:val="25490309"/>
    <w:rsid w:val="25E03954"/>
    <w:rsid w:val="263C2F69"/>
    <w:rsid w:val="271B68B7"/>
    <w:rsid w:val="27602AA7"/>
    <w:rsid w:val="28F20B3A"/>
    <w:rsid w:val="29392EA8"/>
    <w:rsid w:val="29554457"/>
    <w:rsid w:val="2A410274"/>
    <w:rsid w:val="2A671049"/>
    <w:rsid w:val="2A685EFA"/>
    <w:rsid w:val="2B960845"/>
    <w:rsid w:val="2B967943"/>
    <w:rsid w:val="2C9D20B6"/>
    <w:rsid w:val="2E3D2956"/>
    <w:rsid w:val="2EA1540F"/>
    <w:rsid w:val="2ECB4D13"/>
    <w:rsid w:val="2ED2229D"/>
    <w:rsid w:val="2F002C2A"/>
    <w:rsid w:val="2F801E03"/>
    <w:rsid w:val="2F813D29"/>
    <w:rsid w:val="30466800"/>
    <w:rsid w:val="30BF77A8"/>
    <w:rsid w:val="32CB38F3"/>
    <w:rsid w:val="34997509"/>
    <w:rsid w:val="34BF6741"/>
    <w:rsid w:val="34CF7F0F"/>
    <w:rsid w:val="34F069C3"/>
    <w:rsid w:val="3569702C"/>
    <w:rsid w:val="35F16851"/>
    <w:rsid w:val="37000CD1"/>
    <w:rsid w:val="37593503"/>
    <w:rsid w:val="37BB194B"/>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2322B0"/>
    <w:rsid w:val="4CE44D26"/>
    <w:rsid w:val="4DD97EE6"/>
    <w:rsid w:val="4DF04F8E"/>
    <w:rsid w:val="4E606D65"/>
    <w:rsid w:val="4E774B74"/>
    <w:rsid w:val="4E7C7A4F"/>
    <w:rsid w:val="4EE0008E"/>
    <w:rsid w:val="4F302992"/>
    <w:rsid w:val="50130A31"/>
    <w:rsid w:val="504C751E"/>
    <w:rsid w:val="50F37031"/>
    <w:rsid w:val="51460589"/>
    <w:rsid w:val="5184324A"/>
    <w:rsid w:val="51FD48CA"/>
    <w:rsid w:val="52C11403"/>
    <w:rsid w:val="52F01788"/>
    <w:rsid w:val="52FC4743"/>
    <w:rsid w:val="534D5B51"/>
    <w:rsid w:val="53794DB8"/>
    <w:rsid w:val="53E14257"/>
    <w:rsid w:val="54994D7E"/>
    <w:rsid w:val="55454A35"/>
    <w:rsid w:val="556763AF"/>
    <w:rsid w:val="55A2585D"/>
    <w:rsid w:val="56914FFB"/>
    <w:rsid w:val="57004BF9"/>
    <w:rsid w:val="57511940"/>
    <w:rsid w:val="580E0568"/>
    <w:rsid w:val="58A66A4F"/>
    <w:rsid w:val="59161DEF"/>
    <w:rsid w:val="5A603BE4"/>
    <w:rsid w:val="5B2067F5"/>
    <w:rsid w:val="5B846E39"/>
    <w:rsid w:val="5DE057CC"/>
    <w:rsid w:val="5DEB0CE7"/>
    <w:rsid w:val="5E1E5301"/>
    <w:rsid w:val="5E687C70"/>
    <w:rsid w:val="5F6C799D"/>
    <w:rsid w:val="600C0E24"/>
    <w:rsid w:val="60D8128B"/>
    <w:rsid w:val="61F96EED"/>
    <w:rsid w:val="62091A8F"/>
    <w:rsid w:val="62C42EDF"/>
    <w:rsid w:val="62EC7770"/>
    <w:rsid w:val="640145F8"/>
    <w:rsid w:val="640870A0"/>
    <w:rsid w:val="64E746A5"/>
    <w:rsid w:val="65282282"/>
    <w:rsid w:val="653E4157"/>
    <w:rsid w:val="65422FB6"/>
    <w:rsid w:val="66A80F4A"/>
    <w:rsid w:val="67B121BA"/>
    <w:rsid w:val="67E203F0"/>
    <w:rsid w:val="680622D3"/>
    <w:rsid w:val="68580655"/>
    <w:rsid w:val="6A637B3F"/>
    <w:rsid w:val="6A9A7CCD"/>
    <w:rsid w:val="6A9E3C3F"/>
    <w:rsid w:val="6AF644A2"/>
    <w:rsid w:val="6BF825B0"/>
    <w:rsid w:val="6CBD76CE"/>
    <w:rsid w:val="6D38217E"/>
    <w:rsid w:val="6D642DFF"/>
    <w:rsid w:val="6DB47941"/>
    <w:rsid w:val="6E6E155E"/>
    <w:rsid w:val="6E7754A8"/>
    <w:rsid w:val="6F5C59DD"/>
    <w:rsid w:val="6FFA0E82"/>
    <w:rsid w:val="72990E66"/>
    <w:rsid w:val="72AB785A"/>
    <w:rsid w:val="72D30C6F"/>
    <w:rsid w:val="736E69FD"/>
    <w:rsid w:val="73D75019"/>
    <w:rsid w:val="74145D78"/>
    <w:rsid w:val="7423455C"/>
    <w:rsid w:val="742B4AB2"/>
    <w:rsid w:val="743261FE"/>
    <w:rsid w:val="744F0834"/>
    <w:rsid w:val="745C5711"/>
    <w:rsid w:val="74CA0ED6"/>
    <w:rsid w:val="75020083"/>
    <w:rsid w:val="761153D9"/>
    <w:rsid w:val="764022A0"/>
    <w:rsid w:val="77605D8F"/>
    <w:rsid w:val="7A882894"/>
    <w:rsid w:val="7B567667"/>
    <w:rsid w:val="7B9D59FD"/>
    <w:rsid w:val="7BC563E1"/>
    <w:rsid w:val="7CD93021"/>
    <w:rsid w:val="7DA64137"/>
    <w:rsid w:val="7DD37FAE"/>
    <w:rsid w:val="7DDB2794"/>
    <w:rsid w:val="7E884F8C"/>
    <w:rsid w:val="7ED821B9"/>
    <w:rsid w:val="7EDE2755"/>
    <w:rsid w:val="7F6E1D9D"/>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26"/>
    <w:autoRedefine/>
    <w:qFormat/>
    <w:uiPriority w:val="0"/>
    <w:rPr>
      <w:sz w:val="18"/>
      <w:szCs w:val="18"/>
    </w:rPr>
  </w:style>
  <w:style w:type="paragraph" w:styleId="7">
    <w:name w:val="footer"/>
    <w:basedOn w:val="1"/>
    <w:link w:val="25"/>
    <w:autoRedefine/>
    <w:qFormat/>
    <w:uiPriority w:val="99"/>
    <w:pPr>
      <w:tabs>
        <w:tab w:val="center" w:pos="4153"/>
        <w:tab w:val="right" w:pos="8306"/>
      </w:tabs>
      <w:snapToGrid w:val="0"/>
    </w:pPr>
    <w:rPr>
      <w:sz w:val="18"/>
      <w:szCs w:val="18"/>
    </w:rPr>
  </w:style>
  <w:style w:type="paragraph" w:styleId="8">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10">
    <w:name w:val="Normal (Web)"/>
    <w:basedOn w:val="1"/>
    <w:autoRedefine/>
    <w:qFormat/>
    <w:uiPriority w:val="0"/>
    <w:pPr>
      <w:spacing w:beforeAutospacing="1" w:afterAutospacing="1"/>
    </w:pPr>
    <w:rPr>
      <w:rFonts w:cs="Times New Roman"/>
      <w:sz w:val="24"/>
      <w:lang w:val="en-US" w:bidi="ar-SA"/>
    </w:rPr>
  </w:style>
  <w:style w:type="paragraph" w:styleId="11">
    <w:name w:val="annotation subject"/>
    <w:basedOn w:val="4"/>
    <w:next w:val="4"/>
    <w:link w:val="23"/>
    <w:autoRedefine/>
    <w:qFormat/>
    <w:uiPriority w:val="0"/>
    <w:rPr>
      <w:b/>
      <w:bCs/>
    </w:rPr>
  </w:style>
  <w:style w:type="character" w:styleId="14">
    <w:name w:val="Strong"/>
    <w:basedOn w:val="13"/>
    <w:autoRedefine/>
    <w:qFormat/>
    <w:uiPriority w:val="0"/>
    <w:rPr>
      <w:b/>
      <w:sz w:val="24"/>
      <w:szCs w:val="24"/>
    </w:rPr>
  </w:style>
  <w:style w:type="character" w:styleId="15">
    <w:name w:val="FollowedHyperlink"/>
    <w:basedOn w:val="13"/>
    <w:autoRedefine/>
    <w:qFormat/>
    <w:uiPriority w:val="0"/>
    <w:rPr>
      <w:color w:val="551A8B"/>
      <w:u w:val="single"/>
    </w:rPr>
  </w:style>
  <w:style w:type="character" w:styleId="16">
    <w:name w:val="Emphasis"/>
    <w:basedOn w:val="13"/>
    <w:autoRedefine/>
    <w:qFormat/>
    <w:uiPriority w:val="0"/>
    <w:rPr>
      <w:color w:val="D73130"/>
      <w:sz w:val="24"/>
      <w:szCs w:val="24"/>
    </w:rPr>
  </w:style>
  <w:style w:type="character" w:styleId="17">
    <w:name w:val="Hyperlink"/>
    <w:basedOn w:val="13"/>
    <w:autoRedefine/>
    <w:qFormat/>
    <w:uiPriority w:val="0"/>
    <w:rPr>
      <w:color w:val="0563C1" w:themeColor="hyperlink"/>
      <w:u w:val="single"/>
      <w14:textFill>
        <w14:solidFill>
          <w14:schemeClr w14:val="hlink"/>
        </w14:solidFill>
      </w14:textFill>
    </w:rPr>
  </w:style>
  <w:style w:type="character" w:styleId="18">
    <w:name w:val="annotation reference"/>
    <w:basedOn w:val="13"/>
    <w:autoRedefine/>
    <w:qFormat/>
    <w:uiPriority w:val="0"/>
    <w:rPr>
      <w:sz w:val="21"/>
      <w:szCs w:val="21"/>
    </w:rPr>
  </w:style>
  <w:style w:type="character" w:styleId="19">
    <w:name w:val="HTML Cite"/>
    <w:basedOn w:val="13"/>
    <w:autoRedefine/>
    <w:qFormat/>
    <w:uiPriority w:val="0"/>
    <w:rPr>
      <w:sz w:val="24"/>
      <w:szCs w:val="24"/>
    </w:rPr>
  </w:style>
  <w:style w:type="paragraph" w:customStyle="1" w:styleId="20">
    <w:name w:val="Table Paragraph"/>
    <w:basedOn w:val="1"/>
    <w:autoRedefine/>
    <w:qFormat/>
    <w:uiPriority w:val="1"/>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4"/>
    <w:autoRedefine/>
    <w:qFormat/>
    <w:uiPriority w:val="0"/>
    <w:rPr>
      <w:rFonts w:ascii="仿宋" w:hAnsi="仿宋" w:eastAsia="仿宋" w:cs="仿宋"/>
      <w:sz w:val="22"/>
      <w:szCs w:val="22"/>
      <w:lang w:val="zh-CN" w:bidi="zh-CN"/>
    </w:rPr>
  </w:style>
  <w:style w:type="character" w:customStyle="1" w:styleId="23">
    <w:name w:val="批注主题 字符"/>
    <w:basedOn w:val="22"/>
    <w:link w:val="11"/>
    <w:autoRedefine/>
    <w:qFormat/>
    <w:uiPriority w:val="0"/>
    <w:rPr>
      <w:rFonts w:ascii="仿宋" w:hAnsi="仿宋" w:eastAsia="仿宋" w:cs="仿宋"/>
      <w:b/>
      <w:bCs/>
      <w:sz w:val="22"/>
      <w:szCs w:val="22"/>
      <w:lang w:val="zh-CN" w:bidi="zh-CN"/>
    </w:rPr>
  </w:style>
  <w:style w:type="character" w:customStyle="1" w:styleId="24">
    <w:name w:val="页眉 字符"/>
    <w:basedOn w:val="13"/>
    <w:link w:val="8"/>
    <w:autoRedefine/>
    <w:qFormat/>
    <w:uiPriority w:val="0"/>
    <w:rPr>
      <w:rFonts w:ascii="仿宋" w:hAnsi="仿宋" w:eastAsia="仿宋" w:cs="仿宋"/>
      <w:sz w:val="18"/>
      <w:szCs w:val="18"/>
      <w:lang w:val="zh-CN" w:bidi="zh-CN"/>
    </w:rPr>
  </w:style>
  <w:style w:type="character" w:customStyle="1" w:styleId="25">
    <w:name w:val="页脚 字符"/>
    <w:basedOn w:val="13"/>
    <w:link w:val="7"/>
    <w:autoRedefine/>
    <w:qFormat/>
    <w:uiPriority w:val="99"/>
    <w:rPr>
      <w:rFonts w:ascii="仿宋" w:hAnsi="仿宋" w:eastAsia="仿宋" w:cs="仿宋"/>
      <w:sz w:val="18"/>
      <w:szCs w:val="18"/>
      <w:lang w:val="zh-CN" w:bidi="zh-CN"/>
    </w:rPr>
  </w:style>
  <w:style w:type="character" w:customStyle="1" w:styleId="26">
    <w:name w:val="批注框文本 字符"/>
    <w:basedOn w:val="13"/>
    <w:link w:val="6"/>
    <w:autoRedefine/>
    <w:qFormat/>
    <w:uiPriority w:val="0"/>
    <w:rPr>
      <w:rFonts w:ascii="仿宋" w:hAnsi="仿宋" w:eastAsia="仿宋" w:cs="仿宋"/>
      <w:sz w:val="18"/>
      <w:szCs w:val="18"/>
      <w:lang w:val="zh-CN" w:bidi="zh-CN"/>
    </w:rPr>
  </w:style>
  <w:style w:type="paragraph" w:customStyle="1" w:styleId="27">
    <w:name w:val="修订1"/>
    <w:autoRedefine/>
    <w:hidden/>
    <w:semiHidden/>
    <w:qFormat/>
    <w:uiPriority w:val="99"/>
    <w:rPr>
      <w:rFonts w:ascii="仿宋" w:hAnsi="仿宋" w:eastAsia="仿宋" w:cs="仿宋"/>
      <w:sz w:val="22"/>
      <w:szCs w:val="22"/>
      <w:lang w:val="zh-CN" w:eastAsia="zh-CN" w:bidi="zh-CN"/>
    </w:rPr>
  </w:style>
  <w:style w:type="paragraph" w:customStyle="1" w:styleId="28">
    <w:name w:val="修订2"/>
    <w:autoRedefine/>
    <w:hidden/>
    <w:unhideWhenUsed/>
    <w:qFormat/>
    <w:uiPriority w:val="99"/>
    <w:rPr>
      <w:rFonts w:ascii="仿宋" w:hAnsi="仿宋" w:eastAsia="仿宋" w:cs="仿宋"/>
      <w:sz w:val="22"/>
      <w:szCs w:val="22"/>
      <w:lang w:val="zh-CN" w:eastAsia="zh-CN" w:bidi="zh-CN"/>
    </w:rPr>
  </w:style>
  <w:style w:type="paragraph" w:customStyle="1" w:styleId="29">
    <w:name w:val="修订3"/>
    <w:autoRedefine/>
    <w:hidden/>
    <w:unhideWhenUsed/>
    <w:qFormat/>
    <w:uiPriority w:val="99"/>
    <w:rPr>
      <w:rFonts w:ascii="仿宋" w:hAnsi="仿宋" w:eastAsia="仿宋" w:cs="仿宋"/>
      <w:sz w:val="22"/>
      <w:szCs w:val="22"/>
      <w:lang w:val="zh-CN" w:eastAsia="zh-CN" w:bidi="zh-CN"/>
    </w:rPr>
  </w:style>
  <w:style w:type="paragraph" w:customStyle="1" w:styleId="30">
    <w:name w:val="修订4"/>
    <w:autoRedefine/>
    <w:hidden/>
    <w:unhideWhenUsed/>
    <w:qFormat/>
    <w:uiPriority w:val="99"/>
    <w:rPr>
      <w:rFonts w:ascii="仿宋" w:hAnsi="仿宋" w:eastAsia="仿宋" w:cs="仿宋"/>
      <w:sz w:val="22"/>
      <w:szCs w:val="22"/>
      <w:lang w:val="zh-CN" w:eastAsia="zh-CN" w:bidi="zh-CN"/>
    </w:rPr>
  </w:style>
  <w:style w:type="paragraph" w:customStyle="1" w:styleId="31">
    <w:name w:val="修订5"/>
    <w:autoRedefine/>
    <w:hidden/>
    <w:unhideWhenUsed/>
    <w:qFormat/>
    <w:uiPriority w:val="99"/>
    <w:rPr>
      <w:rFonts w:ascii="仿宋" w:hAnsi="仿宋" w:eastAsia="仿宋" w:cs="仿宋"/>
      <w:sz w:val="22"/>
      <w:szCs w:val="22"/>
      <w:lang w:val="zh-CN" w:eastAsia="zh-CN" w:bidi="zh-CN"/>
    </w:rPr>
  </w:style>
  <w:style w:type="paragraph" w:customStyle="1" w:styleId="32">
    <w:name w:val="_Style 26"/>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27"/>
    <w:basedOn w:val="1"/>
    <w:next w:val="1"/>
    <w:autoRedefine/>
    <w:qFormat/>
    <w:uiPriority w:val="0"/>
    <w:pPr>
      <w:pBdr>
        <w:top w:val="single" w:color="auto" w:sz="6" w:space="1"/>
      </w:pBdr>
      <w:jc w:val="center"/>
    </w:pPr>
    <w:rPr>
      <w:rFonts w:ascii="Arial" w:eastAsia="宋体"/>
      <w:vanish/>
      <w:sz w:val="16"/>
    </w:rPr>
  </w:style>
  <w:style w:type="paragraph" w:customStyle="1" w:styleId="34">
    <w:name w:val="修订6"/>
    <w:autoRedefine/>
    <w:hidden/>
    <w:unhideWhenUsed/>
    <w:qFormat/>
    <w:uiPriority w:val="99"/>
    <w:rPr>
      <w:rFonts w:ascii="仿宋" w:hAnsi="仿宋" w:eastAsia="仿宋" w:cs="仿宋"/>
      <w:sz w:val="22"/>
      <w:szCs w:val="22"/>
      <w:lang w:val="zh-CN" w:eastAsia="zh-CN" w:bidi="zh-CN"/>
    </w:rPr>
  </w:style>
  <w:style w:type="paragraph" w:customStyle="1" w:styleId="35">
    <w:name w:val="修订7"/>
    <w:autoRedefine/>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datastoreItem>
</file>

<file path=docProps/app.xml><?xml version="1.0" encoding="utf-8"?>
<Properties xmlns="http://schemas.openxmlformats.org/officeDocument/2006/extended-properties" xmlns:vt="http://schemas.openxmlformats.org/officeDocument/2006/docPropsVTypes">
  <Template>Normal</Template>
  <Pages>3</Pages>
  <Words>1924</Words>
  <Characters>2035</Characters>
  <Lines>17</Lines>
  <Paragraphs>4</Paragraphs>
  <TotalTime>4</TotalTime>
  <ScaleCrop>false</ScaleCrop>
  <LinksUpToDate>false</LinksUpToDate>
  <CharactersWithSpaces>2057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2024-01-12T06:58:00Z</dcterms:created>
  <dc:creator>jie.huang</dc:creator>
  <cp:lastModifiedBy>筱卉</cp:lastModifiedBy>
  <cp:lastPrinted>2024-07-25T08:12:00Z</cp:lastPrinted>
  <dcterms:modified xsi:type="dcterms:W3CDTF">2024-09-06T09:03:46Z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88B5BBCDEFB4470490DBD9EB698DD0F6_13</vt:lpwstr>
  </property>
</Properties>
</file>