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20" w:lineRule="exact"/>
        <w:jc w:val="left"/>
        <w:rPr>
          <w:rFonts w:ascii="楷体" w:hAnsi="楷体" w:eastAsia="楷体"/>
          <w:sz w:val="24"/>
        </w:rPr>
      </w:pPr>
      <w:r>
        <w:rPr>
          <w:rFonts w:hint="eastAsia" w:ascii="楷体" w:hAnsi="楷体" w:eastAsia="楷体"/>
          <w:sz w:val="24"/>
        </w:rPr>
        <w:t>证券代码：6</w:t>
      </w:r>
      <w:r>
        <w:rPr>
          <w:rFonts w:ascii="楷体" w:hAnsi="楷体" w:eastAsia="楷体"/>
          <w:sz w:val="24"/>
        </w:rPr>
        <w:t xml:space="preserve">00968   </w:t>
      </w:r>
      <w:r>
        <w:rPr>
          <w:rFonts w:hint="eastAsia" w:ascii="楷体" w:hAnsi="楷体" w:eastAsia="楷体"/>
          <w:sz w:val="24"/>
        </w:rPr>
        <w:t xml:space="preserve">                              证券简称：海油发展 </w:t>
      </w:r>
      <w:r>
        <w:rPr>
          <w:rFonts w:ascii="楷体" w:hAnsi="楷体" w:eastAsia="楷体"/>
          <w:sz w:val="24"/>
        </w:rPr>
        <w:t xml:space="preserve"> </w:t>
      </w:r>
    </w:p>
    <w:p>
      <w:pPr>
        <w:spacing w:line="480" w:lineRule="exact"/>
        <w:jc w:val="center"/>
        <w:rPr>
          <w:rFonts w:ascii="宋体" w:hAnsi="宋体"/>
          <w:b/>
          <w:bCs/>
          <w:sz w:val="28"/>
          <w:szCs w:val="30"/>
        </w:rPr>
      </w:pPr>
      <w:r>
        <w:rPr>
          <w:rFonts w:hint="eastAsia" w:ascii="宋体" w:hAnsi="宋体"/>
          <w:b/>
          <w:bCs/>
          <w:sz w:val="28"/>
          <w:szCs w:val="30"/>
        </w:rPr>
        <w:t>中海油能源发展股份有限公司</w:t>
      </w:r>
    </w:p>
    <w:p>
      <w:pPr>
        <w:spacing w:line="480" w:lineRule="exact"/>
        <w:jc w:val="center"/>
        <w:outlineLvl w:val="0"/>
        <w:rPr>
          <w:rFonts w:ascii="宋体" w:hAnsi="宋体"/>
          <w:b/>
          <w:bCs/>
          <w:sz w:val="28"/>
          <w:szCs w:val="30"/>
        </w:rPr>
      </w:pPr>
      <w:r>
        <w:rPr>
          <w:rFonts w:hint="eastAsia" w:ascii="宋体" w:hAnsi="宋体"/>
          <w:b/>
          <w:bCs/>
          <w:sz w:val="28"/>
          <w:szCs w:val="30"/>
        </w:rPr>
        <w:t>投资者关系活动记录表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7"/>
        <w:gridCol w:w="7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Arial" w:hAnsi="Arial"/>
                <w:bCs/>
                <w:sz w:val="24"/>
              </w:rPr>
            </w:pPr>
            <w:r>
              <w:rPr>
                <w:rFonts w:hint="eastAsia" w:ascii="Arial" w:hAnsi="Arial"/>
                <w:bCs/>
                <w:sz w:val="24"/>
              </w:rPr>
              <w:t>投资者关系活动类别</w:t>
            </w:r>
          </w:p>
        </w:tc>
        <w:tc>
          <w:tcPr>
            <w:tcW w:w="4353" w:type="pct"/>
            <w:tcBorders>
              <w:top w:val="single" w:color="auto" w:sz="4" w:space="0"/>
              <w:left w:val="single" w:color="auto" w:sz="4" w:space="0"/>
              <w:bottom w:val="single" w:color="auto" w:sz="4" w:space="0"/>
              <w:right w:val="single" w:color="auto" w:sz="4" w:space="0"/>
            </w:tcBorders>
            <w:vAlign w:val="center"/>
          </w:tcPr>
          <w:p>
            <w:pPr>
              <w:spacing w:line="400" w:lineRule="exact"/>
              <w:rPr>
                <w:rFonts w:ascii="Arial" w:hAnsi="Arial"/>
                <w:bCs/>
                <w:sz w:val="24"/>
              </w:rPr>
            </w:pPr>
            <w:r>
              <w:rPr>
                <w:rFonts w:hint="eastAsia" w:ascii="Arial" w:hAnsi="Arial"/>
                <w:bCs/>
                <w:sz w:val="24"/>
              </w:rPr>
              <w:t xml:space="preserve">□特定对象调研 </w:t>
            </w:r>
            <w:r>
              <w:rPr>
                <w:rFonts w:hint="eastAsia" w:ascii="Arial" w:hAnsi="Arial"/>
                <w:bCs/>
                <w:sz w:val="24"/>
              </w:rPr>
              <w:sym w:font="Wingdings 2" w:char="00A3"/>
            </w:r>
            <w:r>
              <w:rPr>
                <w:rFonts w:hint="eastAsia" w:ascii="Arial" w:hAnsi="Arial"/>
                <w:bCs/>
                <w:sz w:val="24"/>
              </w:rPr>
              <w:t>分析师会议</w:t>
            </w:r>
          </w:p>
          <w:p>
            <w:pPr>
              <w:spacing w:line="400" w:lineRule="exact"/>
              <w:rPr>
                <w:rFonts w:ascii="Arial" w:hAnsi="Arial"/>
                <w:bCs/>
                <w:sz w:val="24"/>
              </w:rPr>
            </w:pPr>
            <w:r>
              <w:rPr>
                <w:rFonts w:hint="eastAsia" w:ascii="Arial" w:hAnsi="Arial"/>
                <w:bCs/>
                <w:sz w:val="24"/>
              </w:rPr>
              <w:t xml:space="preserve">□媒体采访 </w:t>
            </w:r>
            <w:r>
              <w:rPr>
                <w:rFonts w:ascii="Arial" w:hAnsi="Arial"/>
                <w:bCs/>
                <w:sz w:val="24"/>
              </w:rPr>
              <w:t xml:space="preserve">   </w:t>
            </w:r>
            <w:r>
              <w:rPr>
                <w:rFonts w:hint="eastAsia" w:ascii="Arial" w:hAnsi="Arial"/>
                <w:bCs/>
                <w:sz w:val="24"/>
              </w:rPr>
              <w:t xml:space="preserve"> </w:t>
            </w:r>
            <w:r>
              <w:rPr>
                <w:rFonts w:hint="eastAsia" w:ascii="Arial" w:hAnsi="Arial"/>
                <w:bCs/>
                <w:sz w:val="24"/>
              </w:rPr>
              <w:sym w:font="Wingdings 2" w:char="0052"/>
            </w:r>
            <w:r>
              <w:rPr>
                <w:rFonts w:hint="eastAsia" w:ascii="Arial" w:hAnsi="Arial"/>
                <w:bCs/>
                <w:sz w:val="24"/>
              </w:rPr>
              <w:t>业绩说明会</w:t>
            </w:r>
          </w:p>
          <w:p>
            <w:pPr>
              <w:spacing w:line="400" w:lineRule="exact"/>
              <w:rPr>
                <w:rFonts w:ascii="Arial" w:hAnsi="Arial"/>
                <w:bCs/>
                <w:sz w:val="24"/>
              </w:rPr>
            </w:pPr>
            <w:r>
              <w:rPr>
                <w:rFonts w:hint="eastAsia" w:ascii="Arial" w:hAnsi="Arial"/>
                <w:bCs/>
                <w:sz w:val="24"/>
              </w:rPr>
              <w:t xml:space="preserve">□新闻发布会 </w:t>
            </w:r>
            <w:r>
              <w:rPr>
                <w:rFonts w:ascii="Arial" w:hAnsi="Arial"/>
                <w:bCs/>
                <w:sz w:val="24"/>
              </w:rPr>
              <w:t xml:space="preserve">  </w:t>
            </w:r>
            <w:r>
              <w:rPr>
                <w:rFonts w:hint="eastAsia" w:ascii="Arial" w:hAnsi="Arial"/>
                <w:bCs/>
                <w:sz w:val="24"/>
              </w:rPr>
              <w:t>□路演活动</w:t>
            </w:r>
          </w:p>
          <w:p>
            <w:pPr>
              <w:spacing w:line="400" w:lineRule="exact"/>
              <w:rPr>
                <w:rFonts w:ascii="Arial" w:hAnsi="Arial"/>
                <w:bCs/>
                <w:sz w:val="24"/>
              </w:rPr>
            </w:pPr>
            <w:r>
              <w:rPr>
                <w:rFonts w:hint="eastAsia" w:ascii="Arial" w:hAnsi="Arial"/>
                <w:bCs/>
                <w:sz w:val="24"/>
              </w:rPr>
              <w:t>□现场参观</w:t>
            </w:r>
          </w:p>
          <w:p>
            <w:pPr>
              <w:spacing w:line="400" w:lineRule="exact"/>
              <w:rPr>
                <w:rFonts w:ascii="Arial" w:hAnsi="Arial"/>
                <w:bCs/>
                <w:sz w:val="24"/>
              </w:rPr>
            </w:pPr>
            <w:r>
              <w:rPr>
                <w:rFonts w:hint="eastAsia" w:ascii="Arial" w:hAnsi="Arial"/>
                <w:bCs/>
                <w:sz w:val="24"/>
              </w:rPr>
              <w:t>□其他（请文字说明其他活动内容）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bCs/>
                <w:sz w:val="24"/>
              </w:rPr>
            </w:pPr>
            <w:r>
              <w:rPr>
                <w:rFonts w:hint="eastAsia" w:ascii="Arial" w:hAnsi="Arial"/>
                <w:bCs/>
                <w:sz w:val="24"/>
              </w:rPr>
              <w:t>时间</w:t>
            </w:r>
          </w:p>
        </w:tc>
        <w:tc>
          <w:tcPr>
            <w:tcW w:w="4353" w:type="pct"/>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Arial" w:hAnsi="Arial" w:eastAsia="宋体" w:cs="Arial"/>
                <w:sz w:val="24"/>
                <w:lang w:val="en-US" w:eastAsia="zh-CN"/>
              </w:rPr>
            </w:pPr>
            <w:r>
              <w:rPr>
                <w:rFonts w:ascii="Times New Roman" w:hAnsi="Times New Roman"/>
                <w:sz w:val="24"/>
              </w:rPr>
              <w:t>202</w:t>
            </w:r>
            <w:r>
              <w:rPr>
                <w:rFonts w:hint="eastAsia" w:ascii="Times New Roman" w:hAnsi="Times New Roman"/>
                <w:sz w:val="24"/>
                <w:lang w:val="en-US" w:eastAsia="zh-CN"/>
              </w:rPr>
              <w:t>4</w:t>
            </w:r>
            <w:r>
              <w:rPr>
                <w:rFonts w:ascii="Times New Roman" w:hAnsi="Times New Roman"/>
                <w:sz w:val="24"/>
              </w:rPr>
              <w:t>年</w:t>
            </w:r>
            <w:r>
              <w:rPr>
                <w:rFonts w:hint="eastAsia" w:ascii="Times New Roman" w:hAnsi="Times New Roman"/>
                <w:sz w:val="24"/>
                <w:lang w:val="en-US" w:eastAsia="zh-CN"/>
              </w:rPr>
              <w:t>9</w:t>
            </w:r>
            <w:r>
              <w:rPr>
                <w:rFonts w:hint="eastAsia" w:ascii="Times New Roman" w:hAnsi="Times New Roman"/>
                <w:sz w:val="24"/>
              </w:rPr>
              <w:t>月</w:t>
            </w:r>
            <w:r>
              <w:rPr>
                <w:rFonts w:hint="eastAsia" w:ascii="Times New Roman" w:hAnsi="Times New Roman"/>
                <w:sz w:val="24"/>
                <w:lang w:val="en-US" w:eastAsia="zh-CN"/>
              </w:rPr>
              <w:t>6</w:t>
            </w:r>
            <w:r>
              <w:rPr>
                <w:rFonts w:ascii="Times New Roman" w:hAnsi="Times New Roman"/>
                <w:sz w:val="24"/>
              </w:rPr>
              <w:t>日</w:t>
            </w:r>
            <w:r>
              <w:rPr>
                <w:rFonts w:hint="eastAsia" w:ascii="Times New Roman" w:hAnsi="Times New Roman"/>
                <w:sz w:val="24"/>
                <w:lang w:val="en-US" w:eastAsia="zh-CN"/>
              </w:rPr>
              <w:t>10:00-11:00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bCs/>
                <w:sz w:val="24"/>
              </w:rPr>
            </w:pPr>
            <w:r>
              <w:rPr>
                <w:rFonts w:hint="eastAsia" w:ascii="Arial" w:hAnsi="Arial"/>
                <w:bCs/>
                <w:sz w:val="24"/>
              </w:rPr>
              <w:t>地点</w:t>
            </w:r>
          </w:p>
        </w:tc>
        <w:tc>
          <w:tcPr>
            <w:tcW w:w="4353" w:type="pct"/>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Arial" w:hAnsi="Arial" w:eastAsia="宋体" w:cs="Arial"/>
                <w:sz w:val="24"/>
                <w:lang w:val="en-US" w:eastAsia="zh-CN"/>
              </w:rPr>
            </w:pPr>
            <w:r>
              <w:rPr>
                <w:rFonts w:hint="eastAsia" w:ascii="Arial" w:hAnsi="Arial" w:cs="Arial"/>
                <w:sz w:val="24"/>
                <w:lang w:val="en-US" w:eastAsia="zh-CN"/>
              </w:rPr>
              <w:t>全景网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Arial" w:hAnsi="Arial"/>
                <w:bCs/>
                <w:sz w:val="24"/>
              </w:rPr>
            </w:pPr>
            <w:r>
              <w:rPr>
                <w:rFonts w:hint="eastAsia" w:ascii="Arial" w:hAnsi="Arial"/>
                <w:bCs/>
                <w:sz w:val="24"/>
              </w:rPr>
              <w:t>上市公司接待人员姓名</w:t>
            </w:r>
          </w:p>
        </w:tc>
        <w:tc>
          <w:tcPr>
            <w:tcW w:w="4353" w:type="pct"/>
            <w:tcBorders>
              <w:top w:val="single" w:color="auto" w:sz="4" w:space="0"/>
              <w:left w:val="single" w:color="auto" w:sz="4" w:space="0"/>
              <w:bottom w:val="single" w:color="auto" w:sz="4" w:space="0"/>
              <w:right w:val="single" w:color="auto" w:sz="4" w:space="0"/>
            </w:tcBorders>
            <w:vAlign w:val="center"/>
          </w:tcPr>
          <w:tbl>
            <w:tblPr>
              <w:tblStyle w:val="9"/>
              <w:tblW w:w="5000" w:type="pct"/>
              <w:tblInd w:w="0" w:type="dxa"/>
              <w:tblLayout w:type="autofit"/>
              <w:tblCellMar>
                <w:top w:w="0" w:type="dxa"/>
                <w:left w:w="108" w:type="dxa"/>
                <w:bottom w:w="0" w:type="dxa"/>
                <w:right w:w="108" w:type="dxa"/>
              </w:tblCellMar>
            </w:tblPr>
            <w:tblGrid>
              <w:gridCol w:w="1495"/>
              <w:gridCol w:w="5882"/>
            </w:tblGrid>
            <w:tr>
              <w:trPr>
                <w:trHeight w:val="285" w:hRule="atLeast"/>
              </w:trPr>
              <w:tc>
                <w:tcPr>
                  <w:tcW w:w="1013" w:type="pct"/>
                  <w:shd w:val="clear" w:color="auto" w:fill="auto"/>
                  <w:noWrap/>
                  <w:vAlign w:val="bottom"/>
                </w:tcPr>
                <w:p>
                  <w:pPr>
                    <w:spacing w:line="276" w:lineRule="auto"/>
                    <w:rPr>
                      <w:rFonts w:hint="eastAsia" w:ascii="Arial" w:hAnsi="Arial" w:eastAsia="宋体" w:cs="Arial"/>
                      <w:sz w:val="24"/>
                      <w:lang w:val="en-US" w:eastAsia="zh-CN"/>
                    </w:rPr>
                  </w:pPr>
                  <w:r>
                    <w:rPr>
                      <w:rFonts w:hint="eastAsia" w:ascii="Arial" w:hAnsi="Arial" w:cs="Arial"/>
                      <w:sz w:val="24"/>
                      <w:lang w:val="en-US" w:eastAsia="zh-CN"/>
                    </w:rPr>
                    <w:t>周天育</w:t>
                  </w:r>
                </w:p>
              </w:tc>
              <w:tc>
                <w:tcPr>
                  <w:tcW w:w="3986" w:type="pct"/>
                  <w:shd w:val="clear" w:color="auto" w:fill="auto"/>
                  <w:noWrap/>
                  <w:vAlign w:val="center"/>
                </w:tcPr>
                <w:p>
                  <w:pPr>
                    <w:spacing w:line="276" w:lineRule="auto"/>
                    <w:rPr>
                      <w:rFonts w:hint="eastAsia" w:ascii="Arial" w:hAnsi="Arial" w:eastAsia="宋体" w:cs="Arial"/>
                      <w:sz w:val="24"/>
                      <w:lang w:val="en-US" w:eastAsia="zh-CN"/>
                    </w:rPr>
                  </w:pPr>
                  <w:r>
                    <w:rPr>
                      <w:rFonts w:hint="eastAsia" w:ascii="Arial" w:hAnsi="Arial" w:cs="Arial"/>
                      <w:sz w:val="24"/>
                      <w:lang w:val="en-US" w:eastAsia="zh-CN"/>
                    </w:rPr>
                    <w:t>总经理</w:t>
                  </w:r>
                </w:p>
              </w:tc>
            </w:tr>
            <w:tr>
              <w:tblPrEx>
                <w:tblCellMar>
                  <w:top w:w="0" w:type="dxa"/>
                  <w:left w:w="108" w:type="dxa"/>
                  <w:bottom w:w="0" w:type="dxa"/>
                  <w:right w:w="108" w:type="dxa"/>
                </w:tblCellMar>
              </w:tblPrEx>
              <w:trPr>
                <w:trHeight w:val="285" w:hRule="atLeast"/>
              </w:trPr>
              <w:tc>
                <w:tcPr>
                  <w:tcW w:w="1013" w:type="pct"/>
                  <w:shd w:val="clear" w:color="auto" w:fill="auto"/>
                  <w:noWrap/>
                  <w:vAlign w:val="bottom"/>
                </w:tcPr>
                <w:p>
                  <w:pPr>
                    <w:spacing w:line="276" w:lineRule="auto"/>
                    <w:rPr>
                      <w:rFonts w:hint="default" w:ascii="Arial" w:hAnsi="Arial" w:eastAsia="宋体" w:cs="Arial"/>
                      <w:sz w:val="24"/>
                      <w:lang w:val="en-US" w:eastAsia="zh-CN"/>
                    </w:rPr>
                  </w:pPr>
                  <w:r>
                    <w:rPr>
                      <w:rFonts w:hint="eastAsia" w:ascii="Arial" w:hAnsi="Arial" w:cs="Arial"/>
                      <w:sz w:val="24"/>
                      <w:lang w:val="en-US" w:eastAsia="zh-CN"/>
                    </w:rPr>
                    <w:t>姜小川</w:t>
                  </w:r>
                </w:p>
              </w:tc>
              <w:tc>
                <w:tcPr>
                  <w:tcW w:w="3986" w:type="pct"/>
                  <w:shd w:val="clear" w:color="auto" w:fill="auto"/>
                  <w:noWrap/>
                  <w:vAlign w:val="center"/>
                </w:tcPr>
                <w:p>
                  <w:pPr>
                    <w:spacing w:line="276" w:lineRule="auto"/>
                    <w:rPr>
                      <w:rFonts w:hint="eastAsia" w:ascii="Arial" w:hAnsi="Arial" w:eastAsia="宋体" w:cs="Arial"/>
                      <w:sz w:val="24"/>
                      <w:lang w:val="en-US" w:eastAsia="zh-CN"/>
                    </w:rPr>
                  </w:pPr>
                  <w:r>
                    <w:rPr>
                      <w:rFonts w:hint="eastAsia" w:ascii="Arial" w:hAnsi="Arial" w:cs="Arial"/>
                      <w:sz w:val="24"/>
                      <w:lang w:val="en-US" w:eastAsia="zh-CN"/>
                    </w:rPr>
                    <w:t>独立董事</w:t>
                  </w:r>
                </w:p>
              </w:tc>
            </w:tr>
            <w:tr>
              <w:tblPrEx>
                <w:tblCellMar>
                  <w:top w:w="0" w:type="dxa"/>
                  <w:left w:w="108" w:type="dxa"/>
                  <w:bottom w:w="0" w:type="dxa"/>
                  <w:right w:w="108" w:type="dxa"/>
                </w:tblCellMar>
              </w:tblPrEx>
              <w:trPr>
                <w:trHeight w:val="285" w:hRule="atLeast"/>
              </w:trPr>
              <w:tc>
                <w:tcPr>
                  <w:tcW w:w="1013" w:type="pct"/>
                  <w:shd w:val="clear" w:color="auto" w:fill="auto"/>
                  <w:noWrap/>
                  <w:vAlign w:val="bottom"/>
                </w:tcPr>
                <w:p>
                  <w:pPr>
                    <w:spacing w:line="276" w:lineRule="auto"/>
                    <w:rPr>
                      <w:rFonts w:hint="default" w:ascii="Arial" w:hAnsi="Arial" w:eastAsia="宋体" w:cs="Arial"/>
                      <w:sz w:val="24"/>
                      <w:lang w:val="en-US" w:eastAsia="zh-CN"/>
                    </w:rPr>
                  </w:pPr>
                  <w:r>
                    <w:rPr>
                      <w:rFonts w:hint="eastAsia" w:ascii="Arial" w:hAnsi="Arial" w:cs="Arial"/>
                      <w:sz w:val="24"/>
                      <w:lang w:val="en-US" w:eastAsia="zh-CN"/>
                    </w:rPr>
                    <w:t>种晓洁</w:t>
                  </w:r>
                </w:p>
              </w:tc>
              <w:tc>
                <w:tcPr>
                  <w:tcW w:w="3986" w:type="pct"/>
                  <w:shd w:val="clear" w:color="auto" w:fill="auto"/>
                  <w:noWrap/>
                  <w:vAlign w:val="center"/>
                </w:tcPr>
                <w:p>
                  <w:pPr>
                    <w:spacing w:line="276" w:lineRule="auto"/>
                    <w:rPr>
                      <w:rFonts w:ascii="Arial" w:hAnsi="Arial" w:cs="Arial"/>
                      <w:sz w:val="24"/>
                    </w:rPr>
                  </w:pPr>
                  <w:r>
                    <w:rPr>
                      <w:rFonts w:hint="eastAsia" w:ascii="Arial" w:hAnsi="Arial" w:cs="Arial"/>
                      <w:sz w:val="24"/>
                    </w:rPr>
                    <w:t>财务总监</w:t>
                  </w:r>
                </w:p>
              </w:tc>
            </w:tr>
            <w:tr>
              <w:tblPrEx>
                <w:tblCellMar>
                  <w:top w:w="0" w:type="dxa"/>
                  <w:left w:w="108" w:type="dxa"/>
                  <w:bottom w:w="0" w:type="dxa"/>
                  <w:right w:w="108" w:type="dxa"/>
                </w:tblCellMar>
              </w:tblPrEx>
              <w:trPr>
                <w:trHeight w:val="285" w:hRule="atLeast"/>
              </w:trPr>
              <w:tc>
                <w:tcPr>
                  <w:tcW w:w="1013" w:type="pct"/>
                  <w:shd w:val="clear" w:color="auto" w:fill="auto"/>
                  <w:noWrap/>
                  <w:vAlign w:val="bottom"/>
                </w:tcPr>
                <w:p>
                  <w:pPr>
                    <w:spacing w:line="276" w:lineRule="auto"/>
                    <w:rPr>
                      <w:rFonts w:ascii="Arial" w:hAnsi="Arial" w:cs="Arial"/>
                      <w:sz w:val="24"/>
                    </w:rPr>
                  </w:pPr>
                  <w:r>
                    <w:rPr>
                      <w:rFonts w:hint="eastAsia" w:ascii="Arial" w:hAnsi="Arial" w:cs="Arial"/>
                      <w:sz w:val="24"/>
                    </w:rPr>
                    <w:t>肖德斌</w:t>
                  </w:r>
                </w:p>
              </w:tc>
              <w:tc>
                <w:tcPr>
                  <w:tcW w:w="3986" w:type="pct"/>
                  <w:shd w:val="clear" w:color="auto" w:fill="auto"/>
                  <w:noWrap/>
                  <w:vAlign w:val="center"/>
                </w:tcPr>
                <w:p>
                  <w:pPr>
                    <w:spacing w:line="276" w:lineRule="auto"/>
                    <w:rPr>
                      <w:rFonts w:ascii="Arial" w:hAnsi="Arial" w:cs="Arial"/>
                      <w:sz w:val="24"/>
                    </w:rPr>
                  </w:pPr>
                  <w:r>
                    <w:rPr>
                      <w:rFonts w:hint="eastAsia" w:ascii="Arial" w:hAnsi="Arial" w:cs="Arial"/>
                      <w:sz w:val="24"/>
                    </w:rPr>
                    <w:t>董事会秘书、总法律顾问</w:t>
                  </w:r>
                </w:p>
              </w:tc>
            </w:tr>
          </w:tbl>
          <w:p>
            <w:pPr>
              <w:spacing w:line="276" w:lineRule="auto"/>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bCs/>
                <w:sz w:val="24"/>
              </w:rPr>
            </w:pPr>
            <w:r>
              <w:rPr>
                <w:rFonts w:hint="eastAsia" w:ascii="Arial" w:hAnsi="Arial"/>
                <w:bCs/>
                <w:sz w:val="24"/>
              </w:rPr>
              <w:t>投资者关系活动主要内容介绍</w:t>
            </w:r>
          </w:p>
        </w:tc>
        <w:tc>
          <w:tcPr>
            <w:tcW w:w="4353" w:type="pct"/>
            <w:tcBorders>
              <w:top w:val="single" w:color="auto" w:sz="4" w:space="0"/>
              <w:left w:val="single" w:color="auto" w:sz="4" w:space="0"/>
              <w:bottom w:val="single" w:color="auto" w:sz="4" w:space="0"/>
              <w:right w:val="single" w:color="auto" w:sz="4" w:space="0"/>
            </w:tcBorders>
            <w:vAlign w:val="center"/>
          </w:tcPr>
          <w:p>
            <w:pPr>
              <w:rPr>
                <w:rFonts w:hint="eastAsia"/>
                <w:sz w:val="24"/>
                <w:lang w:val="en-US" w:eastAsia="zh-CN"/>
              </w:rPr>
            </w:pPr>
            <w:r>
              <w:rPr>
                <w:rFonts w:hint="eastAsia"/>
                <w:sz w:val="24"/>
                <w:lang w:val="en-US" w:eastAsia="zh-CN"/>
              </w:rPr>
              <w:t>Q1：公司的能源技术服务产业在上半年实现营收77.76亿元，同比增长20.11%，大幅增长的主要原因是什么？</w:t>
            </w:r>
          </w:p>
          <w:p>
            <w:pPr>
              <w:rPr>
                <w:rFonts w:hint="default"/>
                <w:sz w:val="24"/>
                <w:lang w:val="en-US" w:eastAsia="zh-CN"/>
              </w:rPr>
            </w:pPr>
            <w:r>
              <w:rPr>
                <w:rFonts w:hint="default"/>
                <w:sz w:val="24"/>
                <w:lang w:val="en-US" w:eastAsia="zh-CN"/>
              </w:rPr>
              <w:t>A1：2024年上半年，能源技术服务产业保持了较高的收入增速，一方面是得益于国内油气公司深入推进油气增储上产“七年行动计划”，公司抓住有利时机，全力保障油气开发生产需求，全面提升“技术+装备/产品+服务”的一体化服务能力，合理安排生产经营，承接的油气上游相关业务工作量持续增加。另一方面，公司强化产业能力建设，围绕提高采收率、海上设施腐蚀防护一体化、低品位油田综合开发、水下生产系统等重点攻关方向，不断提升公司核心能力、竞争力和产品自主化率，通过新技术、新产品的应用，充分挖掘新的市场增量。</w:t>
            </w:r>
          </w:p>
          <w:p>
            <w:pPr>
              <w:rPr>
                <w:rFonts w:hint="default"/>
                <w:sz w:val="24"/>
                <w:lang w:val="en-US" w:eastAsia="zh-CN"/>
              </w:rPr>
            </w:pPr>
          </w:p>
          <w:p>
            <w:pPr>
              <w:rPr>
                <w:rFonts w:hint="default"/>
                <w:sz w:val="24"/>
                <w:lang w:val="en-US" w:eastAsia="zh-CN"/>
              </w:rPr>
            </w:pPr>
            <w:bookmarkStart w:id="0" w:name="_Toc2358"/>
            <w:r>
              <w:rPr>
                <w:rFonts w:hint="default"/>
                <w:sz w:val="24"/>
                <w:lang w:val="en-US" w:eastAsia="zh-CN"/>
              </w:rPr>
              <w:t>Q2：海油发展上半年经营活动现金流量净额同比下降48%，请介绍一下具体原因，预计全年该指标能得到改善吗？关注到目前公司资金相对充裕，请问公司在分红政策方面是怎么考虑的，未来利润分配方案是否还有进一步上调的空间？</w:t>
            </w:r>
            <w:bookmarkEnd w:id="0"/>
          </w:p>
          <w:p>
            <w:pPr>
              <w:rPr>
                <w:rFonts w:hint="default"/>
                <w:sz w:val="24"/>
                <w:lang w:val="en-US" w:eastAsia="zh-CN"/>
              </w:rPr>
            </w:pPr>
            <w:r>
              <w:rPr>
                <w:rFonts w:hint="default"/>
                <w:sz w:val="24"/>
                <w:lang w:val="en-US" w:eastAsia="zh-CN"/>
              </w:rPr>
              <w:t>A2:首先，关于上半年经营活动现金流的情况。2024年上半年，公司经营活动产生的现金流量净额12.62亿元，同比去年24.37亿元减少11.75亿元，下降48.21%。公司经营活动现金净流量大幅减少，</w:t>
            </w:r>
            <w:bookmarkStart w:id="1" w:name="_Hlk175832386"/>
            <w:r>
              <w:rPr>
                <w:rFonts w:hint="default"/>
                <w:sz w:val="24"/>
                <w:lang w:val="en-US" w:eastAsia="zh-CN"/>
              </w:rPr>
              <w:t>主要是2023年公司持续加强应收账款清收，年末集中收到主要客户付款，但对应的供应商大部分付款根据付款期于2024年上半年支付，收付款存在一定时间性差异。</w:t>
            </w:r>
            <w:bookmarkEnd w:id="1"/>
            <w:r>
              <w:rPr>
                <w:rFonts w:hint="default"/>
                <w:sz w:val="24"/>
                <w:lang w:val="en-US" w:eastAsia="zh-CN"/>
              </w:rPr>
              <w:t>通过加强应收管理、合理安排付款支出、降低经营资金占用等方式，二季度经营活动现金流量净额环比逐月好转，并实现上半年转正目标。但受收付款阶段性时间差异影响，导致经营活动现金流量净额同比仍下降48.21%。还原上述收付时间性差异影响，经营活动现金流量净额同比向好。</w:t>
            </w:r>
          </w:p>
          <w:p>
            <w:pPr>
              <w:ind w:firstLine="480" w:firstLineChars="200"/>
              <w:rPr>
                <w:rFonts w:hint="default"/>
                <w:sz w:val="24"/>
                <w:lang w:val="en-US" w:eastAsia="zh-CN"/>
              </w:rPr>
            </w:pPr>
            <w:r>
              <w:rPr>
                <w:rFonts w:hint="default"/>
                <w:sz w:val="24"/>
                <w:lang w:val="en-US" w:eastAsia="zh-CN"/>
              </w:rPr>
              <w:t>下半年，公司将持续在应收账款清收上发力，进一步提高资产周转效率，逐步增加经营活动现金流入量，降低时间性差异造成的经营活动现金流量净额指标的波动幅度，预计全年总体保持稳定增长态势。</w:t>
            </w:r>
          </w:p>
          <w:p>
            <w:pPr>
              <w:ind w:firstLine="480" w:firstLineChars="200"/>
              <w:rPr>
                <w:rFonts w:hint="default"/>
                <w:sz w:val="24"/>
                <w:lang w:val="en-US" w:eastAsia="zh-CN"/>
              </w:rPr>
            </w:pPr>
            <w:r>
              <w:rPr>
                <w:rFonts w:hint="default"/>
                <w:sz w:val="24"/>
                <w:lang w:val="en-US" w:eastAsia="zh-CN"/>
              </w:rPr>
              <w:t>其次，回答关于分红政策的问题。目前，公司资金充裕、流动性高，可以有效支撑公司生产经营正常运转、投资项目支出和稳定可持续的利润分配安排。与此同时，公司高度重视股东回报，一直努力保持稳定和可持续的现金分红政策。公司在制定年度利润分配方案时，综合考虑保持稳定的股息政策、保障公司现金安全、平衡长期投资与当期分红关系、传递资本市场信心等因素，在自由现金流稳定和充裕的情况下，总体保持分红比例、每股股利、股息率的稳定增长趋势，公司将持续努力提升经营业绩和经营质量，努力为股东争取更大、更稳定、更可持续的回报。</w:t>
            </w:r>
          </w:p>
          <w:p>
            <w:pPr>
              <w:rPr>
                <w:rFonts w:hint="default"/>
                <w:sz w:val="24"/>
                <w:lang w:val="en-US" w:eastAsia="zh-CN"/>
              </w:rPr>
            </w:pPr>
          </w:p>
          <w:p>
            <w:pPr>
              <w:rPr>
                <w:rFonts w:hint="default"/>
                <w:sz w:val="24"/>
                <w:lang w:val="en-US" w:eastAsia="zh-CN"/>
              </w:rPr>
            </w:pPr>
            <w:bookmarkStart w:id="2" w:name="_Toc22235"/>
            <w:r>
              <w:rPr>
                <w:rFonts w:hint="default"/>
                <w:sz w:val="24"/>
                <w:lang w:val="en-US" w:eastAsia="zh-CN"/>
              </w:rPr>
              <w:t>Q3：作为能源技术服务公司科技创新无疑是核心竞争力的重要体现，公司在半年请问公司在2024上半年在科技研发与技术创新方面取得了怎样的成果？</w:t>
            </w:r>
            <w:bookmarkEnd w:id="2"/>
          </w:p>
          <w:p>
            <w:pPr>
              <w:rPr>
                <w:rFonts w:hint="default"/>
                <w:sz w:val="24"/>
                <w:lang w:val="en-US" w:eastAsia="zh-CN"/>
              </w:rPr>
            </w:pPr>
            <w:r>
              <w:rPr>
                <w:rFonts w:hint="default"/>
                <w:sz w:val="24"/>
                <w:lang w:val="en-US" w:eastAsia="zh-CN"/>
              </w:rPr>
              <w:t>A3:公司始终坚持创新驱动发展战略，基于市场需求与产业结构体系构建七大技术体系，着力打造公司新质生产力，通过自主科研创新形成了一批关键核心技术，破解多项“卡脖子”难题，打造了系列化“标志性技术、标志性产品”，全力促进公司质量变革、效率变革、动力变革。</w:t>
            </w:r>
          </w:p>
          <w:p>
            <w:pPr>
              <w:ind w:firstLine="480" w:firstLineChars="200"/>
              <w:rPr>
                <w:rFonts w:hint="default"/>
                <w:sz w:val="24"/>
                <w:lang w:val="en-US" w:eastAsia="zh-CN"/>
              </w:rPr>
            </w:pPr>
            <w:r>
              <w:rPr>
                <w:rFonts w:hint="default"/>
                <w:sz w:val="24"/>
                <w:lang w:val="en-US" w:eastAsia="zh-CN"/>
              </w:rPr>
              <w:t>上半年，公司深入推进科技能力提升三年行动，全方位开展公司“技术谱系”梳理，持续强化核心技术攻关。国内首创5级分支井技术实钻试验成功，“10MW以下进口透平维修技术国产化研究与应用”顺利通过验收，海上天然气/伴生气国产化膜法碳捕集示范装置实现火炬“近零排放”。目前，公司拥有国家及省部级科技进步奖124项，建立企业级以上标准1,394项（包括国际标准14项、国家标准632项、行业标准674项、团体标准74项）。此外，公司拥有国家级研发平台等21个创新平台，拥有37家企业技术中心，运营海洋石油高效开发国家重点实验室、国家工业水处理工程技术研究中心等多个经科技部或工信部备案的国家级科研机构。</w:t>
            </w:r>
          </w:p>
          <w:p>
            <w:pPr>
              <w:rPr>
                <w:rFonts w:hint="default"/>
                <w:sz w:val="24"/>
                <w:lang w:val="en-US" w:eastAsia="zh-CN"/>
              </w:rPr>
            </w:pPr>
          </w:p>
          <w:p>
            <w:pPr>
              <w:rPr>
                <w:rFonts w:hint="default"/>
                <w:sz w:val="24"/>
                <w:lang w:val="en-US" w:eastAsia="zh-CN"/>
              </w:rPr>
            </w:pPr>
            <w:bookmarkStart w:id="3" w:name="_Toc19691"/>
            <w:r>
              <w:rPr>
                <w:rFonts w:hint="default"/>
                <w:sz w:val="24"/>
                <w:lang w:val="en-US" w:eastAsia="zh-CN"/>
              </w:rPr>
              <w:t>Q4：十四五以来，公司投资力度有所加大，请介绍下2024年上半年公司重点投资和推进了哪些项目？这些重点项目对后续公司经营有何影响？</w:t>
            </w:r>
            <w:bookmarkEnd w:id="3"/>
          </w:p>
          <w:p>
            <w:pPr>
              <w:rPr>
                <w:rFonts w:hint="default"/>
                <w:sz w:val="24"/>
                <w:lang w:val="en-US" w:eastAsia="zh-CN"/>
              </w:rPr>
            </w:pPr>
            <w:r>
              <w:rPr>
                <w:rFonts w:hint="default"/>
                <w:sz w:val="24"/>
                <w:lang w:val="en-US" w:eastAsia="zh-CN"/>
              </w:rPr>
              <w:t>A4：2024年公司延续了近年来的投资策略与投资力度，重点围绕海工装备、智能制造基地等方向，引导核心资源要素向重点领域聚焦，加快孵化产业新业态、构建商业新模式、形成发展新动能。</w:t>
            </w:r>
          </w:p>
          <w:p>
            <w:pPr>
              <w:ind w:firstLine="480" w:firstLineChars="200"/>
              <w:rPr>
                <w:rFonts w:hint="default"/>
                <w:sz w:val="24"/>
                <w:lang w:val="en-US" w:eastAsia="zh-CN"/>
              </w:rPr>
            </w:pPr>
            <w:r>
              <w:rPr>
                <w:rFonts w:hint="default"/>
                <w:sz w:val="24"/>
                <w:lang w:val="en-US" w:eastAsia="zh-CN"/>
              </w:rPr>
              <w:t>上半年，公司重点投资类工程项目建设稳步推进，“海洋石油115”FPSO坞修项目提前投运，LNG运输船项目（一期）首制船“绿能瀛”完工交付，我国首艘通过中国船级社入级建造检验的LNG运输加注船“海洋石油302”完成首船加注。公司承揽的东海地区首个EPC光伏项目—宁波终端分布式光伏建设项目成功并网发电。随着一系列立足主业、着眼未来的投资项目相继投产，相信一定会为公司高质量发展蓄力赋能。</w:t>
            </w:r>
          </w:p>
          <w:p>
            <w:pPr>
              <w:rPr>
                <w:rFonts w:hint="default"/>
                <w:sz w:val="24"/>
                <w:lang w:val="en-US" w:eastAsia="zh-CN"/>
              </w:rPr>
            </w:pPr>
          </w:p>
          <w:p>
            <w:pPr>
              <w:rPr>
                <w:rFonts w:hint="default"/>
                <w:sz w:val="24"/>
                <w:lang w:val="en-US" w:eastAsia="zh-CN"/>
              </w:rPr>
            </w:pPr>
            <w:bookmarkStart w:id="4" w:name="_Toc22609"/>
            <w:bookmarkStart w:id="5" w:name="_Toc20529"/>
            <w:r>
              <w:rPr>
                <w:rFonts w:hint="default"/>
                <w:sz w:val="24"/>
                <w:lang w:val="en-US" w:eastAsia="zh-CN"/>
              </w:rPr>
              <w:t>Q5：公司关联交易的费率依据是什么？价格体系是否有上浮的空间？</w:t>
            </w:r>
            <w:bookmarkEnd w:id="4"/>
            <w:bookmarkEnd w:id="5"/>
          </w:p>
          <w:p>
            <w:pPr>
              <w:rPr>
                <w:rFonts w:hint="default"/>
                <w:sz w:val="24"/>
                <w:lang w:val="en-US" w:eastAsia="zh-CN"/>
              </w:rPr>
            </w:pPr>
            <w:r>
              <w:rPr>
                <w:rFonts w:hint="default"/>
                <w:sz w:val="24"/>
                <w:lang w:val="en-US" w:eastAsia="zh-CN"/>
              </w:rPr>
              <w:t>A5：公司关联交易价格体系遵循公允性、规范性和公平性的市场化定价原则。目前有几种定价模式，一是费率类合同按照成本加成法确定合同价格，如设备设施维护维修服务、增产措施服务、钻采技术研究服务、海上配餐服务、海上通讯服务及仓储配送等服务。二是产品类合同按照成本加成法/管理费确定合同价格，如海供柴油、油田化学药剂、工业水处理药剂及涂料等产品。三是工程类合同按照工程定额确定合同价格，如管道涂覆工程、钻修井机模块建造、海上配套设施改造及外挂井槽等工程类业务。四是大型设备建造类合同按照投资项目内部收益率和项目的整体经济性情况，按市场化原则与客户谈判确定合同价格，如FPSO、环保船、LNG运输加注船及生活支持平台等大型装备。五是凝析油采购合同价格以市场同性质产品（布伦特原油）为基准，每月按照市场走势进行定价。</w:t>
            </w:r>
          </w:p>
          <w:p>
            <w:pPr>
              <w:ind w:firstLine="480" w:firstLineChars="200"/>
              <w:rPr>
                <w:rFonts w:hint="default"/>
                <w:sz w:val="24"/>
                <w:lang w:val="en-US" w:eastAsia="zh-CN"/>
              </w:rPr>
            </w:pPr>
            <w:r>
              <w:rPr>
                <w:rFonts w:hint="default"/>
                <w:sz w:val="24"/>
                <w:lang w:val="en-US" w:eastAsia="zh-CN"/>
              </w:rPr>
              <w:t>公司将持续推动能力建设、商务模式创新及产品品牌战略等相关工作，通过优化服务流程，提升服务质效，不断提高自身服务议价能力。</w:t>
            </w:r>
          </w:p>
          <w:p>
            <w:pPr>
              <w:rPr>
                <w:rFonts w:hint="default"/>
                <w:sz w:val="24"/>
                <w:lang w:val="en-US" w:eastAsia="zh-CN"/>
              </w:rPr>
            </w:pPr>
          </w:p>
          <w:p>
            <w:pPr>
              <w:rPr>
                <w:rFonts w:hint="default"/>
                <w:sz w:val="24"/>
                <w:lang w:val="en-US" w:eastAsia="zh-CN"/>
              </w:rPr>
            </w:pPr>
            <w:bookmarkStart w:id="6" w:name="_Toc20140"/>
            <w:r>
              <w:rPr>
                <w:rFonts w:hint="default"/>
                <w:sz w:val="24"/>
                <w:lang w:val="en-US" w:eastAsia="zh-CN"/>
              </w:rPr>
              <w:t>Q6：2024年，国资委提出了市值管理纳入央企负责人考核，请问公司在市值管理方面有没有进一步的目标和计划？</w:t>
            </w:r>
            <w:bookmarkEnd w:id="6"/>
          </w:p>
          <w:p>
            <w:pPr>
              <w:rPr>
                <w:rFonts w:hint="default"/>
                <w:sz w:val="24"/>
                <w:lang w:val="en-US" w:eastAsia="zh-CN"/>
              </w:rPr>
            </w:pPr>
            <w:r>
              <w:rPr>
                <w:rFonts w:hint="default"/>
                <w:sz w:val="24"/>
                <w:lang w:val="en-US" w:eastAsia="zh-CN"/>
              </w:rPr>
              <w:t>A6：公司持续关注到国资委关于将市值管理纳入央企负责人考核的相关事宜，但目前相关细则尚未出台，我们也将持续紧跟，做好相关工作的落实。</w:t>
            </w:r>
          </w:p>
          <w:p>
            <w:pPr>
              <w:ind w:firstLine="480" w:firstLineChars="200"/>
              <w:rPr>
                <w:rFonts w:hint="default"/>
                <w:sz w:val="24"/>
                <w:lang w:val="en-US" w:eastAsia="zh-CN"/>
              </w:rPr>
            </w:pPr>
            <w:r>
              <w:rPr>
                <w:rFonts w:hint="default"/>
                <w:sz w:val="24"/>
                <w:lang w:val="en-US" w:eastAsia="zh-CN"/>
              </w:rPr>
              <w:t>对公司来说，无论是董事会还是管理层，对市值管理工作都高度重视，持续做好价值创造和价值传递。在价值创造方面，公司围绕核心能力建设，大力推进“卡脖子”技术、深度塑造一体化服务能力，打造比较优势，持续提升产业竞争力。在价值传递方面，公司也是主动跟踪并及时回应投资者关切，分级分类开展常态化、多样化的投资者交流，近年来资本市场的认知度显著提升。通过以上的“内外兼修”举措，在资本市场树立稳健经营、稳定分红的公司形象，积极寻求公司估值与经营业绩的更加匹配。</w:t>
            </w:r>
          </w:p>
          <w:p>
            <w:pPr>
              <w:rPr>
                <w:rFonts w:hint="default"/>
                <w:sz w:val="24"/>
                <w:lang w:val="en-US" w:eastAsia="zh-CN"/>
              </w:rPr>
            </w:pPr>
          </w:p>
          <w:p>
            <w:pPr>
              <w:rPr>
                <w:rFonts w:hint="default"/>
                <w:sz w:val="24"/>
                <w:lang w:val="en-US" w:eastAsia="zh-CN"/>
              </w:rPr>
            </w:pPr>
            <w:bookmarkStart w:id="7" w:name="_Toc20548"/>
            <w:r>
              <w:rPr>
                <w:rFonts w:hint="default"/>
                <w:sz w:val="24"/>
                <w:lang w:val="en-US" w:eastAsia="zh-CN"/>
              </w:rPr>
              <w:t>Q7：对于2024年下半年经营规划，公司有怎样的预期和目标？</w:t>
            </w:r>
            <w:bookmarkEnd w:id="7"/>
          </w:p>
          <w:p>
            <w:pPr>
              <w:rPr>
                <w:rFonts w:hint="default"/>
                <w:sz w:val="24"/>
                <w:lang w:val="en-US" w:eastAsia="zh-CN"/>
              </w:rPr>
            </w:pPr>
            <w:r>
              <w:rPr>
                <w:rFonts w:hint="default"/>
                <w:sz w:val="24"/>
                <w:lang w:val="en-US" w:eastAsia="zh-CN"/>
              </w:rPr>
              <w:t>A7：下半年，公司将锚定全年经营目标，坚持质量第一、效益优先，引导关键资源精准有效投入，推动主业发展加速提质，推动传统业务高端化、智能化、绿色化转型升级，加大绿色低碳技术研发和推广力度。坚持以发展海洋能源新质生产力为重要着力点，进一步全面深化改革，更加注重科技创新引领、产业转型升级、精益管理提效和价值创造导向，突出发展能源技术服务产业，做强“基本盘”，加快发展低碳环保与数字化产业，打造“增长极”，做优做特能源物流服务产业，筑牢“硬支撑”，一体推动公司高质量发展和投资价值持续提升，以实际行动践行“以投资者为本”理念，为股东、客户和社会各方创造更大的价值回报。</w:t>
            </w:r>
          </w:p>
          <w:p>
            <w:pPr>
              <w:rPr>
                <w:rFonts w:hint="default"/>
                <w:sz w:val="24"/>
                <w:lang w:val="en-US" w:eastAsia="zh-CN"/>
              </w:rPr>
            </w:pPr>
          </w:p>
          <w:p>
            <w:pPr>
              <w:rPr>
                <w:rFonts w:hint="default"/>
                <w:sz w:val="24"/>
                <w:lang w:val="en-US" w:eastAsia="zh-CN"/>
              </w:rPr>
            </w:pPr>
            <w:bookmarkStart w:id="8" w:name="_Toc21135"/>
            <w:r>
              <w:rPr>
                <w:rFonts w:hint="default"/>
                <w:sz w:val="24"/>
                <w:lang w:val="en-US" w:eastAsia="zh-CN"/>
              </w:rPr>
              <w:t>Q8：中海油占25%权益的圭亚那项目开展的如火如荼，请介绍一下公司上半年海外市场的情况？在南美圭亚那、巴西等深水项目，公司有什么开拓计划？</w:t>
            </w:r>
            <w:bookmarkEnd w:id="8"/>
          </w:p>
          <w:p>
            <w:pPr>
              <w:rPr>
                <w:rFonts w:hint="default"/>
                <w:sz w:val="24"/>
                <w:lang w:val="en-US" w:eastAsia="zh-CN"/>
              </w:rPr>
            </w:pPr>
            <w:r>
              <w:rPr>
                <w:rFonts w:hint="default"/>
                <w:sz w:val="24"/>
                <w:lang w:val="en-US" w:eastAsia="zh-CN"/>
              </w:rPr>
              <w:t>A8：上半年，海油发展坚持海外业务聚焦“主责主业”与高质量发展要求，持续加大海外市场开发力度，积极布局“一带一路”国家市场。中亚区域取得油套管产品突破，产品交付和现场应用效果取得客户的认可，持续获得订单需求。东南亚区域开展印度尼西亚、马来西亚和文莱等国家市场调研，组织开展专项交流，就钻完井总包、油田生产技术服务等业务取得合作意向。中东区域加强市场开发力度，积极布局科威特等高端市场。非洲区域打造贝宁溢油应急一体化服务，积极拓展西非市场机会。</w:t>
            </w:r>
          </w:p>
          <w:p>
            <w:pPr>
              <w:ind w:firstLine="480" w:firstLineChars="200"/>
              <w:rPr>
                <w:rFonts w:hint="default"/>
                <w:sz w:val="24"/>
                <w:lang w:val="en-US" w:eastAsia="zh-CN"/>
              </w:rPr>
            </w:pPr>
            <w:r>
              <w:rPr>
                <w:rFonts w:hint="default"/>
                <w:sz w:val="24"/>
                <w:lang w:val="en-US" w:eastAsia="zh-CN"/>
              </w:rPr>
              <w:t>围绕圭亚那、巴西等南美市场，公司完成了圭亚那市场调研，下步计划对巴西深水项目开展调研，聚焦深水FPSO操维服务、油田生产设施完整性管理服务、溢油应急与QHSE培训服务等核心业务，提升海油发展深水技术服务能力，完善海外产业机构和区域布局。</w:t>
            </w:r>
          </w:p>
          <w:p>
            <w:pPr>
              <w:rPr>
                <w:rFonts w:hint="default"/>
                <w:sz w:val="24"/>
                <w:lang w:val="en-US" w:eastAsia="zh-CN"/>
              </w:rPr>
            </w:pPr>
          </w:p>
          <w:p>
            <w:pPr>
              <w:rPr>
                <w:rFonts w:hint="default"/>
                <w:sz w:val="24"/>
                <w:lang w:val="en-US" w:eastAsia="zh-CN"/>
              </w:rPr>
            </w:pPr>
            <w:r>
              <w:rPr>
                <w:rFonts w:hint="default"/>
                <w:sz w:val="24"/>
                <w:lang w:val="en-US" w:eastAsia="zh-CN"/>
              </w:rPr>
              <w:t>Q9：</w:t>
            </w:r>
            <w:r>
              <w:rPr>
                <w:rFonts w:hint="default"/>
                <w:sz w:val="24"/>
                <w:lang w:val="en-US" w:eastAsia="zh-CN"/>
              </w:rPr>
              <w:fldChar w:fldCharType="begin"/>
            </w:r>
            <w:r>
              <w:rPr>
                <w:rFonts w:hint="default"/>
                <w:sz w:val="24"/>
                <w:lang w:val="en-US" w:eastAsia="zh-CN"/>
              </w:rPr>
              <w:instrText xml:space="preserve"> HYPERLINK "https://xueqiu.com/S/00883?from=status_stock_match" </w:instrText>
            </w:r>
            <w:r>
              <w:rPr>
                <w:rFonts w:hint="default"/>
                <w:sz w:val="24"/>
                <w:lang w:val="en-US" w:eastAsia="zh-CN"/>
              </w:rPr>
              <w:fldChar w:fldCharType="separate"/>
            </w:r>
            <w:r>
              <w:rPr>
                <w:rFonts w:hint="default"/>
                <w:sz w:val="24"/>
                <w:lang w:val="en-US" w:eastAsia="zh-CN"/>
              </w:rPr>
              <w:t>中海油</w:t>
            </w:r>
            <w:r>
              <w:rPr>
                <w:rFonts w:hint="default"/>
                <w:sz w:val="24"/>
                <w:lang w:val="en-US" w:eastAsia="zh-CN"/>
              </w:rPr>
              <w:fldChar w:fldCharType="end"/>
            </w:r>
            <w:r>
              <w:rPr>
                <w:rFonts w:hint="default"/>
                <w:sz w:val="24"/>
                <w:lang w:val="en-US" w:eastAsia="zh-CN"/>
              </w:rPr>
              <w:t>目前正在深入开展南海、渤海和陆上三个万亿大气区建设，请问天然气开采和石油开采在技术上有什么不同？天然气产量大幅增长对公司业务有什么影响？</w:t>
            </w:r>
          </w:p>
          <w:p>
            <w:pPr>
              <w:rPr>
                <w:rFonts w:hint="default"/>
                <w:sz w:val="24"/>
                <w:lang w:val="en-US" w:eastAsia="zh-CN"/>
              </w:rPr>
            </w:pPr>
            <w:r>
              <w:rPr>
                <w:rFonts w:hint="default"/>
                <w:sz w:val="24"/>
                <w:lang w:val="en-US" w:eastAsia="zh-CN"/>
              </w:rPr>
              <w:t>A9：天然气开采和石油开采在技术上主要存在两方面不同。一是钻井技术方面，油井在钻井过程中更多需要考虑井眼的稳定性和石油的流通通道；天然气井在钻井过程中更注重井的密封性和安全性，防止天然气泄漏。二是在开采方式方面，石油开采主要通过电潜泵等设备将石油从地下提升至地面，并采用注水注气等方式提高开采速度和采收率；天然气开采常常利用天然气田的自然压力将天然气推向生产井，不需要额外的能量输入。</w:t>
            </w:r>
          </w:p>
          <w:p>
            <w:pPr>
              <w:ind w:firstLine="480" w:firstLineChars="200"/>
              <w:rPr>
                <w:rFonts w:hint="default" w:ascii="宋体" w:hAnsi="宋体" w:eastAsia="宋体" w:cs="宋体"/>
                <w:sz w:val="24"/>
                <w:lang w:val="en-US" w:eastAsia="zh-CN"/>
              </w:rPr>
            </w:pPr>
            <w:r>
              <w:rPr>
                <w:rFonts w:hint="default"/>
                <w:sz w:val="24"/>
                <w:lang w:val="en-US" w:eastAsia="zh-CN"/>
              </w:rPr>
              <w:t>随着中海油三个万亿大气区建设的深入开展，将积极促进公司业务规模和发展质量的提升。同时，随着天然气开发的增长，公司也将不断通过科研技术创新和商务模式创新，适应市场变化和客户需求，持续为客户提供专业化和高效的服务。</w:t>
            </w:r>
            <w:bookmarkStart w:id="9" w:name="_GoBack"/>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4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bCs/>
                <w:sz w:val="24"/>
              </w:rPr>
            </w:pPr>
            <w:r>
              <w:rPr>
                <w:rFonts w:hint="eastAsia" w:ascii="Arial" w:hAnsi="Arial"/>
                <w:bCs/>
                <w:sz w:val="24"/>
              </w:rPr>
              <w:t>附件清单（如有）</w:t>
            </w:r>
          </w:p>
        </w:tc>
        <w:tc>
          <w:tcPr>
            <w:tcW w:w="4353"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Arial" w:hAnsi="Arial"/>
                <w:bCs/>
                <w:sz w:val="24"/>
              </w:rPr>
            </w:pPr>
          </w:p>
          <w:p>
            <w:pPr>
              <w:spacing w:line="360" w:lineRule="auto"/>
              <w:rPr>
                <w:rFonts w:ascii="Arial" w:hAnsi="Arial"/>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Arial" w:hAnsi="Arial"/>
                <w:bCs/>
                <w:sz w:val="24"/>
              </w:rPr>
            </w:pPr>
            <w:r>
              <w:rPr>
                <w:rFonts w:hint="eastAsia" w:ascii="Arial" w:hAnsi="Arial"/>
                <w:bCs/>
                <w:sz w:val="24"/>
              </w:rPr>
              <w:t>备注</w:t>
            </w:r>
          </w:p>
        </w:tc>
        <w:tc>
          <w:tcPr>
            <w:tcW w:w="4353"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Arial" w:hAnsi="Arial"/>
                <w:bCs/>
                <w:sz w:val="24"/>
              </w:rPr>
            </w:pPr>
          </w:p>
          <w:p>
            <w:pPr>
              <w:spacing w:line="360" w:lineRule="auto"/>
              <w:rPr>
                <w:rFonts w:ascii="Arial" w:hAnsi="Arial"/>
                <w:bCs/>
                <w:sz w:val="24"/>
              </w:rPr>
            </w:pPr>
          </w:p>
        </w:tc>
      </w:tr>
    </w:tbl>
    <w:p>
      <w:pPr>
        <w:spacing w:line="360" w:lineRule="auto"/>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AF"/>
    <w:rsid w:val="000064E8"/>
    <w:rsid w:val="00014730"/>
    <w:rsid w:val="0001671F"/>
    <w:rsid w:val="000249CF"/>
    <w:rsid w:val="000322B8"/>
    <w:rsid w:val="000514E2"/>
    <w:rsid w:val="00064957"/>
    <w:rsid w:val="0007152A"/>
    <w:rsid w:val="00092E77"/>
    <w:rsid w:val="000959C1"/>
    <w:rsid w:val="00095F49"/>
    <w:rsid w:val="000B2D26"/>
    <w:rsid w:val="000B5A0A"/>
    <w:rsid w:val="000C39CE"/>
    <w:rsid w:val="000C4415"/>
    <w:rsid w:val="000E3B6B"/>
    <w:rsid w:val="000F0D13"/>
    <w:rsid w:val="000F3391"/>
    <w:rsid w:val="00102C7B"/>
    <w:rsid w:val="00120BE7"/>
    <w:rsid w:val="00131336"/>
    <w:rsid w:val="00133145"/>
    <w:rsid w:val="00133934"/>
    <w:rsid w:val="00145654"/>
    <w:rsid w:val="00145874"/>
    <w:rsid w:val="0015176B"/>
    <w:rsid w:val="001640C6"/>
    <w:rsid w:val="00166E1D"/>
    <w:rsid w:val="00172322"/>
    <w:rsid w:val="00196E68"/>
    <w:rsid w:val="001B5980"/>
    <w:rsid w:val="001C3EE5"/>
    <w:rsid w:val="001C5E58"/>
    <w:rsid w:val="001C7FAB"/>
    <w:rsid w:val="001E701A"/>
    <w:rsid w:val="001F2BC6"/>
    <w:rsid w:val="001F53CD"/>
    <w:rsid w:val="00201181"/>
    <w:rsid w:val="00205C9B"/>
    <w:rsid w:val="002138F3"/>
    <w:rsid w:val="00217AD1"/>
    <w:rsid w:val="002234F1"/>
    <w:rsid w:val="00225F72"/>
    <w:rsid w:val="00231B7C"/>
    <w:rsid w:val="00232F5E"/>
    <w:rsid w:val="00251396"/>
    <w:rsid w:val="00262377"/>
    <w:rsid w:val="002917B0"/>
    <w:rsid w:val="00295886"/>
    <w:rsid w:val="0029714B"/>
    <w:rsid w:val="002A2354"/>
    <w:rsid w:val="002A7C64"/>
    <w:rsid w:val="002B3178"/>
    <w:rsid w:val="002B4C51"/>
    <w:rsid w:val="002C37B7"/>
    <w:rsid w:val="002D2D15"/>
    <w:rsid w:val="002D7106"/>
    <w:rsid w:val="002D71D3"/>
    <w:rsid w:val="002F08B5"/>
    <w:rsid w:val="002F105B"/>
    <w:rsid w:val="002F5019"/>
    <w:rsid w:val="002F57FB"/>
    <w:rsid w:val="003045BD"/>
    <w:rsid w:val="00337B48"/>
    <w:rsid w:val="00375169"/>
    <w:rsid w:val="00381350"/>
    <w:rsid w:val="0038279B"/>
    <w:rsid w:val="0038654F"/>
    <w:rsid w:val="00392023"/>
    <w:rsid w:val="00392EE5"/>
    <w:rsid w:val="003932E8"/>
    <w:rsid w:val="00396048"/>
    <w:rsid w:val="003A38F1"/>
    <w:rsid w:val="003B0A80"/>
    <w:rsid w:val="003C2D07"/>
    <w:rsid w:val="003C3CB2"/>
    <w:rsid w:val="003D4279"/>
    <w:rsid w:val="003D4E0A"/>
    <w:rsid w:val="003E0FCB"/>
    <w:rsid w:val="003E50AE"/>
    <w:rsid w:val="003F0C6C"/>
    <w:rsid w:val="0040026C"/>
    <w:rsid w:val="004115C5"/>
    <w:rsid w:val="00420C25"/>
    <w:rsid w:val="00425AD3"/>
    <w:rsid w:val="004261A5"/>
    <w:rsid w:val="00456B57"/>
    <w:rsid w:val="00461F34"/>
    <w:rsid w:val="00483104"/>
    <w:rsid w:val="0049413B"/>
    <w:rsid w:val="004A2313"/>
    <w:rsid w:val="004A48AF"/>
    <w:rsid w:val="004A5953"/>
    <w:rsid w:val="004A5CD1"/>
    <w:rsid w:val="004B64F0"/>
    <w:rsid w:val="004B6CCB"/>
    <w:rsid w:val="004C68C2"/>
    <w:rsid w:val="004E1560"/>
    <w:rsid w:val="004F6986"/>
    <w:rsid w:val="005028F2"/>
    <w:rsid w:val="00502AC1"/>
    <w:rsid w:val="00505C7F"/>
    <w:rsid w:val="00513939"/>
    <w:rsid w:val="00516029"/>
    <w:rsid w:val="0051704B"/>
    <w:rsid w:val="00520481"/>
    <w:rsid w:val="005306D2"/>
    <w:rsid w:val="005329E3"/>
    <w:rsid w:val="0053346B"/>
    <w:rsid w:val="00540D89"/>
    <w:rsid w:val="005415B8"/>
    <w:rsid w:val="005569B7"/>
    <w:rsid w:val="00576C16"/>
    <w:rsid w:val="005A675E"/>
    <w:rsid w:val="005B2535"/>
    <w:rsid w:val="005B2C08"/>
    <w:rsid w:val="005C0791"/>
    <w:rsid w:val="005F7998"/>
    <w:rsid w:val="006061B0"/>
    <w:rsid w:val="00613CB3"/>
    <w:rsid w:val="006339AA"/>
    <w:rsid w:val="00640637"/>
    <w:rsid w:val="006408CD"/>
    <w:rsid w:val="00642E5E"/>
    <w:rsid w:val="00647EF4"/>
    <w:rsid w:val="00667668"/>
    <w:rsid w:val="00670515"/>
    <w:rsid w:val="006A672C"/>
    <w:rsid w:val="006B23BF"/>
    <w:rsid w:val="006B31D9"/>
    <w:rsid w:val="006C55E7"/>
    <w:rsid w:val="006D0D9C"/>
    <w:rsid w:val="006D497F"/>
    <w:rsid w:val="006E211A"/>
    <w:rsid w:val="006E3954"/>
    <w:rsid w:val="00700F38"/>
    <w:rsid w:val="007207CB"/>
    <w:rsid w:val="0074245B"/>
    <w:rsid w:val="007500D3"/>
    <w:rsid w:val="00767BBE"/>
    <w:rsid w:val="007740D1"/>
    <w:rsid w:val="00781232"/>
    <w:rsid w:val="0078494D"/>
    <w:rsid w:val="00791A85"/>
    <w:rsid w:val="007A4BB1"/>
    <w:rsid w:val="007B4526"/>
    <w:rsid w:val="007B4B1C"/>
    <w:rsid w:val="007D2AA9"/>
    <w:rsid w:val="007D2DAD"/>
    <w:rsid w:val="007D6C5F"/>
    <w:rsid w:val="007F3F8D"/>
    <w:rsid w:val="007F52F9"/>
    <w:rsid w:val="00814B49"/>
    <w:rsid w:val="00820A07"/>
    <w:rsid w:val="0084183B"/>
    <w:rsid w:val="008418D3"/>
    <w:rsid w:val="00841B87"/>
    <w:rsid w:val="00842582"/>
    <w:rsid w:val="00852F42"/>
    <w:rsid w:val="00857736"/>
    <w:rsid w:val="00870841"/>
    <w:rsid w:val="00870E6D"/>
    <w:rsid w:val="00894C66"/>
    <w:rsid w:val="008A52A1"/>
    <w:rsid w:val="008D6D3B"/>
    <w:rsid w:val="008E16D4"/>
    <w:rsid w:val="008F33BB"/>
    <w:rsid w:val="0090720B"/>
    <w:rsid w:val="00915626"/>
    <w:rsid w:val="0092052F"/>
    <w:rsid w:val="00920A70"/>
    <w:rsid w:val="00931DF2"/>
    <w:rsid w:val="0094094D"/>
    <w:rsid w:val="00951C25"/>
    <w:rsid w:val="00952E2F"/>
    <w:rsid w:val="00953621"/>
    <w:rsid w:val="00955BD4"/>
    <w:rsid w:val="009734F6"/>
    <w:rsid w:val="0097646C"/>
    <w:rsid w:val="00982303"/>
    <w:rsid w:val="009A0AA8"/>
    <w:rsid w:val="009A0FDB"/>
    <w:rsid w:val="009A667A"/>
    <w:rsid w:val="009A6897"/>
    <w:rsid w:val="009A7E7D"/>
    <w:rsid w:val="009B0E27"/>
    <w:rsid w:val="009D0879"/>
    <w:rsid w:val="009D50D4"/>
    <w:rsid w:val="009F1F15"/>
    <w:rsid w:val="009F2007"/>
    <w:rsid w:val="009F4A15"/>
    <w:rsid w:val="00A016D7"/>
    <w:rsid w:val="00A06781"/>
    <w:rsid w:val="00A2008F"/>
    <w:rsid w:val="00A2669E"/>
    <w:rsid w:val="00A27FDB"/>
    <w:rsid w:val="00A32E27"/>
    <w:rsid w:val="00A46331"/>
    <w:rsid w:val="00A54A1D"/>
    <w:rsid w:val="00A56E13"/>
    <w:rsid w:val="00A64E11"/>
    <w:rsid w:val="00A7677A"/>
    <w:rsid w:val="00A80C96"/>
    <w:rsid w:val="00A9782D"/>
    <w:rsid w:val="00AA30E5"/>
    <w:rsid w:val="00AA751C"/>
    <w:rsid w:val="00AB1D47"/>
    <w:rsid w:val="00AE00F9"/>
    <w:rsid w:val="00AE6AAD"/>
    <w:rsid w:val="00AF0540"/>
    <w:rsid w:val="00B146C4"/>
    <w:rsid w:val="00B266A9"/>
    <w:rsid w:val="00B32FB4"/>
    <w:rsid w:val="00B34808"/>
    <w:rsid w:val="00B57DE2"/>
    <w:rsid w:val="00B61024"/>
    <w:rsid w:val="00B62DBF"/>
    <w:rsid w:val="00B63DDA"/>
    <w:rsid w:val="00B64A83"/>
    <w:rsid w:val="00B94426"/>
    <w:rsid w:val="00BA29F6"/>
    <w:rsid w:val="00BB6048"/>
    <w:rsid w:val="00BC06D0"/>
    <w:rsid w:val="00BD605B"/>
    <w:rsid w:val="00C2418C"/>
    <w:rsid w:val="00C31F14"/>
    <w:rsid w:val="00C42181"/>
    <w:rsid w:val="00C622EA"/>
    <w:rsid w:val="00C7176C"/>
    <w:rsid w:val="00C818BD"/>
    <w:rsid w:val="00C81F5B"/>
    <w:rsid w:val="00CA2C89"/>
    <w:rsid w:val="00CA3859"/>
    <w:rsid w:val="00CD0EC1"/>
    <w:rsid w:val="00CE53D2"/>
    <w:rsid w:val="00D02FF1"/>
    <w:rsid w:val="00D07FB4"/>
    <w:rsid w:val="00D12A2E"/>
    <w:rsid w:val="00D140C0"/>
    <w:rsid w:val="00D459BA"/>
    <w:rsid w:val="00D6600B"/>
    <w:rsid w:val="00D67300"/>
    <w:rsid w:val="00D67AA4"/>
    <w:rsid w:val="00D72A6F"/>
    <w:rsid w:val="00D75EFF"/>
    <w:rsid w:val="00D762C1"/>
    <w:rsid w:val="00D87F10"/>
    <w:rsid w:val="00D915CA"/>
    <w:rsid w:val="00D91F02"/>
    <w:rsid w:val="00D9302B"/>
    <w:rsid w:val="00DA2171"/>
    <w:rsid w:val="00DA3392"/>
    <w:rsid w:val="00DA34B0"/>
    <w:rsid w:val="00DA6434"/>
    <w:rsid w:val="00DB0F03"/>
    <w:rsid w:val="00DB3D89"/>
    <w:rsid w:val="00DC1EC5"/>
    <w:rsid w:val="00DC26ED"/>
    <w:rsid w:val="00DD156D"/>
    <w:rsid w:val="00DE5486"/>
    <w:rsid w:val="00DF4270"/>
    <w:rsid w:val="00E1402E"/>
    <w:rsid w:val="00E2445B"/>
    <w:rsid w:val="00E26F36"/>
    <w:rsid w:val="00E27AE2"/>
    <w:rsid w:val="00E54867"/>
    <w:rsid w:val="00E65FD5"/>
    <w:rsid w:val="00E878A5"/>
    <w:rsid w:val="00E947C4"/>
    <w:rsid w:val="00EB501A"/>
    <w:rsid w:val="00EC087B"/>
    <w:rsid w:val="00EC140C"/>
    <w:rsid w:val="00EC4B5E"/>
    <w:rsid w:val="00ED2FEA"/>
    <w:rsid w:val="00ED5B82"/>
    <w:rsid w:val="00EF595C"/>
    <w:rsid w:val="00EF63B5"/>
    <w:rsid w:val="00F065EA"/>
    <w:rsid w:val="00F12982"/>
    <w:rsid w:val="00F46311"/>
    <w:rsid w:val="00F54829"/>
    <w:rsid w:val="00F55C2F"/>
    <w:rsid w:val="00F5728D"/>
    <w:rsid w:val="00F76932"/>
    <w:rsid w:val="00F804AA"/>
    <w:rsid w:val="00F8256E"/>
    <w:rsid w:val="00F828C0"/>
    <w:rsid w:val="00F84A96"/>
    <w:rsid w:val="00F91EC5"/>
    <w:rsid w:val="00F930C8"/>
    <w:rsid w:val="00F9390C"/>
    <w:rsid w:val="00F959DE"/>
    <w:rsid w:val="00FB2757"/>
    <w:rsid w:val="00FB2E13"/>
    <w:rsid w:val="00FB36AF"/>
    <w:rsid w:val="00FD7CDB"/>
    <w:rsid w:val="00FE4171"/>
    <w:rsid w:val="0130215C"/>
    <w:rsid w:val="06DC7859"/>
    <w:rsid w:val="07F118A7"/>
    <w:rsid w:val="108E0C2E"/>
    <w:rsid w:val="11E00E28"/>
    <w:rsid w:val="14B8165B"/>
    <w:rsid w:val="18931874"/>
    <w:rsid w:val="22903F40"/>
    <w:rsid w:val="2428786F"/>
    <w:rsid w:val="250E6BFE"/>
    <w:rsid w:val="2FC015D3"/>
    <w:rsid w:val="300F2202"/>
    <w:rsid w:val="30E8054D"/>
    <w:rsid w:val="33C01926"/>
    <w:rsid w:val="34584414"/>
    <w:rsid w:val="370D1705"/>
    <w:rsid w:val="37697DF6"/>
    <w:rsid w:val="3C9E1F83"/>
    <w:rsid w:val="40190FE2"/>
    <w:rsid w:val="40516596"/>
    <w:rsid w:val="424413B5"/>
    <w:rsid w:val="430420E0"/>
    <w:rsid w:val="579266F5"/>
    <w:rsid w:val="5B6B7E52"/>
    <w:rsid w:val="5C9B4908"/>
    <w:rsid w:val="5E0D31DF"/>
    <w:rsid w:val="5E831ACF"/>
    <w:rsid w:val="5F331135"/>
    <w:rsid w:val="5FCE799C"/>
    <w:rsid w:val="60A9304C"/>
    <w:rsid w:val="60D72176"/>
    <w:rsid w:val="61727C75"/>
    <w:rsid w:val="6C4876F4"/>
    <w:rsid w:val="72724C57"/>
    <w:rsid w:val="73194621"/>
    <w:rsid w:val="73D357FF"/>
    <w:rsid w:val="73E21972"/>
    <w:rsid w:val="76901005"/>
    <w:rsid w:val="793A669D"/>
    <w:rsid w:val="799646AA"/>
    <w:rsid w:val="7AF74291"/>
    <w:rsid w:val="7DB33A51"/>
    <w:rsid w:val="7E9F0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Body Text Indent 2"/>
    <w:basedOn w:val="1"/>
    <w:qFormat/>
    <w:uiPriority w:val="0"/>
    <w:pPr>
      <w:ind w:left="420"/>
    </w:pPr>
    <w:rPr>
      <w:rFonts w:asciiTheme="minorHAnsi" w:hAnsiTheme="minorHAnsi" w:eastAsiaTheme="minorEastAsia" w:cstheme="minorBidi"/>
      <w:b/>
      <w:sz w:val="24"/>
    </w:rPr>
  </w:style>
  <w:style w:type="paragraph" w:styleId="5">
    <w:name w:val="Balloon Text"/>
    <w:basedOn w:val="1"/>
    <w:link w:val="12"/>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7"/>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批注框文本 字符"/>
    <w:basedOn w:val="10"/>
    <w:link w:val="5"/>
    <w:semiHidden/>
    <w:qFormat/>
    <w:uiPriority w:val="99"/>
    <w:rPr>
      <w:rFonts w:ascii="Calibri" w:hAnsi="Calibri" w:eastAsia="宋体" w:cs="Times New Roman"/>
      <w:sz w:val="18"/>
      <w:szCs w:val="18"/>
    </w:rPr>
  </w:style>
  <w:style w:type="character" w:customStyle="1" w:styleId="13">
    <w:name w:val="页眉 字符"/>
    <w:basedOn w:val="10"/>
    <w:link w:val="7"/>
    <w:qFormat/>
    <w:uiPriority w:val="99"/>
    <w:rPr>
      <w:rFonts w:ascii="Calibri" w:hAnsi="Calibri" w:eastAsia="宋体" w:cs="Times New Roman"/>
      <w:sz w:val="18"/>
      <w:szCs w:val="18"/>
    </w:rPr>
  </w:style>
  <w:style w:type="character" w:customStyle="1" w:styleId="14">
    <w:name w:val="页脚 字符"/>
    <w:basedOn w:val="10"/>
    <w:link w:val="6"/>
    <w:qFormat/>
    <w:uiPriority w:val="99"/>
    <w:rPr>
      <w:rFonts w:ascii="Calibri" w:hAnsi="Calibri" w:eastAsia="宋体" w:cs="Times New Roman"/>
      <w:sz w:val="18"/>
      <w:szCs w:val="18"/>
    </w:rPr>
  </w:style>
  <w:style w:type="paragraph" w:styleId="15">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6">
    <w:name w:val="批注文字 字符"/>
    <w:basedOn w:val="10"/>
    <w:link w:val="3"/>
    <w:semiHidden/>
    <w:qFormat/>
    <w:uiPriority w:val="99"/>
    <w:rPr>
      <w:rFonts w:ascii="Calibri" w:hAnsi="Calibri" w:eastAsia="宋体" w:cs="Times New Roman"/>
      <w:szCs w:val="24"/>
    </w:rPr>
  </w:style>
  <w:style w:type="character" w:customStyle="1" w:styleId="17">
    <w:name w:val="批注主题 字符"/>
    <w:basedOn w:val="16"/>
    <w:link w:val="8"/>
    <w:semiHidden/>
    <w:qFormat/>
    <w:uiPriority w:val="99"/>
    <w:rPr>
      <w:rFonts w:ascii="Calibri" w:hAnsi="Calibri" w:eastAsia="宋体" w:cs="Times New Roman"/>
      <w:b/>
      <w:bCs/>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393</Words>
  <Characters>2243</Characters>
  <Lines>18</Lines>
  <Paragraphs>5</Paragraphs>
  <TotalTime>9</TotalTime>
  <ScaleCrop>false</ScaleCrop>
  <LinksUpToDate>false</LinksUpToDate>
  <CharactersWithSpaces>2631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2023-06-07T07:24:00Z</dcterms:created>
  <dc:creator>Xu Zhengrong</dc:creator>
  <cp:lastModifiedBy>高 静</cp:lastModifiedBy>
  <cp:lastPrinted>2021-04-22T01:41:00Z</cp:lastPrinted>
  <dcterms:modified xsi:type="dcterms:W3CDTF">2024-09-09T01:13:00Z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9C512B22A36348A8BE8F6E00CCDD951E</vt:lpwstr>
  </property>
</Properties>
</file>