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2A27" w14:textId="415E515A" w:rsidR="00047CD6" w:rsidRPr="00433B43" w:rsidRDefault="00047BAA">
      <w:pPr>
        <w:pStyle w:val="1"/>
        <w:rPr>
          <w:rFonts w:asciiTheme="minorEastAsia" w:eastAsiaTheme="minorEastAsia" w:hAnsiTheme="minorEastAsia" w:cs="宋体"/>
          <w:b/>
          <w:sz w:val="24"/>
          <w:szCs w:val="24"/>
          <w:lang w:val="en-US"/>
        </w:rPr>
      </w:pPr>
      <w:r w:rsidRPr="00433B43">
        <w:rPr>
          <w:rFonts w:asciiTheme="minorEastAsia" w:eastAsiaTheme="minorEastAsia" w:hAnsiTheme="minorEastAsia" w:cs="宋体" w:hint="eastAsia"/>
          <w:b/>
          <w:sz w:val="24"/>
          <w:szCs w:val="24"/>
          <w:lang w:val="en-US"/>
        </w:rPr>
        <w:t xml:space="preserve">证券代码：600927                               </w:t>
      </w:r>
      <w:r w:rsidR="00433B43">
        <w:rPr>
          <w:rFonts w:asciiTheme="minorEastAsia" w:eastAsiaTheme="minorEastAsia" w:hAnsiTheme="minorEastAsia" w:cs="宋体" w:hint="eastAsia"/>
          <w:b/>
          <w:sz w:val="24"/>
          <w:szCs w:val="24"/>
          <w:lang w:val="en-US"/>
        </w:rPr>
        <w:t xml:space="preserve">   </w:t>
      </w:r>
      <w:r w:rsidRPr="00433B43">
        <w:rPr>
          <w:rFonts w:asciiTheme="minorEastAsia" w:eastAsiaTheme="minorEastAsia" w:hAnsiTheme="minorEastAsia" w:cs="宋体" w:hint="eastAsia"/>
          <w:b/>
          <w:sz w:val="24"/>
          <w:szCs w:val="24"/>
          <w:lang w:val="en-US"/>
        </w:rPr>
        <w:t>证券简称：永安期货</w:t>
      </w:r>
    </w:p>
    <w:p w14:paraId="02F3FEC8" w14:textId="77777777" w:rsidR="00047CD6" w:rsidRPr="00433B43" w:rsidRDefault="00047CD6">
      <w:pPr>
        <w:spacing w:line="360" w:lineRule="auto"/>
        <w:jc w:val="center"/>
        <w:rPr>
          <w:rFonts w:asciiTheme="minorEastAsia" w:eastAsiaTheme="minorEastAsia" w:hAnsiTheme="minorEastAsia" w:cs="宋体"/>
          <w:b/>
          <w:bCs/>
          <w:sz w:val="24"/>
          <w:szCs w:val="24"/>
        </w:rPr>
      </w:pPr>
    </w:p>
    <w:p w14:paraId="2E62666E" w14:textId="77777777" w:rsidR="00047CD6" w:rsidRPr="00433B43" w:rsidRDefault="00047BAA">
      <w:pPr>
        <w:spacing w:line="360" w:lineRule="auto"/>
        <w:jc w:val="center"/>
        <w:rPr>
          <w:rFonts w:asciiTheme="minorEastAsia" w:eastAsiaTheme="minorEastAsia" w:hAnsiTheme="minorEastAsia" w:cs="宋体"/>
          <w:b/>
          <w:bCs/>
          <w:sz w:val="32"/>
          <w:szCs w:val="32"/>
        </w:rPr>
      </w:pPr>
      <w:r w:rsidRPr="00433B43">
        <w:rPr>
          <w:rFonts w:asciiTheme="minorEastAsia" w:eastAsiaTheme="minorEastAsia" w:hAnsiTheme="minorEastAsia" w:cs="宋体" w:hint="eastAsia"/>
          <w:b/>
          <w:bCs/>
          <w:sz w:val="32"/>
          <w:szCs w:val="32"/>
        </w:rPr>
        <w:t>永安期货股份有限公司</w:t>
      </w:r>
    </w:p>
    <w:p w14:paraId="2528E23D" w14:textId="77777777" w:rsidR="00047CD6" w:rsidRPr="00433B43" w:rsidRDefault="00047BAA">
      <w:pPr>
        <w:spacing w:line="360" w:lineRule="auto"/>
        <w:jc w:val="center"/>
        <w:rPr>
          <w:rFonts w:asciiTheme="minorEastAsia" w:eastAsiaTheme="minorEastAsia" w:hAnsiTheme="minorEastAsia" w:cs="宋体"/>
          <w:sz w:val="32"/>
          <w:szCs w:val="32"/>
        </w:rPr>
      </w:pPr>
      <w:r w:rsidRPr="00433B43">
        <w:rPr>
          <w:rFonts w:asciiTheme="minorEastAsia" w:eastAsiaTheme="minorEastAsia" w:hAnsiTheme="minorEastAsia" w:cs="宋体" w:hint="eastAsia"/>
          <w:b/>
          <w:bCs/>
          <w:sz w:val="32"/>
          <w:szCs w:val="32"/>
        </w:rPr>
        <w:t>投资者关系活动记录表</w:t>
      </w:r>
    </w:p>
    <w:p w14:paraId="24B56EC5" w14:textId="3BCA8CFA" w:rsidR="00047CD6" w:rsidRPr="00433B43" w:rsidRDefault="00047BAA" w:rsidP="00433B43">
      <w:pPr>
        <w:spacing w:before="51" w:after="32"/>
        <w:ind w:right="619"/>
        <w:rPr>
          <w:rFonts w:asciiTheme="minorEastAsia" w:eastAsiaTheme="minorEastAsia" w:hAnsiTheme="minorEastAsia" w:cs="宋体"/>
          <w:b/>
          <w:sz w:val="24"/>
          <w:szCs w:val="24"/>
        </w:rPr>
      </w:pPr>
      <w:r w:rsidRPr="00433B43">
        <w:rPr>
          <w:rFonts w:asciiTheme="minorEastAsia" w:eastAsiaTheme="minorEastAsia" w:hAnsiTheme="minorEastAsia" w:cs="宋体" w:hint="eastAsia"/>
          <w:b/>
          <w:sz w:val="24"/>
          <w:szCs w:val="24"/>
        </w:rPr>
        <w:t>编号：</w:t>
      </w:r>
      <w:r w:rsidRPr="00433B43">
        <w:rPr>
          <w:rFonts w:asciiTheme="minorEastAsia" w:eastAsiaTheme="minorEastAsia" w:hAnsiTheme="minorEastAsia" w:cs="宋体" w:hint="eastAsia"/>
          <w:b/>
          <w:sz w:val="24"/>
          <w:szCs w:val="24"/>
          <w:lang w:val="en-US"/>
        </w:rPr>
        <w:t>2024</w:t>
      </w:r>
      <w:r w:rsidRPr="00433B43">
        <w:rPr>
          <w:rFonts w:asciiTheme="minorEastAsia" w:eastAsiaTheme="minorEastAsia" w:hAnsiTheme="minorEastAsia" w:cs="宋体" w:hint="eastAsia"/>
          <w:b/>
          <w:sz w:val="24"/>
          <w:szCs w:val="24"/>
        </w:rPr>
        <w:t>-</w:t>
      </w:r>
      <w:r w:rsidR="006F14FC">
        <w:rPr>
          <w:rFonts w:asciiTheme="minorEastAsia" w:eastAsiaTheme="minorEastAsia" w:hAnsiTheme="minorEastAsia" w:cs="宋体"/>
          <w:b/>
          <w:sz w:val="24"/>
          <w:szCs w:val="24"/>
        </w:rPr>
        <w:t>003</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830"/>
        <w:gridCol w:w="5695"/>
      </w:tblGrid>
      <w:tr w:rsidR="00047CD6" w:rsidRPr="00433B43" w14:paraId="295D884D" w14:textId="77777777" w:rsidTr="00D47178">
        <w:trPr>
          <w:trHeight w:val="2107"/>
          <w:jc w:val="center"/>
        </w:trPr>
        <w:tc>
          <w:tcPr>
            <w:tcW w:w="2830" w:type="dxa"/>
            <w:vAlign w:val="center"/>
          </w:tcPr>
          <w:p w14:paraId="14C09DB3" w14:textId="4433E2BE" w:rsidR="00047CD6" w:rsidRPr="00433B43" w:rsidRDefault="00047BAA" w:rsidP="00D47178">
            <w:pPr>
              <w:pStyle w:val="TableParagraph"/>
              <w:spacing w:before="1"/>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投资者关系活动类别</w:t>
            </w:r>
          </w:p>
        </w:tc>
        <w:tc>
          <w:tcPr>
            <w:tcW w:w="5695" w:type="dxa"/>
            <w:vAlign w:val="center"/>
          </w:tcPr>
          <w:p w14:paraId="28332516" w14:textId="30280946" w:rsidR="00047CD6" w:rsidRPr="00433B43" w:rsidRDefault="00FA7A77" w:rsidP="00F271F3">
            <w:pPr>
              <w:pStyle w:val="TableParagraph"/>
              <w:tabs>
                <w:tab w:val="left" w:pos="2418"/>
              </w:tabs>
              <w:spacing w:beforeLines="50" w:before="120"/>
              <w:ind w:left="107"/>
              <w:rPr>
                <w:rFonts w:asciiTheme="minorEastAsia" w:eastAsiaTheme="minorEastAsia" w:hAnsiTheme="minorEastAsia" w:cs="宋体"/>
                <w:sz w:val="24"/>
                <w:szCs w:val="24"/>
              </w:rPr>
            </w:pPr>
            <w:sdt>
              <w:sdtPr>
                <w:rPr>
                  <w:rFonts w:asciiTheme="minorEastAsia" w:eastAsiaTheme="minorEastAsia" w:hAnsiTheme="minorEastAsia" w:cs="宋体" w:hint="eastAsia"/>
                  <w:sz w:val="24"/>
                  <w:szCs w:val="24"/>
                </w:rPr>
                <w:id w:val="249780449"/>
                <w14:checkbox>
                  <w14:checked w14:val="0"/>
                  <w14:checkedState w14:val="0052" w14:font="Wingdings 2"/>
                  <w14:uncheckedState w14:val="2610" w14:font="MS Gothic"/>
                </w14:checkbox>
              </w:sdtPr>
              <w:sdtEndPr/>
              <w:sdtContent>
                <w:r w:rsidR="00FD6168">
                  <w:rPr>
                    <w:rFonts w:ascii="MS Gothic" w:eastAsia="MS Gothic" w:hAnsi="MS Gothic" w:cs="宋体" w:hint="eastAsia"/>
                    <w:sz w:val="24"/>
                    <w:szCs w:val="24"/>
                  </w:rPr>
                  <w:t>☐</w:t>
                </w:r>
              </w:sdtContent>
            </w:sdt>
            <w:r w:rsidR="00047BAA" w:rsidRPr="00433B43">
              <w:rPr>
                <w:rFonts w:asciiTheme="minorEastAsia" w:eastAsiaTheme="minorEastAsia" w:hAnsiTheme="minorEastAsia" w:cs="宋体" w:hint="eastAsia"/>
                <w:sz w:val="24"/>
                <w:szCs w:val="24"/>
              </w:rPr>
              <w:t>特</w:t>
            </w:r>
            <w:r w:rsidR="00047BAA" w:rsidRPr="00433B43">
              <w:rPr>
                <w:rFonts w:asciiTheme="minorEastAsia" w:eastAsiaTheme="minorEastAsia" w:hAnsiTheme="minorEastAsia" w:cs="宋体" w:hint="eastAsia"/>
                <w:spacing w:val="-3"/>
                <w:sz w:val="24"/>
                <w:szCs w:val="24"/>
              </w:rPr>
              <w:t>定</w:t>
            </w:r>
            <w:r w:rsidR="00047BAA" w:rsidRPr="00433B43">
              <w:rPr>
                <w:rFonts w:asciiTheme="minorEastAsia" w:eastAsiaTheme="minorEastAsia" w:hAnsiTheme="minorEastAsia" w:cs="宋体" w:hint="eastAsia"/>
                <w:sz w:val="24"/>
                <w:szCs w:val="24"/>
              </w:rPr>
              <w:t>对</w:t>
            </w:r>
            <w:r w:rsidR="00047BAA" w:rsidRPr="00433B43">
              <w:rPr>
                <w:rFonts w:asciiTheme="minorEastAsia" w:eastAsiaTheme="minorEastAsia" w:hAnsiTheme="minorEastAsia" w:cs="宋体" w:hint="eastAsia"/>
                <w:spacing w:val="-3"/>
                <w:sz w:val="24"/>
                <w:szCs w:val="24"/>
              </w:rPr>
              <w:t>象</w:t>
            </w:r>
            <w:r w:rsidR="00047BAA" w:rsidRPr="00433B43">
              <w:rPr>
                <w:rFonts w:asciiTheme="minorEastAsia" w:eastAsiaTheme="minorEastAsia" w:hAnsiTheme="minorEastAsia" w:cs="宋体" w:hint="eastAsia"/>
                <w:sz w:val="24"/>
                <w:szCs w:val="24"/>
              </w:rPr>
              <w:t>调研</w:t>
            </w:r>
            <w:r w:rsidR="00047BAA" w:rsidRPr="00433B43">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416875725"/>
                <w14:checkbox>
                  <w14:checked w14:val="0"/>
                  <w14:checkedState w14:val="0052" w14:font="Wingdings 2"/>
                  <w14:uncheckedState w14:val="2610" w14:font="MS Gothic"/>
                </w14:checkbox>
              </w:sdtPr>
              <w:sdtEndPr/>
              <w:sdtContent>
                <w:r w:rsidR="00047BAA" w:rsidRPr="00433B43">
                  <w:rPr>
                    <w:rFonts w:ascii="Segoe UI Symbol" w:eastAsiaTheme="minorEastAsia" w:hAnsi="Segoe UI Symbol" w:cs="Segoe UI Symbol"/>
                    <w:sz w:val="24"/>
                    <w:szCs w:val="24"/>
                  </w:rPr>
                  <w:t>☐</w:t>
                </w:r>
              </w:sdtContent>
            </w:sdt>
            <w:r w:rsidR="00047BAA" w:rsidRPr="00433B43">
              <w:rPr>
                <w:rFonts w:asciiTheme="minorEastAsia" w:eastAsiaTheme="minorEastAsia" w:hAnsiTheme="minorEastAsia" w:cs="宋体" w:hint="eastAsia"/>
                <w:sz w:val="24"/>
                <w:szCs w:val="24"/>
              </w:rPr>
              <w:t>分</w:t>
            </w:r>
            <w:r w:rsidR="00047BAA" w:rsidRPr="00433B43">
              <w:rPr>
                <w:rFonts w:asciiTheme="minorEastAsia" w:eastAsiaTheme="minorEastAsia" w:hAnsiTheme="minorEastAsia" w:cs="宋体" w:hint="eastAsia"/>
                <w:spacing w:val="-3"/>
                <w:sz w:val="24"/>
                <w:szCs w:val="24"/>
              </w:rPr>
              <w:t>析</w:t>
            </w:r>
            <w:r w:rsidR="00047BAA" w:rsidRPr="00433B43">
              <w:rPr>
                <w:rFonts w:asciiTheme="minorEastAsia" w:eastAsiaTheme="minorEastAsia" w:hAnsiTheme="minorEastAsia" w:cs="宋体" w:hint="eastAsia"/>
                <w:sz w:val="24"/>
                <w:szCs w:val="24"/>
              </w:rPr>
              <w:t>师</w:t>
            </w:r>
            <w:r w:rsidR="00047BAA" w:rsidRPr="00433B43">
              <w:rPr>
                <w:rFonts w:asciiTheme="minorEastAsia" w:eastAsiaTheme="minorEastAsia" w:hAnsiTheme="minorEastAsia" w:cs="宋体" w:hint="eastAsia"/>
                <w:spacing w:val="-3"/>
                <w:sz w:val="24"/>
                <w:szCs w:val="24"/>
              </w:rPr>
              <w:t>会</w:t>
            </w:r>
            <w:r w:rsidR="00047BAA" w:rsidRPr="00433B43">
              <w:rPr>
                <w:rFonts w:asciiTheme="minorEastAsia" w:eastAsiaTheme="minorEastAsia" w:hAnsiTheme="minorEastAsia" w:cs="宋体" w:hint="eastAsia"/>
                <w:sz w:val="24"/>
                <w:szCs w:val="24"/>
              </w:rPr>
              <w:t>议</w:t>
            </w:r>
          </w:p>
          <w:p w14:paraId="320CE856" w14:textId="1D2C8447" w:rsidR="00047CD6" w:rsidRPr="00433B43" w:rsidRDefault="00FA7A77" w:rsidP="00F271F3">
            <w:pPr>
              <w:pStyle w:val="TableParagraph"/>
              <w:tabs>
                <w:tab w:val="left" w:pos="2418"/>
              </w:tabs>
              <w:spacing w:beforeLines="50" w:before="120"/>
              <w:ind w:left="107"/>
              <w:rPr>
                <w:rFonts w:asciiTheme="minorEastAsia" w:eastAsiaTheme="minorEastAsia" w:hAnsiTheme="minorEastAsia" w:cs="宋体"/>
                <w:sz w:val="24"/>
                <w:szCs w:val="24"/>
              </w:rPr>
            </w:pPr>
            <w:sdt>
              <w:sdtPr>
                <w:rPr>
                  <w:rFonts w:asciiTheme="minorEastAsia" w:eastAsiaTheme="minorEastAsia" w:hAnsiTheme="minorEastAsia" w:cs="宋体" w:hint="eastAsia"/>
                  <w:sz w:val="24"/>
                  <w:szCs w:val="24"/>
                </w:rPr>
                <w:id w:val="1206906014"/>
                <w14:checkbox>
                  <w14:checked w14:val="0"/>
                  <w14:checkedState w14:val="0052" w14:font="Wingdings 2"/>
                  <w14:uncheckedState w14:val="2610" w14:font="MS Gothic"/>
                </w14:checkbox>
              </w:sdtPr>
              <w:sdtEndPr/>
              <w:sdtContent>
                <w:r w:rsidR="00433B43">
                  <w:rPr>
                    <w:rFonts w:ascii="MS Gothic" w:eastAsia="MS Gothic" w:hAnsi="MS Gothic" w:cs="宋体" w:hint="eastAsia"/>
                    <w:sz w:val="24"/>
                    <w:szCs w:val="24"/>
                  </w:rPr>
                  <w:t>☐</w:t>
                </w:r>
              </w:sdtContent>
            </w:sdt>
            <w:r w:rsidR="00047BAA" w:rsidRPr="00433B43">
              <w:rPr>
                <w:rFonts w:asciiTheme="minorEastAsia" w:eastAsiaTheme="minorEastAsia" w:hAnsiTheme="minorEastAsia" w:cs="宋体" w:hint="eastAsia"/>
                <w:sz w:val="24"/>
                <w:szCs w:val="24"/>
              </w:rPr>
              <w:t>媒</w:t>
            </w:r>
            <w:r w:rsidR="00047BAA" w:rsidRPr="00433B43">
              <w:rPr>
                <w:rFonts w:asciiTheme="minorEastAsia" w:eastAsiaTheme="minorEastAsia" w:hAnsiTheme="minorEastAsia" w:cs="宋体" w:hint="eastAsia"/>
                <w:spacing w:val="-3"/>
                <w:sz w:val="24"/>
                <w:szCs w:val="24"/>
              </w:rPr>
              <w:t>体</w:t>
            </w:r>
            <w:r w:rsidR="00047BAA" w:rsidRPr="00433B43">
              <w:rPr>
                <w:rFonts w:asciiTheme="minorEastAsia" w:eastAsiaTheme="minorEastAsia" w:hAnsiTheme="minorEastAsia" w:cs="宋体" w:hint="eastAsia"/>
                <w:sz w:val="24"/>
                <w:szCs w:val="24"/>
              </w:rPr>
              <w:t>采访</w:t>
            </w:r>
            <w:r w:rsidR="00047BAA" w:rsidRPr="00433B43">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66658901"/>
                <w14:checkbox>
                  <w14:checked w14:val="1"/>
                  <w14:checkedState w14:val="0052" w14:font="Wingdings 2"/>
                  <w14:uncheckedState w14:val="2610" w14:font="MS Gothic"/>
                </w14:checkbox>
              </w:sdtPr>
              <w:sdtEndPr/>
              <w:sdtContent>
                <w:r w:rsidR="00433B43">
                  <w:rPr>
                    <w:rFonts w:asciiTheme="minorEastAsia" w:eastAsiaTheme="minorEastAsia" w:hAnsiTheme="minorEastAsia" w:cs="宋体" w:hint="eastAsia"/>
                    <w:sz w:val="24"/>
                    <w:szCs w:val="24"/>
                  </w:rPr>
                  <w:sym w:font="Wingdings 2" w:char="F052"/>
                </w:r>
              </w:sdtContent>
            </w:sdt>
            <w:r w:rsidR="00047BAA" w:rsidRPr="00433B43">
              <w:rPr>
                <w:rFonts w:asciiTheme="minorEastAsia" w:eastAsiaTheme="minorEastAsia" w:hAnsiTheme="minorEastAsia" w:cs="宋体" w:hint="eastAsia"/>
                <w:sz w:val="24"/>
                <w:szCs w:val="24"/>
              </w:rPr>
              <w:t>业</w:t>
            </w:r>
            <w:r w:rsidR="00047BAA" w:rsidRPr="00433B43">
              <w:rPr>
                <w:rFonts w:asciiTheme="minorEastAsia" w:eastAsiaTheme="minorEastAsia" w:hAnsiTheme="minorEastAsia" w:cs="宋体" w:hint="eastAsia"/>
                <w:spacing w:val="-3"/>
                <w:sz w:val="24"/>
                <w:szCs w:val="24"/>
              </w:rPr>
              <w:t>绩</w:t>
            </w:r>
            <w:r w:rsidR="00047BAA" w:rsidRPr="00433B43">
              <w:rPr>
                <w:rFonts w:asciiTheme="minorEastAsia" w:eastAsiaTheme="minorEastAsia" w:hAnsiTheme="minorEastAsia" w:cs="宋体" w:hint="eastAsia"/>
                <w:sz w:val="24"/>
                <w:szCs w:val="24"/>
              </w:rPr>
              <w:t>说</w:t>
            </w:r>
            <w:r w:rsidR="00047BAA" w:rsidRPr="00433B43">
              <w:rPr>
                <w:rFonts w:asciiTheme="minorEastAsia" w:eastAsiaTheme="minorEastAsia" w:hAnsiTheme="minorEastAsia" w:cs="宋体" w:hint="eastAsia"/>
                <w:spacing w:val="-3"/>
                <w:sz w:val="24"/>
                <w:szCs w:val="24"/>
              </w:rPr>
              <w:t>明</w:t>
            </w:r>
            <w:r w:rsidR="00047BAA" w:rsidRPr="00433B43">
              <w:rPr>
                <w:rFonts w:asciiTheme="minorEastAsia" w:eastAsiaTheme="minorEastAsia" w:hAnsiTheme="minorEastAsia" w:cs="宋体" w:hint="eastAsia"/>
                <w:sz w:val="24"/>
                <w:szCs w:val="24"/>
              </w:rPr>
              <w:t>会</w:t>
            </w:r>
          </w:p>
          <w:p w14:paraId="02E288B9" w14:textId="7290C738" w:rsidR="00047CD6" w:rsidRPr="00433B43" w:rsidRDefault="00FA7A77" w:rsidP="00F271F3">
            <w:pPr>
              <w:pStyle w:val="TableParagraph"/>
              <w:tabs>
                <w:tab w:val="left" w:pos="2418"/>
              </w:tabs>
              <w:spacing w:beforeLines="50" w:before="120"/>
              <w:ind w:left="107"/>
              <w:rPr>
                <w:rFonts w:asciiTheme="minorEastAsia" w:eastAsiaTheme="minorEastAsia" w:hAnsiTheme="minorEastAsia" w:cs="宋体"/>
                <w:sz w:val="24"/>
                <w:szCs w:val="24"/>
              </w:rPr>
            </w:pPr>
            <w:sdt>
              <w:sdtPr>
                <w:rPr>
                  <w:rFonts w:asciiTheme="minorEastAsia" w:eastAsiaTheme="minorEastAsia" w:hAnsiTheme="minorEastAsia" w:cs="宋体" w:hint="eastAsia"/>
                  <w:sz w:val="24"/>
                  <w:szCs w:val="24"/>
                </w:rPr>
                <w:id w:val="-1848167434"/>
                <w14:checkbox>
                  <w14:checked w14:val="0"/>
                  <w14:checkedState w14:val="0052" w14:font="Wingdings 2"/>
                  <w14:uncheckedState w14:val="2610" w14:font="MS Gothic"/>
                </w14:checkbox>
              </w:sdtPr>
              <w:sdtEndPr/>
              <w:sdtContent>
                <w:r w:rsidR="00047BAA" w:rsidRPr="00433B43">
                  <w:rPr>
                    <w:rFonts w:ascii="Segoe UI Symbol" w:eastAsiaTheme="minorEastAsia" w:hAnsi="Segoe UI Symbol" w:cs="Segoe UI Symbol"/>
                    <w:sz w:val="24"/>
                    <w:szCs w:val="24"/>
                  </w:rPr>
                  <w:t>☐</w:t>
                </w:r>
              </w:sdtContent>
            </w:sdt>
            <w:r w:rsidR="00047BAA" w:rsidRPr="00433B43">
              <w:rPr>
                <w:rFonts w:asciiTheme="minorEastAsia" w:eastAsiaTheme="minorEastAsia" w:hAnsiTheme="minorEastAsia" w:cs="宋体" w:hint="eastAsia"/>
                <w:sz w:val="24"/>
                <w:szCs w:val="24"/>
              </w:rPr>
              <w:t>新</w:t>
            </w:r>
            <w:r w:rsidR="00047BAA" w:rsidRPr="00433B43">
              <w:rPr>
                <w:rFonts w:asciiTheme="minorEastAsia" w:eastAsiaTheme="minorEastAsia" w:hAnsiTheme="minorEastAsia" w:cs="宋体" w:hint="eastAsia"/>
                <w:spacing w:val="-3"/>
                <w:sz w:val="24"/>
                <w:szCs w:val="24"/>
              </w:rPr>
              <w:t>闻</w:t>
            </w:r>
            <w:r w:rsidR="00047BAA" w:rsidRPr="00433B43">
              <w:rPr>
                <w:rFonts w:asciiTheme="minorEastAsia" w:eastAsiaTheme="minorEastAsia" w:hAnsiTheme="minorEastAsia" w:cs="宋体" w:hint="eastAsia"/>
                <w:sz w:val="24"/>
                <w:szCs w:val="24"/>
              </w:rPr>
              <w:t>发</w:t>
            </w:r>
            <w:r w:rsidR="00047BAA" w:rsidRPr="00433B43">
              <w:rPr>
                <w:rFonts w:asciiTheme="minorEastAsia" w:eastAsiaTheme="minorEastAsia" w:hAnsiTheme="minorEastAsia" w:cs="宋体" w:hint="eastAsia"/>
                <w:spacing w:val="-3"/>
                <w:sz w:val="24"/>
                <w:szCs w:val="24"/>
              </w:rPr>
              <w:t>布</w:t>
            </w:r>
            <w:r w:rsidR="00047BAA" w:rsidRPr="00433B43">
              <w:rPr>
                <w:rFonts w:asciiTheme="minorEastAsia" w:eastAsiaTheme="minorEastAsia" w:hAnsiTheme="minorEastAsia" w:cs="宋体" w:hint="eastAsia"/>
                <w:sz w:val="24"/>
                <w:szCs w:val="24"/>
              </w:rPr>
              <w:t>会</w:t>
            </w:r>
            <w:r w:rsidR="00047BAA" w:rsidRPr="00433B43">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412049691"/>
                <w14:checkbox>
                  <w14:checked w14:val="0"/>
                  <w14:checkedState w14:val="0052" w14:font="Wingdings 2"/>
                  <w14:uncheckedState w14:val="2610" w14:font="MS Gothic"/>
                </w14:checkbox>
              </w:sdtPr>
              <w:sdtEndPr/>
              <w:sdtContent>
                <w:r w:rsidR="00047BAA" w:rsidRPr="00433B43">
                  <w:rPr>
                    <w:rFonts w:ascii="Segoe UI Symbol" w:eastAsiaTheme="minorEastAsia" w:hAnsi="Segoe UI Symbol" w:cs="Segoe UI Symbol"/>
                    <w:sz w:val="24"/>
                    <w:szCs w:val="24"/>
                  </w:rPr>
                  <w:t>☐</w:t>
                </w:r>
              </w:sdtContent>
            </w:sdt>
            <w:r w:rsidR="00047BAA" w:rsidRPr="00433B43">
              <w:rPr>
                <w:rFonts w:asciiTheme="minorEastAsia" w:eastAsiaTheme="minorEastAsia" w:hAnsiTheme="minorEastAsia" w:cs="宋体" w:hint="eastAsia"/>
                <w:sz w:val="24"/>
                <w:szCs w:val="24"/>
              </w:rPr>
              <w:t>路</w:t>
            </w:r>
            <w:r w:rsidR="00047BAA" w:rsidRPr="00433B43">
              <w:rPr>
                <w:rFonts w:asciiTheme="minorEastAsia" w:eastAsiaTheme="minorEastAsia" w:hAnsiTheme="minorEastAsia" w:cs="宋体" w:hint="eastAsia"/>
                <w:spacing w:val="-3"/>
                <w:sz w:val="24"/>
                <w:szCs w:val="24"/>
              </w:rPr>
              <w:t>演</w:t>
            </w:r>
            <w:r w:rsidR="00047BAA" w:rsidRPr="00433B43">
              <w:rPr>
                <w:rFonts w:asciiTheme="minorEastAsia" w:eastAsiaTheme="minorEastAsia" w:hAnsiTheme="minorEastAsia" w:cs="宋体" w:hint="eastAsia"/>
                <w:sz w:val="24"/>
                <w:szCs w:val="24"/>
              </w:rPr>
              <w:t>活动</w:t>
            </w:r>
          </w:p>
          <w:p w14:paraId="04D3F718" w14:textId="2D6C6CAB" w:rsidR="00047CD6" w:rsidRPr="00433B43" w:rsidRDefault="00FA7A77" w:rsidP="00F271F3">
            <w:pPr>
              <w:pStyle w:val="TableParagraph"/>
              <w:spacing w:beforeLines="50" w:before="120"/>
              <w:ind w:left="107"/>
              <w:rPr>
                <w:rFonts w:asciiTheme="minorEastAsia" w:eastAsiaTheme="minorEastAsia" w:hAnsiTheme="minorEastAsia" w:cs="宋体"/>
                <w:sz w:val="24"/>
                <w:szCs w:val="24"/>
              </w:rPr>
            </w:pPr>
            <w:sdt>
              <w:sdtPr>
                <w:rPr>
                  <w:rFonts w:asciiTheme="minorEastAsia" w:eastAsiaTheme="minorEastAsia" w:hAnsiTheme="minorEastAsia" w:cs="宋体" w:hint="eastAsia"/>
                  <w:sz w:val="24"/>
                  <w:szCs w:val="24"/>
                </w:rPr>
                <w:id w:val="-1333366911"/>
                <w14:checkbox>
                  <w14:checked w14:val="0"/>
                  <w14:checkedState w14:val="0052" w14:font="Wingdings 2"/>
                  <w14:uncheckedState w14:val="2610" w14:font="MS Gothic"/>
                </w14:checkbox>
              </w:sdtPr>
              <w:sdtEndPr/>
              <w:sdtContent>
                <w:r w:rsidR="00047BAA" w:rsidRPr="00433B43">
                  <w:rPr>
                    <w:rFonts w:ascii="Segoe UI Symbol" w:eastAsiaTheme="minorEastAsia" w:hAnsi="Segoe UI Symbol" w:cs="Segoe UI Symbol"/>
                    <w:sz w:val="24"/>
                    <w:szCs w:val="24"/>
                  </w:rPr>
                  <w:t>☐</w:t>
                </w:r>
              </w:sdtContent>
            </w:sdt>
            <w:r w:rsidR="00047BAA" w:rsidRPr="00433B43">
              <w:rPr>
                <w:rFonts w:asciiTheme="minorEastAsia" w:eastAsiaTheme="minorEastAsia" w:hAnsiTheme="minorEastAsia" w:cs="宋体" w:hint="eastAsia"/>
                <w:sz w:val="24"/>
                <w:szCs w:val="24"/>
              </w:rPr>
              <w:t>现场参观</w:t>
            </w:r>
          </w:p>
          <w:p w14:paraId="3D1A6247" w14:textId="77777777" w:rsidR="00047CD6" w:rsidRPr="00433B43" w:rsidRDefault="00FA7A77" w:rsidP="00F271F3">
            <w:pPr>
              <w:pStyle w:val="TableParagraph"/>
              <w:spacing w:beforeLines="50" w:before="120"/>
              <w:ind w:left="107"/>
              <w:rPr>
                <w:rFonts w:asciiTheme="minorEastAsia" w:eastAsiaTheme="minorEastAsia" w:hAnsiTheme="minorEastAsia" w:cs="宋体"/>
                <w:sz w:val="24"/>
                <w:szCs w:val="24"/>
              </w:rPr>
            </w:pPr>
            <w:sdt>
              <w:sdtPr>
                <w:rPr>
                  <w:rFonts w:asciiTheme="minorEastAsia" w:eastAsiaTheme="minorEastAsia" w:hAnsiTheme="minorEastAsia" w:cs="宋体" w:hint="eastAsia"/>
                  <w:sz w:val="24"/>
                  <w:szCs w:val="24"/>
                </w:rPr>
                <w:id w:val="400885218"/>
                <w14:checkbox>
                  <w14:checked w14:val="0"/>
                  <w14:checkedState w14:val="0052" w14:font="Wingdings 2"/>
                  <w14:uncheckedState w14:val="2610" w14:font="MS Gothic"/>
                </w14:checkbox>
              </w:sdtPr>
              <w:sdtEndPr/>
              <w:sdtContent>
                <w:r w:rsidR="00047BAA" w:rsidRPr="00433B43">
                  <w:rPr>
                    <w:rFonts w:ascii="Segoe UI Symbol" w:eastAsiaTheme="minorEastAsia" w:hAnsi="Segoe UI Symbol" w:cs="Segoe UI Symbol"/>
                    <w:sz w:val="24"/>
                    <w:szCs w:val="24"/>
                  </w:rPr>
                  <w:t>☐</w:t>
                </w:r>
              </w:sdtContent>
            </w:sdt>
            <w:r w:rsidR="00047BAA" w:rsidRPr="00433B43">
              <w:rPr>
                <w:rFonts w:asciiTheme="minorEastAsia" w:eastAsiaTheme="minorEastAsia" w:hAnsiTheme="minorEastAsia" w:cs="宋体" w:hint="eastAsia"/>
                <w:sz w:val="24"/>
                <w:szCs w:val="24"/>
              </w:rPr>
              <w:t>其他（</w:t>
            </w:r>
            <w:r w:rsidR="00047BAA" w:rsidRPr="00433B43">
              <w:rPr>
                <w:rFonts w:asciiTheme="minorEastAsia" w:eastAsiaTheme="minorEastAsia" w:hAnsiTheme="minorEastAsia" w:cs="宋体" w:hint="eastAsia"/>
                <w:sz w:val="24"/>
                <w:szCs w:val="24"/>
                <w:u w:val="single"/>
              </w:rPr>
              <w:t>请文字说明其他活动内容）</w:t>
            </w:r>
          </w:p>
        </w:tc>
      </w:tr>
      <w:tr w:rsidR="00047CD6" w:rsidRPr="00433B43" w14:paraId="7EDB4D54" w14:textId="77777777" w:rsidTr="00D47178">
        <w:trPr>
          <w:trHeight w:val="1120"/>
          <w:jc w:val="center"/>
        </w:trPr>
        <w:tc>
          <w:tcPr>
            <w:tcW w:w="2830" w:type="dxa"/>
            <w:vAlign w:val="center"/>
          </w:tcPr>
          <w:p w14:paraId="4264B276" w14:textId="77777777" w:rsidR="00047CD6" w:rsidRPr="00433B43" w:rsidRDefault="00047BAA" w:rsidP="00D47178">
            <w:pPr>
              <w:pStyle w:val="TableParagraph"/>
              <w:spacing w:line="560" w:lineRule="exact"/>
              <w:ind w:right="96"/>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参与单位名称及人员姓名</w:t>
            </w:r>
          </w:p>
        </w:tc>
        <w:tc>
          <w:tcPr>
            <w:tcW w:w="5695" w:type="dxa"/>
            <w:vAlign w:val="center"/>
          </w:tcPr>
          <w:p w14:paraId="6772F0CF" w14:textId="77777777" w:rsidR="00047CD6" w:rsidRPr="00433B43" w:rsidRDefault="00047BAA">
            <w:pPr>
              <w:pStyle w:val="TableParagraph"/>
              <w:spacing w:before="100" w:beforeAutospacing="1" w:line="360" w:lineRule="auto"/>
              <w:rPr>
                <w:rFonts w:asciiTheme="minorEastAsia" w:eastAsiaTheme="minorEastAsia" w:hAnsiTheme="minorEastAsia" w:cs="宋体"/>
                <w:sz w:val="24"/>
                <w:szCs w:val="24"/>
                <w:lang w:val="en-US"/>
              </w:rPr>
            </w:pPr>
            <w:r w:rsidRPr="00433B43">
              <w:rPr>
                <w:rFonts w:asciiTheme="minorEastAsia" w:eastAsiaTheme="minorEastAsia" w:hAnsiTheme="minorEastAsia" w:cs="宋体" w:hint="eastAsia"/>
                <w:sz w:val="24"/>
                <w:szCs w:val="24"/>
                <w:lang w:val="en-US"/>
              </w:rPr>
              <w:t>线上参与公司2024年半年度业绩说明会的全体投资者</w:t>
            </w:r>
          </w:p>
        </w:tc>
      </w:tr>
      <w:tr w:rsidR="00047CD6" w:rsidRPr="00433B43" w14:paraId="4ADCFA1B" w14:textId="77777777" w:rsidTr="00D47178">
        <w:trPr>
          <w:trHeight w:val="558"/>
          <w:jc w:val="center"/>
        </w:trPr>
        <w:tc>
          <w:tcPr>
            <w:tcW w:w="2830" w:type="dxa"/>
            <w:vAlign w:val="center"/>
          </w:tcPr>
          <w:p w14:paraId="7FD51B57" w14:textId="77777777" w:rsidR="00047CD6" w:rsidRPr="00433B43" w:rsidRDefault="00047BAA">
            <w:pPr>
              <w:pStyle w:val="TableParagraph"/>
              <w:ind w:left="107"/>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时间</w:t>
            </w:r>
          </w:p>
        </w:tc>
        <w:tc>
          <w:tcPr>
            <w:tcW w:w="5695" w:type="dxa"/>
            <w:vAlign w:val="center"/>
          </w:tcPr>
          <w:p w14:paraId="3DB022EA" w14:textId="787BCBA6" w:rsidR="00047CD6" w:rsidRPr="00433B43" w:rsidRDefault="00047BAA">
            <w:pPr>
              <w:spacing w:before="100" w:beforeAutospacing="1" w:line="360" w:lineRule="auto"/>
              <w:rPr>
                <w:rFonts w:asciiTheme="minorEastAsia" w:eastAsiaTheme="minorEastAsia" w:hAnsiTheme="minorEastAsia"/>
                <w:sz w:val="24"/>
                <w:szCs w:val="24"/>
              </w:rPr>
            </w:pPr>
            <w:r w:rsidRPr="00433B43">
              <w:rPr>
                <w:rFonts w:asciiTheme="minorEastAsia" w:eastAsiaTheme="minorEastAsia" w:hAnsiTheme="minorEastAsia" w:cstheme="minorEastAsia" w:hint="eastAsia"/>
                <w:sz w:val="24"/>
                <w:szCs w:val="24"/>
              </w:rPr>
              <w:t>2024年9月10日 10:00-11:00</w:t>
            </w:r>
          </w:p>
        </w:tc>
      </w:tr>
      <w:tr w:rsidR="00047CD6" w:rsidRPr="00433B43" w14:paraId="6359A5EA" w14:textId="77777777" w:rsidTr="00D47178">
        <w:trPr>
          <w:trHeight w:val="561"/>
          <w:jc w:val="center"/>
        </w:trPr>
        <w:tc>
          <w:tcPr>
            <w:tcW w:w="2830" w:type="dxa"/>
            <w:vAlign w:val="center"/>
          </w:tcPr>
          <w:p w14:paraId="49FC783A" w14:textId="77777777" w:rsidR="00047CD6" w:rsidRPr="00433B43" w:rsidRDefault="00047BAA">
            <w:pPr>
              <w:pStyle w:val="TableParagraph"/>
              <w:ind w:left="107"/>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地点</w:t>
            </w:r>
          </w:p>
        </w:tc>
        <w:tc>
          <w:tcPr>
            <w:tcW w:w="5695" w:type="dxa"/>
            <w:vAlign w:val="center"/>
          </w:tcPr>
          <w:p w14:paraId="6BD881E3" w14:textId="77777777" w:rsidR="00047CD6" w:rsidRPr="00433B43" w:rsidRDefault="00047BAA">
            <w:pPr>
              <w:pStyle w:val="TableParagraph"/>
              <w:spacing w:before="100" w:beforeAutospacing="1" w:line="360" w:lineRule="auto"/>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价值在线（https://www.ir-online.cn/）网络互动</w:t>
            </w:r>
          </w:p>
        </w:tc>
      </w:tr>
      <w:tr w:rsidR="00047CD6" w:rsidRPr="00433B43" w14:paraId="48A330CE" w14:textId="77777777" w:rsidTr="00D47178">
        <w:trPr>
          <w:trHeight w:val="558"/>
          <w:jc w:val="center"/>
        </w:trPr>
        <w:tc>
          <w:tcPr>
            <w:tcW w:w="2830" w:type="dxa"/>
            <w:vAlign w:val="center"/>
          </w:tcPr>
          <w:p w14:paraId="1EC390EB" w14:textId="77777777" w:rsidR="00047CD6" w:rsidRPr="00433B43" w:rsidRDefault="00047BAA" w:rsidP="00D47178">
            <w:pPr>
              <w:pStyle w:val="TableParagraph"/>
              <w:spacing w:before="1"/>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上市公司接待人员姓名</w:t>
            </w:r>
          </w:p>
        </w:tc>
        <w:tc>
          <w:tcPr>
            <w:tcW w:w="5695" w:type="dxa"/>
            <w:vAlign w:val="center"/>
          </w:tcPr>
          <w:p w14:paraId="36614BF0" w14:textId="77777777" w:rsidR="00047CD6" w:rsidRPr="00433B43" w:rsidRDefault="00047BAA" w:rsidP="00F271F3">
            <w:pPr>
              <w:pStyle w:val="TableParagraph"/>
              <w:spacing w:beforeLines="50" w:before="120" w:line="360" w:lineRule="auto"/>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董事长 葛国栋</w:t>
            </w:r>
            <w:r w:rsidRPr="00433B43">
              <w:rPr>
                <w:rFonts w:asciiTheme="minorEastAsia" w:eastAsiaTheme="minorEastAsia" w:hAnsiTheme="minorEastAsia" w:cs="宋体"/>
                <w:sz w:val="24"/>
                <w:szCs w:val="24"/>
              </w:rPr>
              <w:br/>
              <w:t>总经理 黄志明</w:t>
            </w:r>
            <w:r w:rsidRPr="00433B43">
              <w:rPr>
                <w:rFonts w:asciiTheme="minorEastAsia" w:eastAsiaTheme="minorEastAsia" w:hAnsiTheme="minorEastAsia" w:cs="宋体"/>
                <w:sz w:val="24"/>
                <w:szCs w:val="24"/>
              </w:rPr>
              <w:br/>
              <w:t>副总经理、董事会秘书兼财务总监 黄峥嵘</w:t>
            </w:r>
            <w:r w:rsidRPr="00433B43">
              <w:rPr>
                <w:rFonts w:asciiTheme="minorEastAsia" w:eastAsiaTheme="minorEastAsia" w:hAnsiTheme="minorEastAsia" w:cs="宋体"/>
                <w:sz w:val="24"/>
                <w:szCs w:val="24"/>
              </w:rPr>
              <w:br/>
              <w:t>首席风险官 吕仙英</w:t>
            </w:r>
            <w:r w:rsidRPr="00433B43">
              <w:rPr>
                <w:rFonts w:asciiTheme="minorEastAsia" w:eastAsiaTheme="minorEastAsia" w:hAnsiTheme="minorEastAsia" w:cs="宋体"/>
                <w:sz w:val="24"/>
                <w:szCs w:val="24"/>
              </w:rPr>
              <w:br/>
              <w:t>独立董事 汪滔</w:t>
            </w:r>
          </w:p>
        </w:tc>
      </w:tr>
      <w:tr w:rsidR="00047CD6" w:rsidRPr="00433B43" w14:paraId="747853E9" w14:textId="77777777" w:rsidTr="005B224C">
        <w:trPr>
          <w:trHeight w:val="983"/>
          <w:jc w:val="center"/>
        </w:trPr>
        <w:tc>
          <w:tcPr>
            <w:tcW w:w="2830" w:type="dxa"/>
            <w:vAlign w:val="center"/>
          </w:tcPr>
          <w:p w14:paraId="10F8ED3E" w14:textId="11C4C12F" w:rsidR="00047CD6" w:rsidRPr="00433B43" w:rsidRDefault="00047BAA" w:rsidP="00D47178">
            <w:pPr>
              <w:pStyle w:val="TableParagraph"/>
              <w:spacing w:before="1" w:line="499" w:lineRule="auto"/>
              <w:ind w:right="96"/>
              <w:rPr>
                <w:rFonts w:asciiTheme="minorEastAsia" w:eastAsiaTheme="minorEastAsia" w:hAnsiTheme="minorEastAsia" w:cs="宋体"/>
                <w:b/>
                <w:bCs/>
                <w:sz w:val="24"/>
                <w:szCs w:val="24"/>
              </w:rPr>
            </w:pPr>
            <w:r w:rsidRPr="00433B43">
              <w:rPr>
                <w:rFonts w:asciiTheme="minorEastAsia" w:eastAsiaTheme="minorEastAsia" w:hAnsiTheme="minorEastAsia" w:cs="宋体" w:hint="eastAsia"/>
                <w:b/>
                <w:bCs/>
                <w:sz w:val="24"/>
                <w:szCs w:val="24"/>
              </w:rPr>
              <w:t>投资者关系活动主要内容介绍</w:t>
            </w:r>
          </w:p>
        </w:tc>
        <w:tc>
          <w:tcPr>
            <w:tcW w:w="5695" w:type="dxa"/>
          </w:tcPr>
          <w:p w14:paraId="77FB68E4" w14:textId="02F3E194" w:rsidR="00710B1D" w:rsidRDefault="00047BAA" w:rsidP="005B224C">
            <w:pPr>
              <w:pStyle w:val="TableParagraph"/>
              <w:spacing w:line="360" w:lineRule="auto"/>
              <w:ind w:firstLine="493"/>
              <w:jc w:val="both"/>
              <w:rPr>
                <w:rFonts w:asciiTheme="minorEastAsia" w:eastAsiaTheme="minorEastAsia" w:hAnsiTheme="minorEastAsia" w:cs="宋体"/>
                <w:sz w:val="24"/>
                <w:szCs w:val="24"/>
              </w:rPr>
            </w:pPr>
            <w:r w:rsidRPr="00433B43">
              <w:rPr>
                <w:rFonts w:asciiTheme="minorEastAsia" w:eastAsiaTheme="minorEastAsia" w:hAnsiTheme="minorEastAsia" w:cs="宋体"/>
                <w:b/>
                <w:sz w:val="24"/>
                <w:szCs w:val="24"/>
              </w:rPr>
              <w:t>1.近年来，资本市场持续深化改革，从2023年明确提出的加快建设金融强国战略，到随后颁布的新“国九条”政策，再到最近党的二十届三中全会中强调的金融深化举措，这一系列改革对期货行业产生了什么影响?</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答:自2023年中央金融工作会议提出加快建设金融强国以来，资本市场改革显著提速，相关政策频出，强监管、防风险、促发展的导向进一步明确。</w:t>
            </w:r>
          </w:p>
          <w:p w14:paraId="36F74156" w14:textId="289094C6" w:rsidR="00BC4DB1" w:rsidRDefault="00047BAA" w:rsidP="005B224C">
            <w:pPr>
              <w:pStyle w:val="TableParagraph"/>
              <w:spacing w:line="360" w:lineRule="auto"/>
              <w:ind w:firstLine="493"/>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lastRenderedPageBreak/>
              <w:t xml:space="preserve">2024年4月，国务院出台的新“国九条”，更是定调了“稳”和“严”，奠定期货行业稳慎有序发展主基调。同时，各相关部门也推出了一系列配套规则，与新“国九条”共同形成了“1+N”政策体系，进一步规范资本市场发展。 </w:t>
            </w:r>
          </w:p>
          <w:p w14:paraId="5A4F272C" w14:textId="4DA82F19" w:rsidR="003474AB" w:rsidRDefault="00047BAA" w:rsidP="00783715">
            <w:pPr>
              <w:pStyle w:val="TableParagraph"/>
              <w:spacing w:line="360" w:lineRule="auto"/>
              <w:ind w:firstLine="493"/>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2024年7月，党的二十届三中全会通过《中共中央关于进一步全面深化改革 推进中国式现代化的决定》，其中34次提及“金融”，首次提出设立《金融法》，并着重强调金融服务实体经济和防范化解金融风险，为期货行业下一步的高质量发展指明了方向。谢谢！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2.请问公司2024年二季度在实现营收与归母净利润双增长方面，有哪些关键因素促成了如此的业绩表现？</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答:公司二季度盈利能力显著提升，环比增长显著。第二季度实现营业收入77.7</w:t>
            </w:r>
            <w:r w:rsidR="00783715">
              <w:rPr>
                <w:rFonts w:asciiTheme="minorEastAsia" w:eastAsiaTheme="minorEastAsia" w:hAnsiTheme="minorEastAsia" w:cs="宋体" w:hint="eastAsia"/>
                <w:sz w:val="24"/>
                <w:szCs w:val="24"/>
              </w:rPr>
              <w:t>2</w:t>
            </w:r>
            <w:r w:rsidRPr="00433B43">
              <w:rPr>
                <w:rFonts w:asciiTheme="minorEastAsia" w:eastAsiaTheme="minorEastAsia" w:hAnsiTheme="minorEastAsia" w:cs="宋体" w:hint="eastAsia"/>
                <w:sz w:val="24"/>
                <w:szCs w:val="24"/>
              </w:rPr>
              <w:t>亿</w:t>
            </w:r>
            <w:r w:rsidRPr="00433B43">
              <w:rPr>
                <w:rFonts w:asciiTheme="minorEastAsia" w:eastAsiaTheme="minorEastAsia" w:hAnsiTheme="minorEastAsia" w:cs="宋体"/>
                <w:sz w:val="24"/>
                <w:szCs w:val="24"/>
              </w:rPr>
              <w:t>元，环比增长79.17%;归母净利润达2.30亿元，环比增长高达194.56%。第二季度业绩的显著增长主要是由于公司各项主营业务经营情况均较一季度有明显改善，其中期货经纪业务和风险管理业务增长显著，同时自有资金投资收益亦有所提升，共同推动经营业绩U型回升。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3.2024年上半年期货行业整体运行情况如何？</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今年上半年，全国期货市场单边累计成交量约34.60亿手，累计成交额约281.51万亿元，同比分别下降12.43%和增长7.40%。在品种方面，中国期货市场已经构建了完整的大宗商品品种体系。今年上半年新上市2个期权品种，期货和期权总品种数达到133个，全面覆盖农业、工业产业的初级、中间、终端产</w:t>
            </w:r>
            <w:r w:rsidRPr="00433B43">
              <w:rPr>
                <w:rFonts w:asciiTheme="minorEastAsia" w:eastAsiaTheme="minorEastAsia" w:hAnsiTheme="minorEastAsia" w:cs="宋体"/>
                <w:sz w:val="24"/>
                <w:szCs w:val="24"/>
              </w:rPr>
              <w:lastRenderedPageBreak/>
              <w:t>品。谢谢！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4.2024年上半年，美联储降息预期重估，美元指数走强，非美货币普遍承压，叠加地缘政治因素多变，外部环境的复杂性、严峻性、不确定性上升。贵司未来如何继续拓展海外市场？</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答:今年上半年，境外金融服务业务延续了稳健增长态势，实现营业收入30,078.37万元，营业利润6,997.29万元，同比增长9.74%。</w:t>
            </w:r>
          </w:p>
          <w:p w14:paraId="4D665980" w14:textId="70B31736" w:rsidR="003474AB" w:rsidRDefault="00047BAA" w:rsidP="005B224C">
            <w:pPr>
              <w:pStyle w:val="TableParagraph"/>
              <w:spacing w:line="360" w:lineRule="auto"/>
              <w:ind w:firstLine="493"/>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下半年，公司将围绕强团队、强协同、强风控、强创新四个方面推动境外金融服务业务做大做强。一是优化团队结构，重点加强境外财富销售团队和新加坡团队建设;二是促进境内外团队的交流与沟通，深入挖掘产业客户、财富客户的跨境展业、跨境投资需求;三是多维度提升风控能力，拓展业务范围，扩大业务规模筑牢护城河;四是</w:t>
            </w:r>
            <w:r w:rsidR="00BF6B3F">
              <w:rPr>
                <w:rFonts w:asciiTheme="minorEastAsia" w:eastAsiaTheme="minorEastAsia" w:hAnsiTheme="minorEastAsia" w:cs="宋体" w:hint="eastAsia"/>
                <w:sz w:val="24"/>
                <w:szCs w:val="24"/>
              </w:rPr>
              <w:t>在</w:t>
            </w:r>
            <w:r w:rsidRPr="00433B43">
              <w:rPr>
                <w:rFonts w:asciiTheme="minorEastAsia" w:eastAsiaTheme="minorEastAsia" w:hAnsiTheme="minorEastAsia" w:cs="宋体"/>
                <w:sz w:val="24"/>
                <w:szCs w:val="24"/>
              </w:rPr>
              <w:t>巩固境内业务</w:t>
            </w:r>
            <w:r w:rsidR="00BF6B3F">
              <w:rPr>
                <w:rFonts w:asciiTheme="minorEastAsia" w:eastAsiaTheme="minorEastAsia" w:hAnsiTheme="minorEastAsia" w:cs="宋体" w:hint="eastAsia"/>
                <w:sz w:val="24"/>
                <w:szCs w:val="24"/>
              </w:rPr>
              <w:t>的</w:t>
            </w:r>
            <w:r w:rsidRPr="00433B43">
              <w:rPr>
                <w:rFonts w:asciiTheme="minorEastAsia" w:eastAsiaTheme="minorEastAsia" w:hAnsiTheme="minorEastAsia" w:cs="宋体"/>
                <w:sz w:val="24"/>
                <w:szCs w:val="24"/>
              </w:rPr>
              <w:t>基础上，挖掘境外创新业务，巩固先发优势。谢谢！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5.目前，公司的股东户数是多少？</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答:截至2024年8月30日，公司股东户数为38,027户。谢谢！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6.请问贵公司如何平稳股价，挽回股民人心。</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公司高度重视提升自身投资价值并密切关注股价波动情况。面对复杂多变的市场形势，公司上下一心，积极应变，主动求变，各项工作稳中有进。未来，公司将全力以赴做好各项经营工作，通过不断提升公司经营业绩回馈广大投资者，不断为股东创造价值。此外，为深入贯彻中央金融工作会议精神，落实新“国九条”，积极践行“以投资者为本”的理念，助力资本市场高质量发展</w:t>
            </w:r>
            <w:r w:rsidR="00BF6B3F">
              <w:rPr>
                <w:rFonts w:asciiTheme="minorEastAsia" w:eastAsiaTheme="minorEastAsia" w:hAnsiTheme="minorEastAsia" w:cs="宋体" w:hint="eastAsia"/>
                <w:sz w:val="24"/>
                <w:szCs w:val="24"/>
              </w:rPr>
              <w:t>，</w:t>
            </w:r>
            <w:r w:rsidRPr="00433B43">
              <w:rPr>
                <w:rFonts w:asciiTheme="minorEastAsia" w:eastAsiaTheme="minorEastAsia" w:hAnsiTheme="minorEastAsia" w:cs="宋体"/>
                <w:sz w:val="24"/>
                <w:szCs w:val="24"/>
              </w:rPr>
              <w:t>公司发布了《2024年度“提质增效重回报”行动方案》，也体现了公司提升内在投资价值，与投资者共享经营发展成果的决心。谢谢！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7.中央金融工作会议指出，要加快建设金融强国，做好科技金融、绿色金融、普惠金融、养老金融、数字金融五篇大文章。请问公司有哪些具体措施和成果？</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公司作为联结现货市场和期货市场的纽带，坚定不移走好中国特色金融发展之路，聚焦“五篇大文章”，加快发展新质生产力，以期货智慧服务实体经济和国家战略。2024年，公司加大绿色金融投入，推进碳酸锂、工业硅等新能源品种研究，加大新型品种市场推广力度，服务新质生产力企业；深化“数智永安”建设，对内以数字转型为引领，推动经营管理提质增效，对外以金融科技为依托，拓宽综合金融服务边界；围绕普惠金融要素，积极延展“期货+”模式，发挥保险赔付、订单收购、银行信贷、融资租赁、融资担保等协同功能，支持中小微企业、“三农”等国民经济薄弱领域，提升产业链供应链韧性与安全水平。 </w:t>
            </w:r>
          </w:p>
          <w:p w14:paraId="74F78D83" w14:textId="77777777" w:rsidR="003474AB" w:rsidRDefault="00047BAA" w:rsidP="005B224C">
            <w:pPr>
              <w:pStyle w:val="TableParagraph"/>
              <w:spacing w:line="360" w:lineRule="auto"/>
              <w:ind w:firstLineChars="200" w:firstLine="480"/>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以绿色金融为例，公司结合期货行业的特点，在新能源赛道持续发力，多措并举地推进新能源期货品种上市、推广其在产业领域的运用。今年上半年，公司积极协助广州期货交易所进行多晶硅的品种研究与合约设计等上市筹备工作，不断丰富光伏企业的衍生品工具箱，并通过投研产品服务、产业沙龙、企业调研及行业会议等活动，为多家锂电与光伏企业提供定制化的行情研判与套保方案，为新能源产业链企业利用期货工具管理价格风险提供全面的技术支持。此外，公司持续开拓工业硅与碳酸锂期货仓单服务和基差贸易业务，高效衔接了期货与现货两个市场，通过帮助企业锁定生产利润，有效提升新能源企业的抗风险能力，为新能源产业高质量发展贡献期货力量。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8.能否详细介绍下子公司永安资本在上半年的业绩情况？</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公司主要通过永安资本及其子公司开展风险管理业务。在行业风险事件时有发生、行业利润波动剧烈的背景下，公司坚持稳健经营，一手防风险，一手促发展。报告期内，风险管理业务没有发生重大风险事件，实现营业收入1,129,874.67万元，实现营业利润11,350.76万元，业绩指标位居行业前列。 </w:t>
            </w:r>
          </w:p>
          <w:p w14:paraId="1ADB2A10" w14:textId="2229497B" w:rsidR="003474AB" w:rsidRDefault="00047BAA" w:rsidP="005B224C">
            <w:pPr>
              <w:pStyle w:val="TableParagraph"/>
              <w:spacing w:line="360" w:lineRule="auto"/>
              <w:ind w:firstLineChars="200" w:firstLine="480"/>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期现业务方面，</w:t>
            </w:r>
            <w:r w:rsidR="00BF6B3F">
              <w:rPr>
                <w:rFonts w:asciiTheme="minorEastAsia" w:eastAsiaTheme="minorEastAsia" w:hAnsiTheme="minorEastAsia" w:cs="宋体" w:hint="eastAsia"/>
                <w:sz w:val="24"/>
                <w:szCs w:val="24"/>
              </w:rPr>
              <w:t>公司</w:t>
            </w:r>
            <w:r w:rsidRPr="00433B43">
              <w:rPr>
                <w:rFonts w:asciiTheme="minorEastAsia" w:eastAsiaTheme="minorEastAsia" w:hAnsiTheme="minorEastAsia" w:cs="宋体"/>
                <w:sz w:val="24"/>
                <w:szCs w:val="24"/>
              </w:rPr>
              <w:t xml:space="preserve">充分发挥多品种经营优势，有效抵御了市场冲击，分散了经营风险，生猪、橡胶、燃料油、航运指数、工业硅、玉米豆粕、棉花棉纱、聚氯乙烯等品种表现突出，报告期内，公司购销总额超300亿元；持续运用贸易商厂库服务上下游客户，仓单注册量同比增长28%，交割量同比增长87%，玻璃、甲醇、尿素、纸浆、短纤等品种运营成效较好。 </w:t>
            </w:r>
          </w:p>
          <w:p w14:paraId="6B28ABF8" w14:textId="77777777" w:rsidR="003474AB" w:rsidRDefault="00047BAA" w:rsidP="005B224C">
            <w:pPr>
              <w:pStyle w:val="TableParagraph"/>
              <w:spacing w:line="360" w:lineRule="auto"/>
              <w:ind w:firstLineChars="200" w:firstLine="480"/>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 xml:space="preserve">场外业务方面，积极适应监管要求和市场变化，牢牢把握商品类业务基本盘，参与浙江国际油气交易中心产业服务基地场外期权报价，创新开展商品指数互换业务；合理应对权益类业务市场格局变化，及时调整投资策略；聚焦客户需求，推动跨境业务规模显著增长。报告期内，场外业务累计名义本金超过900亿元，同比增长14%。 </w:t>
            </w:r>
          </w:p>
          <w:p w14:paraId="2B816887" w14:textId="6CF204A1" w:rsidR="003474AB" w:rsidRDefault="00047BAA" w:rsidP="005B224C">
            <w:pPr>
              <w:pStyle w:val="TableParagraph"/>
              <w:spacing w:line="360" w:lineRule="auto"/>
              <w:ind w:firstLineChars="200" w:firstLine="480"/>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做市业务方面，积极应对交易所政策及市场流动性变化，提升投研深度，丰富业务策略，优化做市系统，在提供高质量流动性服务的同时积极拓展对冲模式。报告期内，做市业务累计成交规模超过4,900亿元，同比增长8%。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9.请问公司2024年半年度的利润分配方案是什么？公司上市至今一共进行了多少次分红？</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答:2024年半年度利润分配拟采用现金分红方式，向全体股东每10股派0.5元（含税），预计共派发现金红利7,278万元，占</w:t>
            </w:r>
            <w:r w:rsidR="00366B0A" w:rsidRPr="00BD64AC">
              <w:rPr>
                <w:rFonts w:asciiTheme="minorEastAsia" w:eastAsiaTheme="minorEastAsia" w:hAnsiTheme="minorEastAsia" w:cs="宋体"/>
                <w:sz w:val="24"/>
                <w:szCs w:val="24"/>
              </w:rPr>
              <w:t>2024年上半年合并报表归属于上市公司股东</w:t>
            </w:r>
            <w:r w:rsidRPr="00433B43">
              <w:rPr>
                <w:rFonts w:asciiTheme="minorEastAsia" w:eastAsiaTheme="minorEastAsia" w:hAnsiTheme="minorEastAsia" w:cs="宋体"/>
                <w:sz w:val="24"/>
                <w:szCs w:val="24"/>
              </w:rPr>
              <w:t>净利润的23.66%。从新三板到主板，公司累计分红8次，累计分红金额约15亿元，主板上市以来，公司每年度现金分红均占当年</w:t>
            </w:r>
            <w:r w:rsidR="00366B0A" w:rsidRPr="00BD64AC">
              <w:rPr>
                <w:rFonts w:asciiTheme="minorEastAsia" w:eastAsiaTheme="minorEastAsia" w:hAnsiTheme="minorEastAsia" w:cs="宋体"/>
                <w:sz w:val="24"/>
                <w:szCs w:val="24"/>
              </w:rPr>
              <w:t>归属于上市公司股东</w:t>
            </w:r>
            <w:r w:rsidRPr="00433B43">
              <w:rPr>
                <w:rFonts w:asciiTheme="minorEastAsia" w:eastAsiaTheme="minorEastAsia" w:hAnsiTheme="minorEastAsia" w:cs="宋体"/>
                <w:sz w:val="24"/>
                <w:szCs w:val="24"/>
              </w:rPr>
              <w:t>净利润的30%以上。谢谢！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10.有注意到，贵公司2024年上半年的营业收入实现了同比增长，归母净利润以3.08亿元位居于上市期货公司盈利榜首。请问主要驱动力是什么？</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答:公司依托独具特色的业务生态，多个业务板块协同发展、相互赋能，有效地应对了单一业务领域的市场波动。期货经纪业务、风险管理业务和境外金融服务业务是公司今年上半年的主要利润来源。 </w:t>
            </w:r>
          </w:p>
          <w:p w14:paraId="377D2993" w14:textId="125A4122" w:rsidR="00047CD6" w:rsidRPr="00433B43" w:rsidRDefault="00047BAA" w:rsidP="005B224C">
            <w:pPr>
              <w:pStyle w:val="TableParagraph"/>
              <w:spacing w:line="360" w:lineRule="auto"/>
              <w:ind w:firstLineChars="200" w:firstLine="480"/>
              <w:jc w:val="both"/>
              <w:rPr>
                <w:rFonts w:asciiTheme="minorEastAsia" w:eastAsiaTheme="minorEastAsia" w:hAnsiTheme="minorEastAsia" w:cs="宋体"/>
                <w:sz w:val="24"/>
                <w:szCs w:val="24"/>
              </w:rPr>
            </w:pPr>
            <w:r w:rsidRPr="00433B43">
              <w:rPr>
                <w:rFonts w:asciiTheme="minorEastAsia" w:eastAsiaTheme="minorEastAsia" w:hAnsiTheme="minorEastAsia" w:cs="宋体"/>
                <w:sz w:val="24"/>
                <w:szCs w:val="24"/>
              </w:rPr>
              <w:t>具体来看，以双边计算，公司2024年上半年期货经纪业务实现境内期货代理交易0.90亿手，成交金额6.79万亿元，期末客户权益344.52亿元。风险管理业务方面，公司秉持着“风险防控与业务发展并重”的核心理念，2024年上半年实现营业收入112.99亿元，营业利润1.14亿元，业绩指标位居行业前列。境外金融服务业务把握市场机遇，延续了稳健增长态势，实现营业收入30,078.37万元，营业利润6,997.29万元，同比增长9.74%。谢谢！</w:t>
            </w:r>
            <w:r w:rsidRPr="00433B43">
              <w:rPr>
                <w:rFonts w:asciiTheme="minorEastAsia" w:eastAsiaTheme="minorEastAsia" w:hAnsiTheme="minorEastAsia" w:cs="宋体"/>
                <w:sz w:val="24"/>
                <w:szCs w:val="24"/>
              </w:rPr>
              <w:br/>
            </w:r>
            <w:r w:rsidRPr="00433B43">
              <w:rPr>
                <w:rFonts w:asciiTheme="minorEastAsia" w:eastAsiaTheme="minorEastAsia" w:hAnsiTheme="minorEastAsia" w:cs="宋体"/>
                <w:b/>
                <w:sz w:val="24"/>
                <w:szCs w:val="24"/>
              </w:rPr>
              <w:t xml:space="preserve">    11.请问贵公司是如何定义自己在期货行业中的位置？如何在股价和业绩上保持领先地位。</w:t>
            </w:r>
            <w:r w:rsidRPr="00433B43">
              <w:rPr>
                <w:rFonts w:asciiTheme="minorEastAsia" w:eastAsiaTheme="minorEastAsia" w:hAnsiTheme="minorEastAsia" w:cs="宋体"/>
                <w:b/>
                <w:sz w:val="24"/>
                <w:szCs w:val="24"/>
              </w:rPr>
              <w:br/>
            </w:r>
            <w:r w:rsidRPr="00433B43">
              <w:rPr>
                <w:rFonts w:asciiTheme="minorEastAsia" w:eastAsiaTheme="minorEastAsia" w:hAnsiTheme="minorEastAsia" w:cs="宋体"/>
                <w:sz w:val="24"/>
                <w:szCs w:val="24"/>
              </w:rPr>
              <w:t xml:space="preserve">    答:多年以来，公司在业内积累了良好的口碑，形成了自身的品牌优势，获得了监管单位和客户的认可，逐步成长为研究能力最强、经营范围最广、平台业务最全、盈利能力最强的期货公司之一，各项主要财务指标连续多年位居行业前列。未来，公司将全力以赴做好各项经营工作，通过提升公司经营业绩回馈广大投资者，不断为股东创造价值</w:t>
            </w:r>
            <w:bookmarkStart w:id="0" w:name="_GoBack"/>
            <w:bookmarkEnd w:id="0"/>
            <w:r w:rsidRPr="00433B43">
              <w:rPr>
                <w:rFonts w:asciiTheme="minorEastAsia" w:eastAsiaTheme="minorEastAsia" w:hAnsiTheme="minorEastAsia" w:cs="宋体"/>
                <w:sz w:val="24"/>
                <w:szCs w:val="24"/>
              </w:rPr>
              <w:t>，持续提升衍生品投行核心竞争力。谢谢！</w:t>
            </w:r>
          </w:p>
        </w:tc>
      </w:tr>
    </w:tbl>
    <w:p w14:paraId="52149B45" w14:textId="77777777" w:rsidR="00047CD6" w:rsidRPr="00433B43" w:rsidRDefault="00047CD6">
      <w:pPr>
        <w:rPr>
          <w:rFonts w:asciiTheme="minorEastAsia" w:eastAsiaTheme="minorEastAsia" w:hAnsiTheme="minorEastAsia" w:cs="宋体"/>
          <w:sz w:val="24"/>
          <w:szCs w:val="24"/>
        </w:rPr>
      </w:pPr>
    </w:p>
    <w:sectPr w:rsidR="00047CD6" w:rsidRPr="00433B43">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E468E7" w16cex:dateUtc="2024-09-10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61D999" w16cid:durableId="3376AA3F"/>
  <w16cid:commentId w16cid:paraId="136E2F50" w16cid:durableId="74E468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6AE0" w14:textId="77777777" w:rsidR="005A6AAE" w:rsidRDefault="005A6AAE" w:rsidP="00FD6168">
      <w:r>
        <w:separator/>
      </w:r>
    </w:p>
  </w:endnote>
  <w:endnote w:type="continuationSeparator" w:id="0">
    <w:p w14:paraId="35187027" w14:textId="77777777" w:rsidR="005A6AAE" w:rsidRDefault="005A6AAE" w:rsidP="00FD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66CA" w14:textId="77777777" w:rsidR="005A6AAE" w:rsidRDefault="005A6AAE" w:rsidP="00FD6168">
      <w:r>
        <w:separator/>
      </w:r>
    </w:p>
  </w:footnote>
  <w:footnote w:type="continuationSeparator" w:id="0">
    <w:p w14:paraId="419287CD" w14:textId="77777777" w:rsidR="005A6AAE" w:rsidRDefault="005A6AAE" w:rsidP="00FD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YzcyYjBhYjdiNDQ2NjdiODY5YmM2NjQ0YWRiYTUifQ=="/>
  </w:docVars>
  <w:rsids>
    <w:rsidRoot w:val="00301D32"/>
    <w:rsid w:val="00026CC3"/>
    <w:rsid w:val="00036089"/>
    <w:rsid w:val="00047BAA"/>
    <w:rsid w:val="00047CD6"/>
    <w:rsid w:val="00053CFA"/>
    <w:rsid w:val="000633EC"/>
    <w:rsid w:val="00063804"/>
    <w:rsid w:val="000665A2"/>
    <w:rsid w:val="000877AB"/>
    <w:rsid w:val="000B08A6"/>
    <w:rsid w:val="000B7C08"/>
    <w:rsid w:val="000D12CF"/>
    <w:rsid w:val="000D2D88"/>
    <w:rsid w:val="000E4B20"/>
    <w:rsid w:val="0011418F"/>
    <w:rsid w:val="00172C24"/>
    <w:rsid w:val="001E59D1"/>
    <w:rsid w:val="001E5EA4"/>
    <w:rsid w:val="002042A7"/>
    <w:rsid w:val="00205911"/>
    <w:rsid w:val="002146AD"/>
    <w:rsid w:val="002322E7"/>
    <w:rsid w:val="00240024"/>
    <w:rsid w:val="002728F9"/>
    <w:rsid w:val="00275CB6"/>
    <w:rsid w:val="002800B5"/>
    <w:rsid w:val="00282372"/>
    <w:rsid w:val="00295B29"/>
    <w:rsid w:val="002A4899"/>
    <w:rsid w:val="002D4073"/>
    <w:rsid w:val="002E7098"/>
    <w:rsid w:val="00301D32"/>
    <w:rsid w:val="003474AB"/>
    <w:rsid w:val="00366B0A"/>
    <w:rsid w:val="00366FAD"/>
    <w:rsid w:val="0037105B"/>
    <w:rsid w:val="00373DA0"/>
    <w:rsid w:val="003975BA"/>
    <w:rsid w:val="003A74E6"/>
    <w:rsid w:val="003B73DD"/>
    <w:rsid w:val="003D011C"/>
    <w:rsid w:val="003D0E3E"/>
    <w:rsid w:val="004108C7"/>
    <w:rsid w:val="00412DC2"/>
    <w:rsid w:val="00433B43"/>
    <w:rsid w:val="00440041"/>
    <w:rsid w:val="00451268"/>
    <w:rsid w:val="004515AD"/>
    <w:rsid w:val="00451857"/>
    <w:rsid w:val="00453516"/>
    <w:rsid w:val="004569CD"/>
    <w:rsid w:val="00457548"/>
    <w:rsid w:val="00470DB2"/>
    <w:rsid w:val="004925E7"/>
    <w:rsid w:val="00495B11"/>
    <w:rsid w:val="004F23E2"/>
    <w:rsid w:val="004F6FF3"/>
    <w:rsid w:val="005525D1"/>
    <w:rsid w:val="00571B49"/>
    <w:rsid w:val="005743AE"/>
    <w:rsid w:val="005A6AAE"/>
    <w:rsid w:val="005B224C"/>
    <w:rsid w:val="005D64CA"/>
    <w:rsid w:val="005E5717"/>
    <w:rsid w:val="005E6DB2"/>
    <w:rsid w:val="0061433E"/>
    <w:rsid w:val="0062751D"/>
    <w:rsid w:val="006354AA"/>
    <w:rsid w:val="00661AFA"/>
    <w:rsid w:val="006726BF"/>
    <w:rsid w:val="00677B77"/>
    <w:rsid w:val="0068718A"/>
    <w:rsid w:val="006A2739"/>
    <w:rsid w:val="006B5C95"/>
    <w:rsid w:val="006E14B0"/>
    <w:rsid w:val="006F0108"/>
    <w:rsid w:val="006F14FC"/>
    <w:rsid w:val="006F3B71"/>
    <w:rsid w:val="00704AE6"/>
    <w:rsid w:val="00710B1D"/>
    <w:rsid w:val="007153A2"/>
    <w:rsid w:val="00724A68"/>
    <w:rsid w:val="007271BF"/>
    <w:rsid w:val="00730DD3"/>
    <w:rsid w:val="00733224"/>
    <w:rsid w:val="0075235E"/>
    <w:rsid w:val="00764128"/>
    <w:rsid w:val="007824B8"/>
    <w:rsid w:val="00783715"/>
    <w:rsid w:val="007910DD"/>
    <w:rsid w:val="007A3EC1"/>
    <w:rsid w:val="007B3368"/>
    <w:rsid w:val="007D0A69"/>
    <w:rsid w:val="007D6DC4"/>
    <w:rsid w:val="007E4576"/>
    <w:rsid w:val="00853463"/>
    <w:rsid w:val="00893F25"/>
    <w:rsid w:val="00895035"/>
    <w:rsid w:val="008A13B5"/>
    <w:rsid w:val="008B2B14"/>
    <w:rsid w:val="008C6AED"/>
    <w:rsid w:val="008C7604"/>
    <w:rsid w:val="008D13F5"/>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427EA"/>
    <w:rsid w:val="00B6280C"/>
    <w:rsid w:val="00B671A4"/>
    <w:rsid w:val="00B6788A"/>
    <w:rsid w:val="00B72CD4"/>
    <w:rsid w:val="00B85B00"/>
    <w:rsid w:val="00BC4DB1"/>
    <w:rsid w:val="00BF132F"/>
    <w:rsid w:val="00BF6B3F"/>
    <w:rsid w:val="00C13878"/>
    <w:rsid w:val="00C72B05"/>
    <w:rsid w:val="00CA1705"/>
    <w:rsid w:val="00CE1A54"/>
    <w:rsid w:val="00CF5FB6"/>
    <w:rsid w:val="00D02518"/>
    <w:rsid w:val="00D17454"/>
    <w:rsid w:val="00D33FBC"/>
    <w:rsid w:val="00D47178"/>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271F3"/>
    <w:rsid w:val="00F30C19"/>
    <w:rsid w:val="00F37448"/>
    <w:rsid w:val="00F83B06"/>
    <w:rsid w:val="00FA7A77"/>
    <w:rsid w:val="00FB4A08"/>
    <w:rsid w:val="00FC0C2A"/>
    <w:rsid w:val="00FD6168"/>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2375A2A"/>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B2C03B"/>
  <w15:docId w15:val="{9E02B353-6183-4D29-AD6E-F64FD5EF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F37448"/>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264F-B5E1-451A-B3E3-465A64ED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3442</Words>
  <Characters>488</Characters>
  <Application>Microsoft Office Word</Application>
  <DocSecurity>0</DocSecurity>
  <Lines>4</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wjw</cp:lastModifiedBy>
  <cp:revision>5</cp:revision>
  <dcterms:created xsi:type="dcterms:W3CDTF">2024-09-10T09:04:00Z</dcterms:created>
  <dcterms:modified xsi:type="dcterms:W3CDTF">2024-09-10T09:37:00Z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57D148DF2F764966BF4E1C38A6255FA2</vt:lpwstr>
  </property>
</Properties>
</file>