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3CA95">
      <w:pPr>
        <w:adjustRightInd w:val="0"/>
        <w:snapToGrid w:val="0"/>
        <w:spacing w:line="360" w:lineRule="auto"/>
        <w:jc w:val="center"/>
        <w:rPr>
          <w:rFonts w:ascii="宋体" w:hAnsi="宋体"/>
          <w:b/>
          <w:color w:val="FF0000"/>
          <w:sz w:val="36"/>
          <w:szCs w:val="36"/>
        </w:rPr>
      </w:pPr>
      <w:r>
        <w:rPr>
          <w:rFonts w:hint="eastAsia" w:ascii="宋体" w:hAnsi="宋体"/>
          <w:b/>
          <w:color w:val="FF0000"/>
          <w:sz w:val="36"/>
          <w:szCs w:val="36"/>
        </w:rPr>
        <w:t>安通控股股份有限公司</w:t>
      </w:r>
    </w:p>
    <w:p w14:paraId="1C9CCFC8">
      <w:pPr>
        <w:widowControl/>
        <w:spacing w:line="360" w:lineRule="auto"/>
        <w:jc w:val="center"/>
        <w:rPr>
          <w:rFonts w:hint="eastAsia" w:ascii="宋体" w:hAnsi="宋体"/>
          <w:b/>
          <w:color w:val="FF0000"/>
          <w:sz w:val="36"/>
          <w:szCs w:val="36"/>
        </w:rPr>
      </w:pPr>
      <w:r>
        <w:rPr>
          <w:rFonts w:hint="eastAsia" w:ascii="宋体" w:hAnsi="宋体"/>
          <w:b/>
          <w:color w:val="FF0000"/>
          <w:sz w:val="36"/>
          <w:szCs w:val="36"/>
          <w:lang w:eastAsia="zh-CN"/>
        </w:rPr>
        <w:t>2024年半年度</w:t>
      </w:r>
      <w:r>
        <w:rPr>
          <w:rFonts w:hint="eastAsia" w:ascii="宋体" w:hAnsi="宋体"/>
          <w:b/>
          <w:color w:val="FF0000"/>
          <w:sz w:val="36"/>
          <w:szCs w:val="36"/>
        </w:rPr>
        <w:t>业绩说明会召开情况</w:t>
      </w:r>
    </w:p>
    <w:p w14:paraId="2BFB12AB">
      <w:pPr>
        <w:widowControl/>
        <w:spacing w:line="360" w:lineRule="auto"/>
        <w:ind w:firstLine="723" w:firstLineChars="200"/>
        <w:jc w:val="left"/>
        <w:rPr>
          <w:rFonts w:hint="eastAsia" w:ascii="宋体" w:hAnsi="宋体"/>
          <w:b/>
          <w:color w:val="FF0000"/>
          <w:sz w:val="36"/>
          <w:szCs w:val="36"/>
        </w:rPr>
      </w:pPr>
    </w:p>
    <w:p w14:paraId="764602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日（星期</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rPr>
        <w:t>）下午</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:00-</w:t>
      </w:r>
      <w:r>
        <w:rPr>
          <w:rFonts w:hint="eastAsia" w:ascii="宋体" w:hAnsi="宋体"/>
          <w:color w:val="000000"/>
          <w:sz w:val="24"/>
          <w:szCs w:val="24"/>
          <w:lang w:val="en-US" w:eastAsia="zh-CN"/>
        </w:rPr>
        <w:t>15</w:t>
      </w:r>
      <w:r>
        <w:rPr>
          <w:rFonts w:hint="eastAsia" w:ascii="宋体" w:hAnsi="宋体"/>
          <w:color w:val="000000"/>
          <w:sz w:val="24"/>
          <w:szCs w:val="24"/>
        </w:rPr>
        <w:t>:00</w:t>
      </w:r>
      <w:r>
        <w:rPr>
          <w:rFonts w:hint="eastAsia" w:ascii="宋体" w:hAnsi="宋体" w:cs="宋体"/>
          <w:color w:val="000000"/>
          <w:kern w:val="0"/>
          <w:sz w:val="24"/>
          <w:szCs w:val="24"/>
        </w:rPr>
        <w:t>，安通控股股份有限公司 (以下简称</w:t>
      </w:r>
      <w:r>
        <w:rPr>
          <w:rFonts w:hint="eastAsia" w:ascii="宋体" w:hAnsi="宋体" w:cs="宋体"/>
          <w:color w:val="000000"/>
          <w:kern w:val="0"/>
          <w:sz w:val="24"/>
          <w:szCs w:val="24"/>
          <w:highlight w:val="none"/>
        </w:rPr>
        <w:t>“公司”</w:t>
      </w:r>
      <w:r>
        <w:rPr>
          <w:rFonts w:hint="eastAsia" w:ascii="宋体" w:hAnsi="宋体" w:cs="宋体"/>
          <w:color w:val="000000"/>
          <w:kern w:val="0"/>
          <w:sz w:val="24"/>
          <w:szCs w:val="24"/>
        </w:rPr>
        <w:t>）通过上证路演中心（http://roadshow.sseinfo.com）召开了</w:t>
      </w:r>
      <w:r>
        <w:rPr>
          <w:rFonts w:hint="eastAsia" w:ascii="宋体" w:hAnsi="宋体" w:cs="宋体"/>
          <w:color w:val="000000"/>
          <w:kern w:val="0"/>
          <w:sz w:val="24"/>
          <w:szCs w:val="24"/>
          <w:lang w:eastAsia="zh-CN"/>
        </w:rPr>
        <w:t>2024年半年度</w:t>
      </w:r>
      <w:r>
        <w:rPr>
          <w:rFonts w:hint="eastAsia" w:ascii="宋体" w:hAnsi="宋体" w:cs="宋体"/>
          <w:color w:val="000000"/>
          <w:kern w:val="0"/>
          <w:sz w:val="24"/>
          <w:szCs w:val="24"/>
        </w:rPr>
        <w:t>业绩说明会</w:t>
      </w:r>
      <w:r>
        <w:rPr>
          <w:rFonts w:hint="eastAsia" w:ascii="宋体" w:hAnsi="宋体" w:cs="宋体"/>
          <w:color w:val="000000"/>
          <w:kern w:val="0"/>
          <w:sz w:val="24"/>
          <w:szCs w:val="24"/>
          <w:lang w:eastAsia="zh-CN"/>
        </w:rPr>
        <w:t>。</w:t>
      </w:r>
    </w:p>
    <w:p w14:paraId="773B412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jc w:val="left"/>
        <w:textAlignment w:val="auto"/>
        <w:rPr>
          <w:rFonts w:ascii="宋体" w:hAnsi="宋体"/>
          <w:b/>
          <w:sz w:val="24"/>
          <w:szCs w:val="24"/>
        </w:rPr>
      </w:pPr>
      <w:r>
        <w:rPr>
          <w:rFonts w:hint="eastAsia" w:ascii="宋体" w:hAnsi="宋体"/>
          <w:b/>
          <w:sz w:val="24"/>
          <w:szCs w:val="24"/>
        </w:rPr>
        <w:t>一、业绩说明会召开情况</w:t>
      </w:r>
    </w:p>
    <w:p w14:paraId="02FD2E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公司于202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日在《中国证券报》《上海证券报》和上海证券交易所网站（http://www.sse.com.cn/）披露了《关于召开</w:t>
      </w:r>
      <w:r>
        <w:rPr>
          <w:rFonts w:hint="eastAsia" w:ascii="宋体" w:hAnsi="宋体"/>
          <w:sz w:val="24"/>
          <w:szCs w:val="24"/>
          <w:lang w:eastAsia="zh-CN"/>
        </w:rPr>
        <w:t>2024年半年度</w:t>
      </w:r>
      <w:r>
        <w:rPr>
          <w:rFonts w:hint="eastAsia" w:ascii="宋体" w:hAnsi="宋体"/>
          <w:sz w:val="24"/>
          <w:szCs w:val="24"/>
        </w:rPr>
        <w:t>业绩说明会的公告》（公告编号：202</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050</w:t>
      </w:r>
      <w:r>
        <w:rPr>
          <w:rFonts w:hint="eastAsia" w:ascii="宋体" w:hAnsi="宋体"/>
          <w:sz w:val="24"/>
          <w:szCs w:val="24"/>
        </w:rPr>
        <w:t>）。</w:t>
      </w:r>
    </w:p>
    <w:p w14:paraId="333913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日（星期</w:t>
      </w:r>
      <w:r>
        <w:rPr>
          <w:rFonts w:hint="eastAsia" w:ascii="宋体" w:hAnsi="宋体"/>
          <w:sz w:val="24"/>
          <w:szCs w:val="24"/>
          <w:lang w:val="en-US" w:eastAsia="zh-CN"/>
        </w:rPr>
        <w:t>二</w:t>
      </w:r>
      <w:r>
        <w:rPr>
          <w:rFonts w:hint="eastAsia" w:ascii="宋体" w:hAnsi="宋体"/>
          <w:sz w:val="24"/>
          <w:szCs w:val="24"/>
        </w:rPr>
        <w:t>）下午</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:00-</w:t>
      </w:r>
      <w:r>
        <w:rPr>
          <w:rFonts w:hint="eastAsia" w:ascii="宋体" w:hAnsi="宋体"/>
          <w:color w:val="000000"/>
          <w:sz w:val="24"/>
          <w:szCs w:val="24"/>
          <w:lang w:val="en-US" w:eastAsia="zh-CN"/>
        </w:rPr>
        <w:t>15</w:t>
      </w:r>
      <w:r>
        <w:rPr>
          <w:rFonts w:hint="eastAsia" w:ascii="宋体" w:hAnsi="宋体"/>
          <w:color w:val="000000"/>
          <w:sz w:val="24"/>
          <w:szCs w:val="24"/>
        </w:rPr>
        <w:t>:00</w:t>
      </w:r>
      <w:r>
        <w:rPr>
          <w:rFonts w:hint="eastAsia" w:ascii="宋体" w:hAnsi="宋体"/>
          <w:sz w:val="24"/>
          <w:szCs w:val="24"/>
        </w:rPr>
        <w:t>，公司董事长王维先生、总裁楼建强先生、</w:t>
      </w:r>
      <w:r>
        <w:rPr>
          <w:rFonts w:hint="eastAsia" w:ascii="宋体" w:hAnsi="宋体"/>
          <w:sz w:val="24"/>
          <w:szCs w:val="24"/>
          <w:lang w:val="en-US" w:eastAsia="zh-CN"/>
        </w:rPr>
        <w:t>独立董事邵立新先生、</w:t>
      </w:r>
      <w:r>
        <w:rPr>
          <w:rFonts w:hint="eastAsia" w:ascii="宋体" w:hAnsi="宋体"/>
          <w:sz w:val="24"/>
          <w:szCs w:val="24"/>
        </w:rPr>
        <w:t>财务总监艾晓锋先生、董事会秘书兼副总裁荣兴先生共同出席了</w:t>
      </w:r>
      <w:r>
        <w:rPr>
          <w:rFonts w:hint="eastAsia" w:ascii="宋体" w:hAnsi="宋体"/>
          <w:sz w:val="24"/>
          <w:szCs w:val="24"/>
          <w:lang w:eastAsia="zh-CN"/>
        </w:rPr>
        <w:t>2024年半年度</w:t>
      </w:r>
      <w:r>
        <w:rPr>
          <w:rFonts w:hint="eastAsia" w:ascii="宋体" w:hAnsi="宋体"/>
          <w:sz w:val="24"/>
          <w:szCs w:val="24"/>
        </w:rPr>
        <w:t>业绩说明会，与投资者进行互动交流和沟通，并就投资者普遍关注的问题进行了回答。</w:t>
      </w:r>
    </w:p>
    <w:p w14:paraId="68E92D4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jc w:val="left"/>
        <w:textAlignment w:val="auto"/>
        <w:rPr>
          <w:rFonts w:ascii="宋体" w:hAnsi="宋体"/>
          <w:b/>
          <w:sz w:val="24"/>
          <w:szCs w:val="24"/>
        </w:rPr>
      </w:pPr>
      <w:r>
        <w:rPr>
          <w:rFonts w:hint="eastAsia" w:ascii="宋体" w:hAnsi="宋体"/>
          <w:b/>
          <w:sz w:val="24"/>
          <w:szCs w:val="24"/>
        </w:rPr>
        <w:t>二、投资者提出的主要问题及公司回复情况</w:t>
      </w:r>
    </w:p>
    <w:p w14:paraId="6449F7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问题1：2024年6月13日，安通控股披露拟向招商轮船发行股份购买其分别持有的中外运集运100%股权和招商滚装70%股权的重大资产重组预案。</w:t>
      </w:r>
    </w:p>
    <w:p w14:paraId="621832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公告进一步指出，本次交易以构成招商轮船分拆子公司重组上市为目的,交易完成后招商轮船预计将成为安通控股的控股股东,招商局集团预计将成为安通控股的实际控制人。</w:t>
      </w:r>
    </w:p>
    <w:p w14:paraId="2D6A78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sz w:val="24"/>
          <w:szCs w:val="24"/>
          <w:highlight w:val="none"/>
          <w:lang w:eastAsia="zh-CN"/>
        </w:rPr>
      </w:pPr>
      <w:r>
        <w:rPr>
          <w:rFonts w:hint="eastAsia" w:ascii="宋体" w:hAnsi="宋体"/>
          <w:b/>
          <w:sz w:val="24"/>
          <w:szCs w:val="24"/>
          <w:highlight w:val="none"/>
        </w:rPr>
        <w:t>请问重组进展如何？重组对安通控股的发展战略有何影响</w:t>
      </w:r>
      <w:r>
        <w:rPr>
          <w:rFonts w:hint="eastAsia" w:ascii="宋体" w:hAnsi="宋体"/>
          <w:b/>
          <w:sz w:val="24"/>
          <w:szCs w:val="24"/>
          <w:highlight w:val="none"/>
          <w:lang w:eastAsia="zh-CN"/>
        </w:rPr>
        <w:t>？</w:t>
      </w:r>
    </w:p>
    <w:p w14:paraId="5426D3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26453E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7A2AED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sz w:val="24"/>
          <w:szCs w:val="24"/>
          <w:highlight w:val="none"/>
        </w:rPr>
      </w:pPr>
      <w:r>
        <w:rPr>
          <w:rFonts w:hint="eastAsia" w:ascii="宋体" w:hAnsi="宋体"/>
          <w:b w:val="0"/>
          <w:bCs/>
          <w:sz w:val="24"/>
          <w:szCs w:val="24"/>
          <w:highlight w:val="none"/>
        </w:rPr>
        <w:t>目前公司正在积极推进重大资产重组工作，标的资产的相关审计、评估、尽调等工作正在全面有序推进过程中，后续还需履行一系列内外部审批流程。公司将根据交易的进展情况依法依规履行信息披露义务，交易具体进度请以公司后续公告为准。</w:t>
      </w:r>
    </w:p>
    <w:p w14:paraId="3AD06D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本次交易标的公司为中外运集运和招商滚装，分别从事集装箱班轮运输业务和汽车滚装运输业务。交易完成后，安通控股主营业务仍以集装箱航运物流为核心，通过收购中外运集运，安通控股集装箱航运业务规模尤其是外贸运输规模和经营能力将显著提升，内外贸运力统筹经营、集约化管理，规模优势及差异化竞争优势增强。此外，招商滚装的汽车滚装运输业务与安通控股汽配与散车集运业务具有协同效应，均以中国汽车企业群体为核心目标客户之一。通过收购招商滚装，有利于增强安通控股对目标客户供应链上下游相关的航运服务需求的全方位覆盖。感谢您对本次交易的关注。</w:t>
      </w:r>
    </w:p>
    <w:p w14:paraId="22C623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问题2：您好，请问公司现金流情况如何？</w:t>
      </w:r>
    </w:p>
    <w:p w14:paraId="7067CE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70A0DB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377454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sz w:val="24"/>
          <w:szCs w:val="24"/>
          <w:highlight w:val="none"/>
        </w:rPr>
      </w:pPr>
      <w:r>
        <w:rPr>
          <w:rFonts w:hint="eastAsia" w:ascii="宋体" w:hAnsi="宋体"/>
          <w:b w:val="0"/>
          <w:bCs/>
          <w:sz w:val="24"/>
          <w:szCs w:val="24"/>
          <w:highlight w:val="none"/>
        </w:rPr>
        <w:t>公司长期以来保持足够的现金持有量，确保日常运营活动的开展以及各项业务的开拓。2024年上半年，公司经营活动产生的现金流量净额为526,576,648.47元，较去年同期下降了23.66%。</w:t>
      </w:r>
    </w:p>
    <w:p w14:paraId="770823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问题3：您好，请问今年公司新增订单情况如何？</w:t>
      </w:r>
    </w:p>
    <w:p w14:paraId="6C56050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6C82FE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3AAD52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2024年上半年，公司完成计费箱量136.75万TEU，同比增长10.84%，完成集装箱吞吐量732.88万TEU，同比增长15.12%。感谢您对公司的关注！</w:t>
      </w:r>
    </w:p>
    <w:p w14:paraId="7A49FE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w:t>
      </w:r>
      <w:r>
        <w:rPr>
          <w:rFonts w:hint="eastAsia" w:ascii="宋体" w:hAnsi="宋体"/>
          <w:b/>
          <w:sz w:val="24"/>
          <w:szCs w:val="24"/>
          <w:highlight w:val="none"/>
          <w:lang w:val="en-US" w:eastAsia="zh-CN"/>
        </w:rPr>
        <w:t>4</w:t>
      </w:r>
      <w:r>
        <w:rPr>
          <w:rFonts w:hint="eastAsia" w:ascii="宋体" w:hAnsi="宋体"/>
          <w:b/>
          <w:sz w:val="24"/>
          <w:szCs w:val="24"/>
          <w:highlight w:val="none"/>
        </w:rPr>
        <w:t>：谈谈你们未来3年的规划吧？</w:t>
      </w:r>
    </w:p>
    <w:p w14:paraId="4C04A4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6ABC1A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尊敬的投资者，感谢您对公司的关注。</w:t>
      </w:r>
    </w:p>
    <w:p w14:paraId="065D4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安通控股将继续以市场需求为中心，以集装箱航运物流为核心，通过整合水路、公路、铁路等运输资源，以数字智能科技驱动，致力于为客户提供绿色、经济、高效、安全的集装箱全程物流解决方案，成为综合物流服务商。</w:t>
      </w:r>
    </w:p>
    <w:p w14:paraId="20BE74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w:t>
      </w:r>
      <w:r>
        <w:rPr>
          <w:rFonts w:hint="eastAsia" w:ascii="宋体" w:hAnsi="宋体"/>
          <w:b/>
          <w:sz w:val="24"/>
          <w:szCs w:val="24"/>
          <w:highlight w:val="none"/>
          <w:lang w:val="en-US" w:eastAsia="zh-CN"/>
        </w:rPr>
        <w:t>5</w:t>
      </w:r>
      <w:r>
        <w:rPr>
          <w:rFonts w:hint="eastAsia" w:ascii="宋体" w:hAnsi="宋体"/>
          <w:b/>
          <w:sz w:val="24"/>
          <w:szCs w:val="24"/>
          <w:highlight w:val="none"/>
        </w:rPr>
        <w:t>：公司完成重大资产重组后，实控人将变为招商局集团，请问集团能够给安通带来哪些资源？面对当前喋喋不休的股价，请问作为央企，如何加强市值考核和管理？</w:t>
      </w:r>
    </w:p>
    <w:p w14:paraId="3EA1FC6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07AFFE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12420E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本次交易标的公司为中外运集运和招商滚装，分别从事集装箱班轮运输业务和汽车滚装运输业务。交易完成后，安通控股主营业务仍以集装箱航运物流为核心，通过收购中外运集运，安通控股集装箱航运业务规模尤其是外贸运输规模和经营能力将显著提升，内外贸运力统筹经营、集约化管理，规模优势及差异化竞争优势增强。此外，招商滚装的汽车滚装运输业务与安通控股汽配与散车集运业务具有协同效应，均以中国汽车企业群体为核心目标客户之一。通过收购招商滚装，有利于增强安通控股对目标客户供应链上下游相关的航运服务需求的全方位覆盖。</w:t>
      </w:r>
    </w:p>
    <w:p w14:paraId="7E2015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公司股价受到宏观经济环境、行业周期及二级市场波动等多种因素综合影响，未来公司将继续专注于主营业务经营，持续向资本市场传递公司价值，努力为投资者带来良好的回报。感谢您对公司的关注！</w:t>
      </w:r>
    </w:p>
    <w:p w14:paraId="480FF2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w:t>
      </w:r>
      <w:r>
        <w:rPr>
          <w:rFonts w:hint="eastAsia" w:ascii="宋体" w:hAnsi="宋体"/>
          <w:b/>
          <w:sz w:val="24"/>
          <w:szCs w:val="24"/>
          <w:highlight w:val="none"/>
          <w:lang w:val="en-US" w:eastAsia="zh-CN"/>
        </w:rPr>
        <w:t>6</w:t>
      </w:r>
      <w:r>
        <w:rPr>
          <w:rFonts w:hint="eastAsia" w:ascii="宋体" w:hAnsi="宋体"/>
          <w:b/>
          <w:sz w:val="24"/>
          <w:szCs w:val="24"/>
          <w:highlight w:val="none"/>
        </w:rPr>
        <w:t>：审计、评估、尽调预计还要过多久才能完成。另外发行股票，是100%面向招商轮船发行吗，或者还有其他特定机构投资者？定价2.41元如何评估，股价严重偏低，拖累二级市场表现，是对深套安通的中小投资者尊严的践踏？</w:t>
      </w:r>
    </w:p>
    <w:p w14:paraId="6DB62C0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65FBB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24B8AE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自本次重组事项披露以来，公司及相关各方积极推进各项工作。标的资产的相关审计、评估、尽调等工作正在全面有序推进过程中，公司将根据交易的进展情况依法依规履行信息披露义务，交易具体进度请以公司后续公告为准。</w:t>
      </w:r>
    </w:p>
    <w:p w14:paraId="629641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本次交易方案为安通控股拟向招商轮船发行股份购买其持有的中外运集运100%股权和招商滚装70%股权，本次发行股份购买资产交易对方即为招商轮船。</w:t>
      </w:r>
    </w:p>
    <w:p w14:paraId="1EB71A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本次交易的股份发行价格经交易双方协商确定，发股价格为2.41元/股，不低于定价基准日前20个交易日、60个交易日、120个交易日股票交易均价的80%（分别为1.79元/股、1.79元/股和1.90元/股），亦符合《上市公司重大资产重组管理办法》的相关规定。</w:t>
      </w:r>
    </w:p>
    <w:p w14:paraId="6054D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公司股价受到宏观经济环境、行业周期及二级市场波动等多种因素综合影响，未来公司将继续专注于主营业务经营，持续向资本市场传递公司价值，努力为投资者带来良好的回报。</w:t>
      </w:r>
    </w:p>
    <w:p w14:paraId="032A8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感谢您对公司的关注！</w:t>
      </w:r>
    </w:p>
    <w:p w14:paraId="2B50B5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问题</w:t>
      </w:r>
      <w:r>
        <w:rPr>
          <w:rFonts w:hint="eastAsia" w:ascii="宋体" w:hAnsi="宋体"/>
          <w:b/>
          <w:sz w:val="24"/>
          <w:szCs w:val="24"/>
          <w:highlight w:val="none"/>
          <w:lang w:val="en-US" w:eastAsia="zh-CN"/>
        </w:rPr>
        <w:t>7</w:t>
      </w:r>
      <w:r>
        <w:rPr>
          <w:rFonts w:hint="eastAsia" w:ascii="宋体" w:hAnsi="宋体"/>
          <w:b/>
          <w:sz w:val="24"/>
          <w:szCs w:val="24"/>
          <w:highlight w:val="none"/>
        </w:rPr>
        <w:t>：近期是否有机构来调研，请及时披露相关信息。近期中铁集装箱和河北港口集团一把手先后来访，请问有哪些有利于公司发展的进展？</w:t>
      </w:r>
    </w:p>
    <w:p w14:paraId="0100737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回复：</w:t>
      </w:r>
    </w:p>
    <w:p w14:paraId="6E1A94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尊敬的投资者，您好！</w:t>
      </w:r>
    </w:p>
    <w:p w14:paraId="690EFD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公司十分重视与投资者的互动交流，投资者可以通过实地调研、电话、邮箱、e</w:t>
      </w:r>
      <w:bookmarkStart w:id="0" w:name="_GoBack"/>
      <w:bookmarkEnd w:id="0"/>
      <w:r>
        <w:rPr>
          <w:rFonts w:hint="eastAsia" w:ascii="宋体" w:hAnsi="宋体"/>
          <w:b w:val="0"/>
          <w:bCs/>
          <w:sz w:val="24"/>
          <w:szCs w:val="24"/>
          <w:highlight w:val="none"/>
        </w:rPr>
        <w:t>互动等方式与公司保持沟通。如有涉及披露事项，公司将及时发布相关公告。</w:t>
      </w:r>
    </w:p>
    <w:p w14:paraId="74BE2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公司在日常经营中持续加强与公司供应链上下游的合作，通过加强资源共享、业务协同、港航联动以及多式联运的合作探索，力求通过共同的努力，为客户提供更加便捷、高效的综合物流解决方案，促进物流业的联动发展，打造互利共赢的新格局。再次感谢您的关注！</w:t>
      </w:r>
    </w:p>
    <w:p w14:paraId="29A139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jc w:val="left"/>
        <w:textAlignment w:val="auto"/>
        <w:rPr>
          <w:rFonts w:hint="eastAsia" w:ascii="宋体" w:hAnsi="宋体"/>
          <w:b/>
          <w:sz w:val="24"/>
          <w:szCs w:val="24"/>
        </w:rPr>
      </w:pPr>
      <w:r>
        <w:rPr>
          <w:rFonts w:hint="eastAsia" w:ascii="宋体" w:hAnsi="宋体"/>
          <w:b/>
          <w:sz w:val="24"/>
          <w:szCs w:val="24"/>
        </w:rPr>
        <w:t>三、其他事项</w:t>
      </w:r>
    </w:p>
    <w:p w14:paraId="456E14A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szCs w:val="24"/>
        </w:rPr>
        <w:t>关于本次说明会的全部内容，投资者可以通过上证路演中心（http://roadshow.sseinfo.com）栏目查看。公司指定信息披露媒体为《上海证券报》《中国证券报》和上海证券交易所网站（http://www.sse.com.cn/），公司所有信息均以在上述指定媒体和网站披露的为准，敬请广大投资者注意投资风险。</w:t>
      </w:r>
      <w:r>
        <w:rPr>
          <w:rFonts w:hint="eastAsia" w:ascii="Arial" w:hAnsi="Arial" w:eastAsia="Arial" w:cs="Arial"/>
          <w:i w:val="0"/>
          <w:iCs w:val="0"/>
          <w:caps w:val="0"/>
          <w:color w:val="191919"/>
          <w:spacing w:val="0"/>
          <w:sz w:val="24"/>
          <w:szCs w:val="24"/>
          <w:shd w:val="clear" w:fill="FFFFFF"/>
        </w:rPr>
        <w:t>在此，公司对长期以来关注和支持公司发展的投资者表示衷心感谢！欢迎广大投资者</w:t>
      </w:r>
      <w:r>
        <w:rPr>
          <w:rFonts w:hint="eastAsia" w:ascii="Arial" w:hAnsi="Arial" w:cs="Arial"/>
          <w:i w:val="0"/>
          <w:iCs w:val="0"/>
          <w:caps w:val="0"/>
          <w:color w:val="191919"/>
          <w:spacing w:val="0"/>
          <w:sz w:val="24"/>
          <w:szCs w:val="24"/>
          <w:shd w:val="clear" w:fill="FFFFFF"/>
          <w:lang w:val="en-US" w:eastAsia="zh-CN"/>
        </w:rPr>
        <w:t>继续</w:t>
      </w:r>
      <w:r>
        <w:rPr>
          <w:rFonts w:hint="eastAsia" w:ascii="Arial" w:hAnsi="Arial" w:eastAsia="Arial" w:cs="Arial"/>
          <w:i w:val="0"/>
          <w:iCs w:val="0"/>
          <w:caps w:val="0"/>
          <w:color w:val="191919"/>
          <w:spacing w:val="0"/>
          <w:sz w:val="24"/>
          <w:szCs w:val="24"/>
          <w:shd w:val="clear" w:fill="FFFFFF"/>
        </w:rPr>
        <w:t>通过投资者热线、公司邮箱、上证</w:t>
      </w:r>
      <w:r>
        <w:rPr>
          <w:rFonts w:hint="eastAsia" w:ascii="宋体" w:hAnsi="宋体" w:eastAsia="宋体" w:cs="宋体"/>
          <w:i w:val="0"/>
          <w:iCs w:val="0"/>
          <w:caps w:val="0"/>
          <w:color w:val="191919"/>
          <w:spacing w:val="0"/>
          <w:sz w:val="24"/>
          <w:szCs w:val="24"/>
          <w:shd w:val="clear" w:fill="FFFFFF"/>
        </w:rPr>
        <w:t>e</w:t>
      </w:r>
      <w:r>
        <w:rPr>
          <w:rFonts w:hint="eastAsia" w:ascii="Arial" w:hAnsi="Arial" w:eastAsia="Arial" w:cs="Arial"/>
          <w:i w:val="0"/>
          <w:iCs w:val="0"/>
          <w:caps w:val="0"/>
          <w:color w:val="191919"/>
          <w:spacing w:val="0"/>
          <w:sz w:val="24"/>
          <w:szCs w:val="24"/>
          <w:shd w:val="clear" w:fill="FFFFFF"/>
        </w:rPr>
        <w:t>互动等多种形式与公司继续保持沟通和交流</w:t>
      </w:r>
      <w:r>
        <w:rPr>
          <w:rFonts w:hint="eastAsia" w:ascii="宋体" w:hAnsi="宋体" w:cs="宋体"/>
          <w:color w:val="000000"/>
          <w:kern w:val="0"/>
          <w:sz w:val="24"/>
          <w:szCs w:val="24"/>
        </w:rPr>
        <w:t>。</w:t>
      </w:r>
    </w:p>
    <w:p w14:paraId="6110062E">
      <w:pPr>
        <w:widowControl/>
        <w:spacing w:before="156" w:beforeLines="50" w:line="480" w:lineRule="exact"/>
        <w:jc w:val="right"/>
        <w:rPr>
          <w:rFonts w:ascii="宋体" w:hAnsi="宋体" w:cs="宋体"/>
          <w:color w:val="000000"/>
          <w:kern w:val="0"/>
          <w:sz w:val="24"/>
        </w:rPr>
      </w:pPr>
      <w:r>
        <w:rPr>
          <w:rFonts w:hint="eastAsia" w:ascii="宋体" w:hAnsi="宋体" w:cs="宋体"/>
          <w:color w:val="000000"/>
          <w:kern w:val="0"/>
          <w:sz w:val="24"/>
        </w:rPr>
        <w:t>安通控股</w:t>
      </w:r>
      <w:r>
        <w:rPr>
          <w:rFonts w:ascii="宋体" w:hAnsi="宋体" w:cs="宋体"/>
          <w:color w:val="000000"/>
          <w:kern w:val="0"/>
          <w:sz w:val="24"/>
        </w:rPr>
        <w:t>股份有限公司</w:t>
      </w:r>
    </w:p>
    <w:p w14:paraId="26E11039">
      <w:pPr>
        <w:widowControl/>
        <w:spacing w:line="480" w:lineRule="exact"/>
        <w:jc w:val="right"/>
        <w:rPr>
          <w:rFonts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ascii="宋体" w:hAnsi="宋体" w:cs="宋体"/>
          <w:color w:val="000000"/>
          <w:kern w:val="0"/>
          <w:sz w:val="24"/>
        </w:rPr>
        <w:t>月</w:t>
      </w:r>
      <w:r>
        <w:rPr>
          <w:rFonts w:hint="eastAsia" w:ascii="宋体" w:hAnsi="宋体" w:cs="宋体"/>
          <w:color w:val="000000"/>
          <w:kern w:val="0"/>
          <w:sz w:val="24"/>
          <w:lang w:val="en-US" w:eastAsia="zh-CN"/>
        </w:rPr>
        <w:t>10</w:t>
      </w:r>
      <w:r>
        <w:rPr>
          <w:rFonts w:ascii="宋体" w:hAnsi="宋体" w:cs="宋体"/>
          <w:color w:val="00000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mY4ZjU5ZGZjMmM3ZDk0Y2Q4ZmU0NWRlODE1YzYifQ=="/>
  </w:docVars>
  <w:rsids>
    <w:rsidRoot w:val="006E6CB3"/>
    <w:rsid w:val="000A3F64"/>
    <w:rsid w:val="000E1F6B"/>
    <w:rsid w:val="00106D32"/>
    <w:rsid w:val="00141300"/>
    <w:rsid w:val="003E4B8D"/>
    <w:rsid w:val="00430E3C"/>
    <w:rsid w:val="00504FDF"/>
    <w:rsid w:val="005212D3"/>
    <w:rsid w:val="00556BBF"/>
    <w:rsid w:val="00603C8D"/>
    <w:rsid w:val="00690925"/>
    <w:rsid w:val="006B0FD9"/>
    <w:rsid w:val="006E6CB3"/>
    <w:rsid w:val="00984DA1"/>
    <w:rsid w:val="009A0E5F"/>
    <w:rsid w:val="009E68E7"/>
    <w:rsid w:val="009E75E5"/>
    <w:rsid w:val="00A93075"/>
    <w:rsid w:val="00AA3675"/>
    <w:rsid w:val="00B5072C"/>
    <w:rsid w:val="00C02AC1"/>
    <w:rsid w:val="00C250EF"/>
    <w:rsid w:val="00C52F36"/>
    <w:rsid w:val="00D4388A"/>
    <w:rsid w:val="00D56B69"/>
    <w:rsid w:val="00DE1E2E"/>
    <w:rsid w:val="00E85B22"/>
    <w:rsid w:val="00F13979"/>
    <w:rsid w:val="00FE5B8A"/>
    <w:rsid w:val="02FE031F"/>
    <w:rsid w:val="082D0D5E"/>
    <w:rsid w:val="0C9E047D"/>
    <w:rsid w:val="0CDA527A"/>
    <w:rsid w:val="0D71793F"/>
    <w:rsid w:val="0DBC6E0C"/>
    <w:rsid w:val="10172A20"/>
    <w:rsid w:val="10741C20"/>
    <w:rsid w:val="118153C0"/>
    <w:rsid w:val="11C479EB"/>
    <w:rsid w:val="14A14FAE"/>
    <w:rsid w:val="15B91E83"/>
    <w:rsid w:val="16421E79"/>
    <w:rsid w:val="18350B3B"/>
    <w:rsid w:val="1B3B3CFF"/>
    <w:rsid w:val="1D1C6523"/>
    <w:rsid w:val="1D4764A1"/>
    <w:rsid w:val="1E85324A"/>
    <w:rsid w:val="216123AC"/>
    <w:rsid w:val="218965AC"/>
    <w:rsid w:val="22C42181"/>
    <w:rsid w:val="249064A5"/>
    <w:rsid w:val="249146F7"/>
    <w:rsid w:val="26B06FF9"/>
    <w:rsid w:val="2A2430EF"/>
    <w:rsid w:val="2B6C5969"/>
    <w:rsid w:val="33B65F28"/>
    <w:rsid w:val="33FE3346"/>
    <w:rsid w:val="35AB1391"/>
    <w:rsid w:val="36794FEB"/>
    <w:rsid w:val="39693A3D"/>
    <w:rsid w:val="3C153A08"/>
    <w:rsid w:val="4218760A"/>
    <w:rsid w:val="42AC4AC1"/>
    <w:rsid w:val="480607A8"/>
    <w:rsid w:val="48DF33D4"/>
    <w:rsid w:val="4B830BDC"/>
    <w:rsid w:val="4C5C2F8D"/>
    <w:rsid w:val="4FE13ED5"/>
    <w:rsid w:val="51E326AC"/>
    <w:rsid w:val="5347121A"/>
    <w:rsid w:val="53B042EA"/>
    <w:rsid w:val="55517407"/>
    <w:rsid w:val="5915699E"/>
    <w:rsid w:val="5A1804F3"/>
    <w:rsid w:val="5B4D241F"/>
    <w:rsid w:val="5D504448"/>
    <w:rsid w:val="5E0314BA"/>
    <w:rsid w:val="5EF3152F"/>
    <w:rsid w:val="5F2E3990"/>
    <w:rsid w:val="60B9527A"/>
    <w:rsid w:val="624F77BA"/>
    <w:rsid w:val="65033B84"/>
    <w:rsid w:val="65D75707"/>
    <w:rsid w:val="6B1B388E"/>
    <w:rsid w:val="6B655563"/>
    <w:rsid w:val="6BD61FBC"/>
    <w:rsid w:val="6BFD39ED"/>
    <w:rsid w:val="6C3C2767"/>
    <w:rsid w:val="6D152C62"/>
    <w:rsid w:val="6D88067A"/>
    <w:rsid w:val="6FE56C72"/>
    <w:rsid w:val="709366CE"/>
    <w:rsid w:val="71866233"/>
    <w:rsid w:val="73A06693"/>
    <w:rsid w:val="757271FA"/>
    <w:rsid w:val="77972F48"/>
    <w:rsid w:val="785474B9"/>
    <w:rsid w:val="79556C16"/>
    <w:rsid w:val="7C677B06"/>
    <w:rsid w:val="7E73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0"/>
    <w:autoRedefine/>
    <w:qFormat/>
    <w:uiPriority w:val="0"/>
    <w:pPr>
      <w:snapToGrid w:val="0"/>
      <w:jc w:val="left"/>
    </w:pPr>
    <w:rPr>
      <w:rFonts w:ascii="Calibri" w:hAnsi="Calibri"/>
      <w:sz w:val="18"/>
      <w:szCs w:val="18"/>
    </w:rPr>
  </w:style>
  <w:style w:type="paragraph" w:styleId="4">
    <w:name w:val="header"/>
    <w:basedOn w:val="1"/>
    <w:link w:val="9"/>
    <w:autoRedefine/>
    <w:qFormat/>
    <w:uiPriority w:val="0"/>
    <w:pPr>
      <w:pBdr>
        <w:bottom w:val="single" w:color="auto" w:sz="6" w:space="1"/>
      </w:pBdr>
      <w:snapToGrid w:val="0"/>
      <w:jc w:val="center"/>
    </w:pPr>
    <w:rPr>
      <w:rFonts w:ascii="Calibri" w:hAnsi="Calibri"/>
      <w:sz w:val="18"/>
      <w:szCs w:val="18"/>
    </w:rPr>
  </w:style>
  <w:style w:type="character" w:styleId="7">
    <w:name w:val="Hyperlink"/>
    <w:autoRedefine/>
    <w:qFormat/>
    <w:uiPriority w:val="0"/>
    <w:rPr>
      <w:color w:val="0000FF"/>
      <w:u w:val="single"/>
    </w:rPr>
  </w:style>
  <w:style w:type="paragraph" w:customStyle="1" w:styleId="8">
    <w:name w:val="HTML 预设格式1"/>
    <w:basedOn w:val="1"/>
    <w:autoRedefine/>
    <w:hidden/>
    <w:qFormat/>
    <w:uiPriority w:val="0"/>
    <w:pPr>
      <w:jc w:val="left"/>
    </w:pPr>
    <w:rPr>
      <w:rFonts w:hint="eastAsia" w:ascii="宋体" w:hAnsi="宋体" w:cs="宋体"/>
      <w:kern w:val="0"/>
      <w:sz w:val="24"/>
      <w:szCs w:val="24"/>
    </w:rPr>
  </w:style>
  <w:style w:type="character" w:customStyle="1" w:styleId="9">
    <w:name w:val="页眉 Char"/>
    <w:basedOn w:val="6"/>
    <w:link w:val="4"/>
    <w:autoRedefine/>
    <w:qFormat/>
    <w:uiPriority w:val="0"/>
    <w:rPr>
      <w:sz w:val="18"/>
      <w:szCs w:val="18"/>
    </w:rPr>
  </w:style>
  <w:style w:type="character" w:customStyle="1" w:styleId="10">
    <w:name w:val="页脚 Char"/>
    <w:basedOn w:val="6"/>
    <w:link w:val="3"/>
    <w:autoRedefine/>
    <w:qFormat/>
    <w:uiPriority w:val="0"/>
    <w:rPr>
      <w:sz w:val="18"/>
      <w:szCs w:val="18"/>
    </w:rPr>
  </w:style>
  <w:style w:type="paragraph" w:customStyle="1" w:styleId="11">
    <w:name w:val="列出段落1"/>
    <w:basedOn w:val="1"/>
    <w:autoRedefine/>
    <w:qFormat/>
    <w:uiPriority w:val="0"/>
    <w:pPr>
      <w:ind w:firstLine="420" w:firstLineChars="200"/>
    </w:pPr>
  </w:style>
  <w:style w:type="character" w:customStyle="1" w:styleId="12">
    <w:name w:val="批注框文本 Char"/>
    <w:basedOn w:val="6"/>
    <w:link w:val="2"/>
    <w:autoRedefine/>
    <w:qFormat/>
    <w:uiPriority w:val="0"/>
    <w:rPr>
      <w:rFonts w:hint="default" w:ascii="Times New Roman" w:hAnsi="Times New Roman" w:eastAsia="宋体" w:cs="Times New Roman"/>
      <w:sz w:val="18"/>
      <w:szCs w:val="18"/>
    </w:rPr>
  </w:style>
  <w:style w:type="character" w:customStyle="1" w:styleId="13">
    <w:name w:val="fontstyle01"/>
    <w:basedOn w:val="6"/>
    <w:autoRedefine/>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4</Pages>
  <Words>2537</Words>
  <Characters>2771</Characters>
  <Lines>5</Lines>
  <Paragraphs>1</Paragraphs>
  <TotalTime>15</TotalTime>
  <ScaleCrop>false</ScaleCrop>
  <LinksUpToDate>false</LinksUpToDate>
  <CharactersWithSpaces>2773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2021-08-03T03:07:00Z</dcterms:created>
  <dc:creator>郝丽媛</dc:creator>
  <cp:lastModifiedBy>lyx</cp:lastModifiedBy>
  <dcterms:modified xsi:type="dcterms:W3CDTF">2024-09-10T07:26:37Z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828A29E3AFDA49F1A69CDE78F39481FD_13</vt:lpwstr>
  </property>
</Properties>
</file>