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ascii="黑体" w:hAnsi="黑体" w:eastAsia="黑体"/>
          <w:sz w:val="32"/>
          <w:szCs w:val="32"/>
        </w:rPr>
        <w:t>厦门</w:t>
      </w:r>
      <w:r>
        <w:rPr>
          <w:rFonts w:hint="eastAsia" w:ascii="黑体" w:hAnsi="黑体" w:eastAsia="黑体"/>
          <w:sz w:val="32"/>
          <w:szCs w:val="32"/>
        </w:rPr>
        <w:t>松霖</w:t>
      </w:r>
      <w:r>
        <w:rPr>
          <w:rFonts w:ascii="黑体" w:hAnsi="黑体" w:eastAsia="黑体"/>
          <w:sz w:val="32"/>
          <w:szCs w:val="32"/>
        </w:rPr>
        <w:t>科技股份有限公司</w:t>
      </w:r>
    </w:p>
    <w:p>
      <w:pPr>
        <w:jc w:val="center"/>
        <w:rPr>
          <w:rFonts w:hint="eastAsia" w:ascii="黑体" w:hAnsi="黑体" w:eastAsia="黑体"/>
          <w:sz w:val="32"/>
          <w:szCs w:val="32"/>
        </w:rPr>
      </w:pPr>
      <w:r>
        <w:rPr>
          <w:rFonts w:hint="eastAsia" w:ascii="黑体" w:hAnsi="黑体" w:eastAsia="黑体"/>
          <w:sz w:val="32"/>
          <w:szCs w:val="32"/>
        </w:rPr>
        <w:t>2024年</w:t>
      </w:r>
      <w:r>
        <w:rPr>
          <w:rFonts w:hint="eastAsia" w:ascii="黑体" w:hAnsi="黑体" w:eastAsia="黑体"/>
          <w:sz w:val="32"/>
          <w:szCs w:val="32"/>
          <w:lang w:val="en-US" w:eastAsia="zh-CN"/>
        </w:rPr>
        <w:t>半年</w:t>
      </w:r>
      <w:r>
        <w:rPr>
          <w:rFonts w:hint="eastAsia" w:ascii="黑体" w:hAnsi="黑体" w:eastAsia="黑体"/>
          <w:sz w:val="32"/>
          <w:szCs w:val="32"/>
        </w:rPr>
        <w:t>度业绩说明会</w:t>
      </w:r>
    </w:p>
    <w:p>
      <w:pPr>
        <w:jc w:val="center"/>
        <w:rPr>
          <w:rFonts w:ascii="黑体" w:hAnsi="黑体" w:eastAsia="黑体"/>
          <w:sz w:val="32"/>
          <w:szCs w:val="32"/>
        </w:rPr>
      </w:pPr>
      <w:r>
        <w:rPr>
          <w:rFonts w:hint="eastAsia" w:ascii="黑体" w:hAnsi="黑体" w:eastAsia="黑体"/>
          <w:sz w:val="32"/>
          <w:szCs w:val="32"/>
          <w:lang w:eastAsia="zh-CN"/>
        </w:rPr>
        <w:t>会议</w:t>
      </w:r>
      <w:r>
        <w:rPr>
          <w:rFonts w:ascii="黑体" w:hAnsi="黑体" w:eastAsia="黑体"/>
          <w:sz w:val="32"/>
          <w:szCs w:val="32"/>
        </w:rPr>
        <w:t>纪要</w:t>
      </w:r>
    </w:p>
    <w:p/>
    <w:p/>
    <w:p>
      <w:pPr>
        <w:spacing w:line="360" w:lineRule="auto"/>
        <w:rPr>
          <w:rFonts w:hint="default"/>
          <w:sz w:val="24"/>
          <w:szCs w:val="24"/>
          <w:lang w:val="en-US"/>
        </w:rPr>
      </w:pPr>
      <w:r>
        <w:rPr>
          <w:b/>
          <w:sz w:val="24"/>
          <w:szCs w:val="24"/>
        </w:rPr>
        <w:t>时间</w:t>
      </w:r>
      <w:r>
        <w:rPr>
          <w:sz w:val="24"/>
          <w:szCs w:val="24"/>
        </w:rPr>
        <w:t>：</w:t>
      </w:r>
      <w:r>
        <w:rPr>
          <w:rFonts w:hint="eastAsia"/>
          <w:sz w:val="24"/>
          <w:szCs w:val="24"/>
          <w:lang w:val="en-US" w:eastAsia="zh-CN"/>
        </w:rPr>
        <w:t>2024年9月13日</w:t>
      </w:r>
      <w:r>
        <w:rPr>
          <w:rFonts w:hint="eastAsia"/>
          <w:sz w:val="24"/>
          <w:szCs w:val="24"/>
        </w:rPr>
        <w:t>下</w:t>
      </w:r>
      <w:r>
        <w:rPr>
          <w:sz w:val="24"/>
          <w:szCs w:val="24"/>
        </w:rPr>
        <w:t>午</w:t>
      </w:r>
      <w:r>
        <w:rPr>
          <w:rFonts w:hint="eastAsia"/>
          <w:sz w:val="24"/>
          <w:szCs w:val="24"/>
          <w:lang w:val="en-US" w:eastAsia="zh-CN"/>
        </w:rPr>
        <w:t>15</w:t>
      </w:r>
      <w:r>
        <w:rPr>
          <w:rFonts w:hint="eastAsia"/>
          <w:sz w:val="24"/>
          <w:szCs w:val="24"/>
          <w:lang w:eastAsia="zh-CN"/>
        </w:rPr>
        <w:t>：</w:t>
      </w:r>
      <w:r>
        <w:rPr>
          <w:rFonts w:hint="eastAsia"/>
          <w:sz w:val="24"/>
          <w:szCs w:val="24"/>
          <w:lang w:val="en-US" w:eastAsia="zh-CN"/>
        </w:rPr>
        <w:t>00</w:t>
      </w:r>
      <w:r>
        <w:rPr>
          <w:sz w:val="24"/>
          <w:szCs w:val="24"/>
        </w:rPr>
        <w:t>-</w:t>
      </w:r>
      <w:r>
        <w:rPr>
          <w:rFonts w:hint="eastAsia"/>
          <w:sz w:val="24"/>
          <w:szCs w:val="24"/>
          <w:lang w:val="en-US" w:eastAsia="zh-CN"/>
        </w:rPr>
        <w:t>16</w:t>
      </w:r>
      <w:r>
        <w:rPr>
          <w:rFonts w:hint="eastAsia"/>
          <w:sz w:val="24"/>
          <w:szCs w:val="24"/>
          <w:lang w:eastAsia="zh-CN"/>
        </w:rPr>
        <w:t>：</w:t>
      </w:r>
      <w:r>
        <w:rPr>
          <w:rFonts w:hint="eastAsia"/>
          <w:sz w:val="24"/>
          <w:szCs w:val="24"/>
          <w:lang w:val="en-US" w:eastAsia="zh-CN"/>
        </w:rPr>
        <w:t>30</w:t>
      </w:r>
    </w:p>
    <w:p>
      <w:pPr>
        <w:spacing w:before="62" w:beforeLines="20" w:line="360" w:lineRule="auto"/>
        <w:rPr>
          <w:rFonts w:hint="eastAsia"/>
          <w:sz w:val="24"/>
          <w:szCs w:val="24"/>
          <w:lang w:val="en-US" w:eastAsia="zh-CN"/>
        </w:rPr>
      </w:pPr>
      <w:r>
        <w:rPr>
          <w:b/>
          <w:sz w:val="24"/>
          <w:szCs w:val="24"/>
        </w:rPr>
        <w:t>业绩说明会会议形式</w:t>
      </w:r>
      <w:r>
        <w:rPr>
          <w:sz w:val="24"/>
          <w:szCs w:val="24"/>
        </w:rPr>
        <w:t>：</w:t>
      </w:r>
      <w:r>
        <w:rPr>
          <w:rFonts w:hint="eastAsia"/>
          <w:sz w:val="24"/>
          <w:szCs w:val="24"/>
          <w:lang w:val="en-US" w:eastAsia="zh-CN"/>
        </w:rPr>
        <w:t>上证路演中心视频直播和网络互动</w:t>
      </w:r>
    </w:p>
    <w:p>
      <w:pPr>
        <w:spacing w:before="62" w:beforeLines="20" w:line="360" w:lineRule="auto"/>
        <w:rPr>
          <w:rFonts w:hint="eastAsia"/>
          <w:b w:val="0"/>
          <w:bCs w:val="0"/>
          <w:sz w:val="24"/>
          <w:szCs w:val="24"/>
          <w:lang w:val="en-US" w:eastAsia="zh-CN"/>
        </w:rPr>
      </w:pPr>
      <w:r>
        <w:rPr>
          <w:rFonts w:hint="eastAsia"/>
          <w:b/>
          <w:bCs/>
          <w:sz w:val="24"/>
          <w:szCs w:val="24"/>
          <w:lang w:val="en-US" w:eastAsia="zh-CN"/>
        </w:rPr>
        <w:t>地点：</w:t>
      </w:r>
      <w:r>
        <w:rPr>
          <w:rFonts w:hint="eastAsia"/>
          <w:b w:val="0"/>
          <w:bCs w:val="0"/>
          <w:sz w:val="24"/>
          <w:szCs w:val="24"/>
          <w:lang w:val="en-US" w:eastAsia="zh-CN"/>
        </w:rPr>
        <w:t>上海证券交易所上证路演中心（网址：https://roadshow.sseinfo.com/）</w:t>
      </w:r>
    </w:p>
    <w:p>
      <w:pPr>
        <w:spacing w:before="62" w:beforeLines="20" w:line="360" w:lineRule="auto"/>
        <w:rPr>
          <w:rFonts w:hint="eastAsia" w:eastAsiaTheme="minorEastAsia"/>
          <w:sz w:val="24"/>
          <w:szCs w:val="24"/>
          <w:lang w:eastAsia="zh-CN"/>
        </w:rPr>
      </w:pPr>
      <w:r>
        <w:rPr>
          <w:b/>
          <w:sz w:val="24"/>
          <w:szCs w:val="24"/>
        </w:rPr>
        <w:t>会议嘉宾：</w:t>
      </w:r>
    </w:p>
    <w:p>
      <w:pPr>
        <w:spacing w:line="360" w:lineRule="auto"/>
        <w:rPr>
          <w:sz w:val="24"/>
          <w:szCs w:val="24"/>
        </w:rPr>
      </w:pPr>
      <w:r>
        <w:rPr>
          <w:sz w:val="24"/>
          <w:szCs w:val="24"/>
        </w:rPr>
        <w:t>董事长</w:t>
      </w:r>
      <w:r>
        <w:rPr>
          <w:rFonts w:hint="eastAsia"/>
          <w:sz w:val="24"/>
          <w:szCs w:val="24"/>
        </w:rPr>
        <w:t>兼</w:t>
      </w:r>
      <w:r>
        <w:rPr>
          <w:sz w:val="24"/>
          <w:szCs w:val="24"/>
        </w:rPr>
        <w:t>总经理周华松先生</w:t>
      </w:r>
    </w:p>
    <w:p>
      <w:pPr>
        <w:spacing w:line="360" w:lineRule="auto"/>
        <w:rPr>
          <w:sz w:val="24"/>
          <w:szCs w:val="24"/>
        </w:rPr>
      </w:pPr>
      <w:r>
        <w:rPr>
          <w:rFonts w:hint="eastAsia"/>
          <w:sz w:val="24"/>
          <w:szCs w:val="24"/>
        </w:rPr>
        <w:t>董事、</w:t>
      </w:r>
      <w:r>
        <w:rPr>
          <w:sz w:val="24"/>
          <w:szCs w:val="24"/>
        </w:rPr>
        <w:t>副总经理</w:t>
      </w:r>
      <w:r>
        <w:rPr>
          <w:rFonts w:hint="eastAsia"/>
          <w:sz w:val="24"/>
          <w:szCs w:val="24"/>
          <w:lang w:eastAsia="zh-CN"/>
        </w:rPr>
        <w:t>兼</w:t>
      </w:r>
      <w:r>
        <w:rPr>
          <w:rFonts w:hint="eastAsia"/>
          <w:sz w:val="24"/>
          <w:szCs w:val="24"/>
        </w:rPr>
        <w:t>财务</w:t>
      </w:r>
      <w:r>
        <w:rPr>
          <w:sz w:val="24"/>
          <w:szCs w:val="24"/>
        </w:rPr>
        <w:t>总监</w:t>
      </w:r>
      <w:r>
        <w:rPr>
          <w:rFonts w:hint="eastAsia"/>
          <w:sz w:val="24"/>
          <w:szCs w:val="24"/>
        </w:rPr>
        <w:t>魏凌</w:t>
      </w:r>
      <w:r>
        <w:rPr>
          <w:sz w:val="24"/>
          <w:szCs w:val="24"/>
        </w:rPr>
        <w:t>女士</w:t>
      </w:r>
    </w:p>
    <w:p>
      <w:pPr>
        <w:tabs>
          <w:tab w:val="left" w:pos="3430"/>
        </w:tabs>
        <w:spacing w:line="360" w:lineRule="auto"/>
        <w:rPr>
          <w:rFonts w:hint="default" w:eastAsiaTheme="minorEastAsia"/>
          <w:sz w:val="24"/>
          <w:szCs w:val="24"/>
          <w:lang w:val="en-US" w:eastAsia="zh-CN"/>
        </w:rPr>
      </w:pPr>
      <w:r>
        <w:rPr>
          <w:rFonts w:hint="eastAsia"/>
          <w:sz w:val="24"/>
          <w:szCs w:val="24"/>
          <w:lang w:eastAsia="zh-CN"/>
        </w:rPr>
        <w:t>独立董事</w:t>
      </w:r>
      <w:r>
        <w:rPr>
          <w:rFonts w:hint="eastAsia"/>
          <w:sz w:val="24"/>
          <w:szCs w:val="24"/>
          <w:lang w:val="en-US" w:eastAsia="zh-CN"/>
        </w:rPr>
        <w:t>李成先生</w:t>
      </w:r>
    </w:p>
    <w:p>
      <w:pPr>
        <w:spacing w:line="360" w:lineRule="auto"/>
        <w:rPr>
          <w:sz w:val="24"/>
          <w:szCs w:val="24"/>
        </w:rPr>
      </w:pPr>
      <w:r>
        <w:rPr>
          <w:sz w:val="24"/>
          <w:szCs w:val="24"/>
        </w:rPr>
        <w:t>董事会秘书</w:t>
      </w:r>
      <w:r>
        <w:rPr>
          <w:rFonts w:hint="eastAsia"/>
          <w:sz w:val="24"/>
          <w:szCs w:val="24"/>
        </w:rPr>
        <w:t>吴朝华</w:t>
      </w:r>
      <w:r>
        <w:rPr>
          <w:sz w:val="24"/>
          <w:szCs w:val="24"/>
        </w:rPr>
        <w:t>女士</w:t>
      </w:r>
    </w:p>
    <w:p>
      <w:pPr>
        <w:spacing w:before="62" w:beforeLines="20" w:line="360" w:lineRule="auto"/>
        <w:rPr>
          <w:sz w:val="24"/>
          <w:szCs w:val="24"/>
        </w:rPr>
      </w:pPr>
      <w:r>
        <w:rPr>
          <w:b/>
          <w:sz w:val="24"/>
          <w:szCs w:val="24"/>
        </w:rPr>
        <w:t>说明：</w:t>
      </w:r>
      <w:r>
        <w:rPr>
          <w:sz w:val="24"/>
          <w:szCs w:val="24"/>
        </w:rPr>
        <w:t>本会议纪要根据</w:t>
      </w:r>
      <w:r>
        <w:rPr>
          <w:rFonts w:hint="eastAsia"/>
          <w:sz w:val="24"/>
          <w:szCs w:val="24"/>
        </w:rPr>
        <w:t>2024年</w:t>
      </w:r>
      <w:r>
        <w:rPr>
          <w:rFonts w:hint="eastAsia"/>
          <w:sz w:val="24"/>
          <w:szCs w:val="24"/>
          <w:lang w:val="en-US" w:eastAsia="zh-CN"/>
        </w:rPr>
        <w:t>半年</w:t>
      </w:r>
      <w:r>
        <w:rPr>
          <w:rFonts w:hint="eastAsia"/>
          <w:sz w:val="24"/>
          <w:szCs w:val="24"/>
        </w:rPr>
        <w:t>度业绩说明会</w:t>
      </w:r>
      <w:r>
        <w:rPr>
          <w:sz w:val="24"/>
          <w:szCs w:val="24"/>
        </w:rPr>
        <w:t>交流问答情况进行整理。</w:t>
      </w:r>
    </w:p>
    <w:p>
      <w:pPr>
        <w:spacing w:line="360" w:lineRule="auto"/>
        <w:rPr>
          <w:sz w:val="24"/>
          <w:szCs w:val="24"/>
        </w:rPr>
      </w:pPr>
    </w:p>
    <w:p>
      <w:pPr>
        <w:spacing w:line="360" w:lineRule="auto"/>
        <w:rPr>
          <w:rFonts w:hint="eastAsia" w:eastAsiaTheme="minorEastAsia"/>
          <w:sz w:val="24"/>
          <w:szCs w:val="24"/>
          <w:lang w:eastAsia="zh-CN"/>
        </w:rPr>
      </w:pPr>
      <w:r>
        <w:rPr>
          <w:rFonts w:hint="eastAsia"/>
          <w:b/>
          <w:sz w:val="24"/>
          <w:szCs w:val="24"/>
        </w:rPr>
        <w:t>征集问题回答及文字互动主要内容：</w:t>
      </w:r>
    </w:p>
    <w:p>
      <w:pPr>
        <w:keepNext w:val="0"/>
        <w:keepLines w:val="0"/>
        <w:pageBreakBefore w:val="0"/>
        <w:widowControl w:val="0"/>
        <w:kinsoku/>
        <w:wordWrap/>
        <w:overflowPunct/>
        <w:topLinePunct w:val="0"/>
        <w:autoSpaceDE/>
        <w:autoSpaceDN/>
        <w:bidi w:val="0"/>
        <w:adjustRightInd/>
        <w:snapToGrid/>
        <w:spacing w:before="156" w:beforeLines="50" w:line="460" w:lineRule="exact"/>
        <w:ind w:firstLine="482" w:firstLineChars="200"/>
        <w:textAlignment w:val="auto"/>
        <w:rPr>
          <w:rFonts w:ascii="宋体" w:hAnsi="宋体"/>
          <w:b/>
          <w:sz w:val="24"/>
        </w:rPr>
      </w:pPr>
      <w:r>
        <w:rPr>
          <w:rFonts w:ascii="宋体" w:hAnsi="宋体"/>
          <w:b/>
          <w:sz w:val="24"/>
        </w:rPr>
        <w:t>投资者提出的问题及公司回复情况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ascii="宋体" w:hAnsi="宋体" w:eastAsia="宋体" w:cs="宋体"/>
          <w:sz w:val="24"/>
        </w:rPr>
        <w:t>公司就投资者在本次说明会中提出的问题进行了回复：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ascii="宋体" w:hAnsi="宋体"/>
          <w:b/>
          <w:sz w:val="24"/>
          <w:szCs w:val="24"/>
        </w:rPr>
      </w:pPr>
      <w:r>
        <w:rPr>
          <w:rFonts w:hint="default" w:ascii="宋体" w:hAnsi="宋体"/>
          <w:b/>
          <w:sz w:val="24"/>
          <w:szCs w:val="24"/>
        </w:rPr>
        <w:t>1、尊敬的领导，下午好！作为中小投资者，有以下问题：1、可视化年报显示，半年营收较去年略增但利润大增，毛利率略微增加，筹资和投资净现金流均负值，能否分析一下原因？2、公司发行的6.1亿元可转债尚未实现转股，后期如何推动转股？</w:t>
      </w:r>
    </w:p>
    <w:p>
      <w:pPr>
        <w:pStyle w:val="18"/>
        <w:spacing w:line="460" w:lineRule="exact"/>
        <w:ind w:left="-2" w:leftChars="-1" w:firstLine="480"/>
        <w:rPr>
          <w:rFonts w:hint="default" w:ascii="宋体" w:hAnsi="宋体"/>
          <w:sz w:val="24"/>
          <w:szCs w:val="24"/>
        </w:rPr>
      </w:pPr>
      <w:r>
        <w:rPr>
          <w:rFonts w:hint="default" w:ascii="宋体" w:hAnsi="宋体"/>
          <w:sz w:val="24"/>
          <w:szCs w:val="24"/>
        </w:rPr>
        <w:t>尊敬的投资者，您好！1. 公司投资活动产生的现金流量净额变动原因主要系结构性存款的净投资支出增加及购建固定资产、无形资产和其他长期资产支付的现金增加；筹资活动产生的现金流量净额变动原因主要系取得借款收到现金同比减少以及本期支付并购倍杰特公司少数股权款的影响。2. 公司会努力提升自身的经营业绩和盈利能力，以增强投资者对公司未来发展的信心。良好的业绩表现可以提高公司股票的市场价值，从而增加可转债持有人转股后的潜在收益，进而推动转股</w:t>
      </w:r>
      <w:r>
        <w:rPr>
          <w:rFonts w:hint="eastAsia" w:ascii="宋体" w:hAnsi="宋体"/>
          <w:sz w:val="24"/>
          <w:szCs w:val="24"/>
          <w:lang w:eastAsia="zh-CN"/>
        </w:rPr>
        <w:t>。</w:t>
      </w:r>
      <w:r>
        <w:rPr>
          <w:rFonts w:hint="default" w:ascii="宋体" w:hAnsi="宋体"/>
          <w:sz w:val="24"/>
          <w:szCs w:val="24"/>
        </w:rPr>
        <w:t>谢谢您的关注！</w:t>
      </w:r>
    </w:p>
    <w:p>
      <w:pPr>
        <w:pStyle w:val="18"/>
        <w:spacing w:line="460" w:lineRule="exact"/>
        <w:ind w:left="-2" w:leftChars="-1" w:firstLine="480"/>
        <w:rPr>
          <w:rFonts w:hint="default" w:ascii="宋体" w:hAnsi="宋体"/>
          <w:sz w:val="24"/>
          <w:szCs w:val="24"/>
        </w:rPr>
      </w:pPr>
    </w:p>
    <w:p>
      <w:pPr>
        <w:pStyle w:val="18"/>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rPr>
      </w:pPr>
      <w:r>
        <w:rPr>
          <w:rFonts w:hint="eastAsia" w:ascii="宋体" w:hAnsi="宋体"/>
          <w:b/>
          <w:sz w:val="24"/>
          <w:szCs w:val="24"/>
        </w:rPr>
        <w:t>请问上半年境外销售快速增长的原因是什么？境内销售下滑的原因是什么？下半年这个趋势是否还会持续？</w:t>
      </w:r>
    </w:p>
    <w:p>
      <w:pPr>
        <w:pStyle w:val="18"/>
        <w:spacing w:line="460" w:lineRule="exact"/>
        <w:ind w:left="-2" w:leftChars="-1" w:firstLine="480"/>
        <w:rPr>
          <w:rFonts w:hint="eastAsia" w:ascii="宋体" w:hAnsi="宋体"/>
          <w:sz w:val="24"/>
          <w:szCs w:val="24"/>
        </w:rPr>
      </w:pPr>
      <w:r>
        <w:rPr>
          <w:rFonts w:hint="eastAsia" w:ascii="宋体" w:hAnsi="宋体"/>
          <w:sz w:val="24"/>
          <w:szCs w:val="24"/>
        </w:rPr>
        <w:t>敬的投资者，您好！上半年境外销售快速增长得益于公司持续不断加大研发投入，推动产品创新和升级，以满足国外市场对高质量、高性能产品的需求，进而拓展了海外市场的份额。境内销售下滑的原因涉及多个方面因素导致，主要包括宏观经济形势、市场需求变化等。谢谢您的关注 ！</w:t>
      </w:r>
      <w:r>
        <w:rPr>
          <w:rFonts w:hint="eastAsia" w:ascii="宋体" w:hAnsi="宋体"/>
          <w:sz w:val="24"/>
          <w:szCs w:val="24"/>
        </w:rPr>
        <w:br w:type="textWrapping"/>
      </w:r>
    </w:p>
    <w:p>
      <w:pPr>
        <w:pStyle w:val="18"/>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rPr>
      </w:pPr>
      <w:r>
        <w:rPr>
          <w:rFonts w:hint="eastAsia" w:ascii="宋体" w:hAnsi="宋体"/>
          <w:b/>
          <w:sz w:val="24"/>
          <w:szCs w:val="24"/>
        </w:rPr>
        <w:t>公司销售费用去年和今年上半年持续下降的原因是什么？未来会不会反弹？</w:t>
      </w:r>
    </w:p>
    <w:p>
      <w:pPr>
        <w:pStyle w:val="18"/>
        <w:spacing w:line="460" w:lineRule="exact"/>
        <w:ind w:left="-2" w:leftChars="-1" w:firstLine="480"/>
        <w:rPr>
          <w:rFonts w:hint="eastAsia" w:ascii="宋体" w:hAnsi="宋体"/>
          <w:sz w:val="24"/>
          <w:szCs w:val="24"/>
        </w:rPr>
      </w:pPr>
      <w:r>
        <w:rPr>
          <w:rFonts w:hint="eastAsia" w:ascii="宋体" w:hAnsi="宋体"/>
          <w:sz w:val="24"/>
          <w:szCs w:val="24"/>
        </w:rPr>
        <w:t>尊敬的投资者，您好！公司销售费用今年上半年同比下降的原因主要系 2023年9月剥离了“松霖·家“业务的影响；展望未来，销售费用的变动将紧密关联于公司业务规模的变化趋势及市场策略的灵活调整。谢谢您的关注 ！</w:t>
      </w:r>
    </w:p>
    <w:p>
      <w:pPr>
        <w:pStyle w:val="18"/>
        <w:spacing w:line="460" w:lineRule="exact"/>
        <w:ind w:left="-2" w:leftChars="-1" w:firstLine="480"/>
        <w:rPr>
          <w:rFonts w:hint="eastAsia" w:ascii="宋体" w:hAnsi="宋体"/>
          <w:sz w:val="24"/>
          <w:szCs w:val="24"/>
        </w:rPr>
      </w:pPr>
    </w:p>
    <w:p>
      <w:pPr>
        <w:pStyle w:val="18"/>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rPr>
      </w:pPr>
      <w:r>
        <w:rPr>
          <w:rFonts w:hint="eastAsia" w:ascii="宋体" w:hAnsi="宋体"/>
          <w:b/>
          <w:sz w:val="24"/>
          <w:szCs w:val="24"/>
        </w:rPr>
        <w:t>请董事长介绍一下公司是如何走上IDM这种经营模式的过程以及这种模式的优势，在欧美经济可能变差的情况下，这种模式还能维持公司的业绩增长吗？</w:t>
      </w:r>
    </w:p>
    <w:p>
      <w:pPr>
        <w:pStyle w:val="18"/>
        <w:spacing w:line="460" w:lineRule="exact"/>
        <w:ind w:left="-2" w:leftChars="-1" w:firstLine="480"/>
        <w:rPr>
          <w:rFonts w:hint="eastAsia" w:ascii="宋体" w:hAnsi="宋体"/>
          <w:sz w:val="24"/>
          <w:szCs w:val="24"/>
        </w:rPr>
      </w:pPr>
      <w:r>
        <w:rPr>
          <w:rFonts w:hint="eastAsia" w:ascii="宋体" w:hAnsi="宋体"/>
          <w:sz w:val="24"/>
          <w:szCs w:val="24"/>
        </w:rPr>
        <w:t>尊敬的投资者，您好！公司自创立以来，一直秉承高质量的产品和服务理念，通过“KT+ID”（核心技术+工业设计）的创新体系，在行业内积累了良好的口碑和坚实的基础。随着公司业务的不断发展和市场需求的变化，公司将原有的“KT+ID”体系升维为IDM（技术创新、创意设计、智能制造）模式，在保持优质智能制造基础及突出的工业设计能力同时，进一步强化技术创新能力，基于对终端市场的消费洞察，研发出好产品。IDM模式产品包括了公司发明专利、实用新型专利、外观设计专利等自主知识产权，包含了公司的技术创新和设计创意。IDM 模式是公司在与国际知名品牌客户长期稳定深入的合作实践中发展起来的，符合行业特点和发展趋势的，极具公司特色的一种“以创意设计、技术创新引领市场销售”的经营模式，其核心基础在于公司强大的创意设计和技术创新实力。这么多年的经营实践检验表明了IDM经营模式为公司带来了显著的优势和竞争力，在应对欧美经济变化时，公司将继续坚持创新驱动发展战略，采取优化产品结构、加大研发投入、保持技术创新等多项策略来保持业绩增长和稳健发展。谢谢您的关注！</w:t>
      </w:r>
    </w:p>
    <w:p>
      <w:pPr>
        <w:pStyle w:val="18"/>
        <w:spacing w:line="460" w:lineRule="exact"/>
        <w:ind w:left="-2" w:leftChars="-1" w:firstLine="480"/>
        <w:rPr>
          <w:rFonts w:hint="eastAsia" w:ascii="宋体" w:hAnsi="宋体"/>
          <w:sz w:val="24"/>
          <w:szCs w:val="24"/>
        </w:rPr>
      </w:pPr>
    </w:p>
    <w:p>
      <w:pPr>
        <w:pStyle w:val="18"/>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rPr>
      </w:pPr>
      <w:r>
        <w:rPr>
          <w:rFonts w:hint="eastAsia" w:ascii="宋体" w:hAnsi="宋体"/>
          <w:b/>
          <w:sz w:val="24"/>
          <w:szCs w:val="24"/>
        </w:rPr>
        <w:t>公司未来业绩增长点，主要是什么？</w:t>
      </w:r>
    </w:p>
    <w:p>
      <w:pPr>
        <w:pStyle w:val="18"/>
        <w:spacing w:line="460" w:lineRule="exact"/>
        <w:ind w:left="-2" w:leftChars="-1" w:firstLine="480"/>
        <w:rPr>
          <w:rFonts w:hint="eastAsia" w:ascii="宋体" w:hAnsi="宋体"/>
          <w:sz w:val="24"/>
          <w:szCs w:val="24"/>
        </w:rPr>
      </w:pPr>
      <w:r>
        <w:rPr>
          <w:rFonts w:hint="eastAsia" w:ascii="宋体" w:hAnsi="宋体"/>
          <w:sz w:val="24"/>
          <w:szCs w:val="24"/>
        </w:rPr>
        <w:t>尊敬的投资者，您好！</w:t>
      </w:r>
      <w:r>
        <w:rPr>
          <w:rFonts w:hint="eastAsia" w:ascii="宋体" w:hAnsi="宋体"/>
          <w:sz w:val="24"/>
          <w:szCs w:val="24"/>
          <w:lang w:eastAsia="zh-CN"/>
        </w:rPr>
        <w:t>公司目前主要依托于“智能硬件产品IDM （创新/设计/智造）共享平台”战略为全球各大知名厨卫企业、美容产品品牌企业等提供技术一流、质量领先的 IDM 硬件产品，公司主要产品包括厨卫品类、美容健康品类和新兴智能健康品类。厨卫业务作为公司营收的坚实基石，其和健康生活有较强的关联，公司积极拥抱智能化、健康化及绿色化的行业趋势，推动产品迭代升级。智能马桶、电子淋浴系统、功能性厨房用水系统等明星产品，凭借其创新设计与卓越性能及广阔的市场空间，成为驱动业绩增长的重要力量；美容健康业务，作为公司快速发展的第二增长极，依托射频、微电流、超声波、AI 算法等技术智能化检、分析人体皮肤、毛发与口腔，该业务面向新兴快速成长的市场，具有极大的成长空间和发展前景；此外，新兴智能健康业务亦是我们战略布局的重要一环，聚焦于智能睡眠与智能运动两大方向。止鼾枕、助眠仪、止鼾垫等创新产品，不仅体现了我们对健康生活的深刻理解与追求，更通过与国内外知名健身品牌及睡眠用品品牌的深度合作，成功实现了新产品、新项目的转化与市场推广，为公司的未来发展铺设了坚实的道路，展现出良好的成长态势与无限可能。</w:t>
      </w:r>
      <w:bookmarkStart w:id="0" w:name="_GoBack"/>
      <w:bookmarkEnd w:id="0"/>
      <w:r>
        <w:rPr>
          <w:rFonts w:hint="eastAsia" w:ascii="宋体" w:hAnsi="宋体"/>
          <w:sz w:val="24"/>
          <w:szCs w:val="24"/>
        </w:rPr>
        <w:t>谢谢您的关注 ！</w:t>
      </w:r>
    </w:p>
    <w:p>
      <w:pPr>
        <w:pStyle w:val="18"/>
        <w:spacing w:line="460" w:lineRule="exact"/>
        <w:ind w:left="-2" w:leftChars="-1" w:firstLine="480"/>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FCC1E"/>
    <w:multiLevelType w:val="singleLevel"/>
    <w:tmpl w:val="538FCC1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MGJlMDUzYzkxOGVmZjEzNGI3OGU1NmRiMDhkZjcifQ=="/>
  </w:docVars>
  <w:rsids>
    <w:rsidRoot w:val="00A42650"/>
    <w:rsid w:val="000131F3"/>
    <w:rsid w:val="00045834"/>
    <w:rsid w:val="000565FC"/>
    <w:rsid w:val="00075206"/>
    <w:rsid w:val="00080A1E"/>
    <w:rsid w:val="000F69FC"/>
    <w:rsid w:val="0010018D"/>
    <w:rsid w:val="00107E82"/>
    <w:rsid w:val="001552D1"/>
    <w:rsid w:val="001553A6"/>
    <w:rsid w:val="0018138A"/>
    <w:rsid w:val="001A5216"/>
    <w:rsid w:val="001F446D"/>
    <w:rsid w:val="0022176C"/>
    <w:rsid w:val="00233CFA"/>
    <w:rsid w:val="00274182"/>
    <w:rsid w:val="002770B5"/>
    <w:rsid w:val="00297D72"/>
    <w:rsid w:val="002C2194"/>
    <w:rsid w:val="002C289E"/>
    <w:rsid w:val="002C7D1F"/>
    <w:rsid w:val="002D0034"/>
    <w:rsid w:val="003114D7"/>
    <w:rsid w:val="00311B1D"/>
    <w:rsid w:val="00341BD8"/>
    <w:rsid w:val="00343F09"/>
    <w:rsid w:val="00344D9E"/>
    <w:rsid w:val="00346D0C"/>
    <w:rsid w:val="00387C0E"/>
    <w:rsid w:val="00396DA2"/>
    <w:rsid w:val="003C41B1"/>
    <w:rsid w:val="003D0D4B"/>
    <w:rsid w:val="003D7958"/>
    <w:rsid w:val="003D7BD6"/>
    <w:rsid w:val="003E085A"/>
    <w:rsid w:val="003F121D"/>
    <w:rsid w:val="00431B50"/>
    <w:rsid w:val="00456C0D"/>
    <w:rsid w:val="0046335A"/>
    <w:rsid w:val="00481889"/>
    <w:rsid w:val="00483CC2"/>
    <w:rsid w:val="00523F0E"/>
    <w:rsid w:val="00557B65"/>
    <w:rsid w:val="00592B0B"/>
    <w:rsid w:val="005B70B3"/>
    <w:rsid w:val="005C18A2"/>
    <w:rsid w:val="005C62CF"/>
    <w:rsid w:val="005E02D4"/>
    <w:rsid w:val="00630464"/>
    <w:rsid w:val="0065319F"/>
    <w:rsid w:val="00653A91"/>
    <w:rsid w:val="0065408A"/>
    <w:rsid w:val="00657F26"/>
    <w:rsid w:val="00663659"/>
    <w:rsid w:val="00663A57"/>
    <w:rsid w:val="00680B3E"/>
    <w:rsid w:val="00715928"/>
    <w:rsid w:val="00724012"/>
    <w:rsid w:val="00737B50"/>
    <w:rsid w:val="00762117"/>
    <w:rsid w:val="00774307"/>
    <w:rsid w:val="00782C0F"/>
    <w:rsid w:val="00786441"/>
    <w:rsid w:val="007A1162"/>
    <w:rsid w:val="007A15F0"/>
    <w:rsid w:val="007A567F"/>
    <w:rsid w:val="007B2D5D"/>
    <w:rsid w:val="007D6F46"/>
    <w:rsid w:val="00831222"/>
    <w:rsid w:val="0085122B"/>
    <w:rsid w:val="00865A46"/>
    <w:rsid w:val="00871F22"/>
    <w:rsid w:val="00876146"/>
    <w:rsid w:val="00892AD3"/>
    <w:rsid w:val="008B687C"/>
    <w:rsid w:val="009470C3"/>
    <w:rsid w:val="00982975"/>
    <w:rsid w:val="00983A88"/>
    <w:rsid w:val="009A6312"/>
    <w:rsid w:val="009B2CD3"/>
    <w:rsid w:val="009C2690"/>
    <w:rsid w:val="009D5FFC"/>
    <w:rsid w:val="009D6D1C"/>
    <w:rsid w:val="009F17DA"/>
    <w:rsid w:val="00A237B9"/>
    <w:rsid w:val="00A25201"/>
    <w:rsid w:val="00A27326"/>
    <w:rsid w:val="00A309F2"/>
    <w:rsid w:val="00A33389"/>
    <w:rsid w:val="00A42650"/>
    <w:rsid w:val="00A452DE"/>
    <w:rsid w:val="00A6734E"/>
    <w:rsid w:val="00A71DEC"/>
    <w:rsid w:val="00A7243E"/>
    <w:rsid w:val="00AB48EB"/>
    <w:rsid w:val="00AC26C6"/>
    <w:rsid w:val="00AC2CAA"/>
    <w:rsid w:val="00AF541C"/>
    <w:rsid w:val="00B366E8"/>
    <w:rsid w:val="00B4210D"/>
    <w:rsid w:val="00B61D57"/>
    <w:rsid w:val="00B651AA"/>
    <w:rsid w:val="00B72316"/>
    <w:rsid w:val="00B81CB4"/>
    <w:rsid w:val="00B87310"/>
    <w:rsid w:val="00BB5707"/>
    <w:rsid w:val="00BE5E0F"/>
    <w:rsid w:val="00BF5F63"/>
    <w:rsid w:val="00C04B62"/>
    <w:rsid w:val="00C15E6D"/>
    <w:rsid w:val="00C20383"/>
    <w:rsid w:val="00C42123"/>
    <w:rsid w:val="00C52163"/>
    <w:rsid w:val="00C818B4"/>
    <w:rsid w:val="00C829C5"/>
    <w:rsid w:val="00CA3EEB"/>
    <w:rsid w:val="00CC38E2"/>
    <w:rsid w:val="00D0425D"/>
    <w:rsid w:val="00D072B9"/>
    <w:rsid w:val="00D20BEE"/>
    <w:rsid w:val="00D432AB"/>
    <w:rsid w:val="00D469EE"/>
    <w:rsid w:val="00D60395"/>
    <w:rsid w:val="00D80659"/>
    <w:rsid w:val="00D905DD"/>
    <w:rsid w:val="00DC1546"/>
    <w:rsid w:val="00DD70EA"/>
    <w:rsid w:val="00DD7A61"/>
    <w:rsid w:val="00E231EE"/>
    <w:rsid w:val="00E632AF"/>
    <w:rsid w:val="00E7248B"/>
    <w:rsid w:val="00E801BA"/>
    <w:rsid w:val="00EA193C"/>
    <w:rsid w:val="00EC51E6"/>
    <w:rsid w:val="00ED364A"/>
    <w:rsid w:val="00EF0EEF"/>
    <w:rsid w:val="00EF3913"/>
    <w:rsid w:val="00EF6066"/>
    <w:rsid w:val="00EF79D6"/>
    <w:rsid w:val="00F213AF"/>
    <w:rsid w:val="00F24C22"/>
    <w:rsid w:val="00F57452"/>
    <w:rsid w:val="00F630FD"/>
    <w:rsid w:val="00F72E29"/>
    <w:rsid w:val="00F747A4"/>
    <w:rsid w:val="00F7787A"/>
    <w:rsid w:val="00FA2E9E"/>
    <w:rsid w:val="00FA3289"/>
    <w:rsid w:val="071B0509"/>
    <w:rsid w:val="07EC3C76"/>
    <w:rsid w:val="0F283E25"/>
    <w:rsid w:val="108E725A"/>
    <w:rsid w:val="12941240"/>
    <w:rsid w:val="13FD017F"/>
    <w:rsid w:val="14431796"/>
    <w:rsid w:val="156E04EB"/>
    <w:rsid w:val="19A15478"/>
    <w:rsid w:val="19EE5FA2"/>
    <w:rsid w:val="1DE21007"/>
    <w:rsid w:val="204924E5"/>
    <w:rsid w:val="215C203F"/>
    <w:rsid w:val="24C92DC6"/>
    <w:rsid w:val="26A0099C"/>
    <w:rsid w:val="295613B7"/>
    <w:rsid w:val="2EA24F28"/>
    <w:rsid w:val="30197C97"/>
    <w:rsid w:val="364C66D0"/>
    <w:rsid w:val="3BF75ACC"/>
    <w:rsid w:val="45C84F1B"/>
    <w:rsid w:val="5B9C6F02"/>
    <w:rsid w:val="63612F0B"/>
    <w:rsid w:val="64F50B34"/>
    <w:rsid w:val="67DB2FF4"/>
    <w:rsid w:val="6B4A24D7"/>
    <w:rsid w:val="726D063E"/>
    <w:rsid w:val="75B82733"/>
    <w:rsid w:val="777C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FollowedHyperlink"/>
    <w:basedOn w:val="8"/>
    <w:autoRedefine/>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8"/>
    <w:autoRedefine/>
    <w:semiHidden/>
    <w:unhideWhenUsed/>
    <w:qFormat/>
    <w:uiPriority w:val="99"/>
    <w:rPr>
      <w:sz w:val="21"/>
      <w:szCs w:val="21"/>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批注文字 Char"/>
    <w:basedOn w:val="8"/>
    <w:link w:val="2"/>
    <w:autoRedefine/>
    <w:semiHidden/>
    <w:qFormat/>
    <w:uiPriority w:val="99"/>
  </w:style>
  <w:style w:type="character" w:customStyle="1" w:styleId="15">
    <w:name w:val="批注主题 Char"/>
    <w:basedOn w:val="14"/>
    <w:link w:val="6"/>
    <w:autoRedefine/>
    <w:semiHidden/>
    <w:qFormat/>
    <w:uiPriority w:val="99"/>
    <w:rPr>
      <w:b/>
      <w:bCs/>
    </w:rPr>
  </w:style>
  <w:style w:type="character" w:customStyle="1" w:styleId="16">
    <w:name w:val="批注框文本 Char"/>
    <w:basedOn w:val="8"/>
    <w:link w:val="3"/>
    <w:autoRedefine/>
    <w:semiHidden/>
    <w:qFormat/>
    <w:uiPriority w:val="99"/>
    <w:rPr>
      <w:sz w:val="18"/>
      <w:szCs w:val="18"/>
    </w:rPr>
  </w:style>
  <w:style w:type="paragraph" w:styleId="17">
    <w:name w:val="List Paragraph"/>
    <w:basedOn w:val="1"/>
    <w:autoRedefine/>
    <w:qFormat/>
    <w:uiPriority w:val="34"/>
    <w:pPr>
      <w:ind w:firstLine="420" w:firstLineChars="200"/>
    </w:pPr>
  </w:style>
  <w:style w:type="paragraph" w:customStyle="1" w:styleId="18">
    <w:name w:val="_Style 6"/>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909</Characters>
  <Lines>12</Lines>
  <Paragraphs>3</Paragraphs>
  <TotalTime>10</TotalTime>
  <ScaleCrop>false</ScaleCrop>
  <LinksUpToDate>false</LinksUpToDate>
  <CharactersWithSpaces>914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2021-04-21T01:00:00Z</dcterms:created>
  <dc:creator>Horizon客户端</dc:creator>
  <cp:lastModifiedBy>阿某某Paca</cp:lastModifiedBy>
  <dcterms:modified xsi:type="dcterms:W3CDTF">2024-09-13T08:47:03Z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6771B72C308D4C7389226BA28841AF1C</vt:lpwstr>
  </property>
</Properties>
</file>