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B5B21" w14:textId="4EF6E22C" w:rsidR="00AD6378" w:rsidRDefault="00677B13" w:rsidP="0051239D">
      <w:pPr>
        <w:spacing w:line="360" w:lineRule="auto"/>
        <w:jc w:val="left"/>
        <w:rPr>
          <w:rFonts w:asciiTheme="minorEastAsia" w:hAnsiTheme="minorEastAsia" w:cstheme="minorEastAsia" w:hint="eastAsia"/>
          <w:b/>
          <w:bCs/>
          <w:sz w:val="24"/>
        </w:rPr>
      </w:pPr>
      <w:r>
        <w:rPr>
          <w:rFonts w:asciiTheme="minorEastAsia" w:hAnsiTheme="minorEastAsia" w:cstheme="minorEastAsia" w:hint="eastAsia"/>
          <w:b/>
          <w:bCs/>
          <w:sz w:val="24"/>
        </w:rPr>
        <w:t>证券代码：</w:t>
      </w:r>
      <w:r w:rsidR="00A43B99" w:rsidRPr="00176547">
        <w:rPr>
          <w:rFonts w:ascii="Times New Roman" w:hAnsi="Times New Roman" w:cs="Times New Roman"/>
          <w:b/>
          <w:bCs/>
          <w:sz w:val="24"/>
        </w:rPr>
        <w:t>6</w:t>
      </w:r>
      <w:r w:rsidR="00176547" w:rsidRPr="00176547">
        <w:rPr>
          <w:rFonts w:ascii="Times New Roman" w:hAnsi="Times New Roman" w:cs="Times New Roman"/>
          <w:b/>
          <w:bCs/>
          <w:sz w:val="24"/>
        </w:rPr>
        <w:t>88710</w:t>
      </w:r>
      <w:r w:rsidR="00D1066A">
        <w:rPr>
          <w:rFonts w:asciiTheme="minorEastAsia" w:hAnsiTheme="minorEastAsia" w:cstheme="minorEastAsia"/>
          <w:b/>
          <w:bCs/>
          <w:sz w:val="24"/>
        </w:rPr>
        <w:t xml:space="preserve"> </w:t>
      </w:r>
      <w:r>
        <w:rPr>
          <w:rFonts w:asciiTheme="minorEastAsia" w:hAnsiTheme="minorEastAsia" w:cstheme="minorEastAsia" w:hint="eastAsia"/>
          <w:b/>
          <w:bCs/>
          <w:sz w:val="24"/>
        </w:rPr>
        <w:t xml:space="preserve">            </w:t>
      </w:r>
      <w:r w:rsidR="00A43B99">
        <w:rPr>
          <w:rFonts w:asciiTheme="minorEastAsia" w:hAnsiTheme="minorEastAsia" w:cstheme="minorEastAsia" w:hint="eastAsia"/>
          <w:b/>
          <w:bCs/>
          <w:sz w:val="24"/>
        </w:rPr>
        <w:t xml:space="preserve">      </w:t>
      </w:r>
      <w:r w:rsidR="00176547">
        <w:rPr>
          <w:rFonts w:asciiTheme="minorEastAsia" w:hAnsiTheme="minorEastAsia" w:cstheme="minorEastAsia" w:hint="eastAsia"/>
          <w:b/>
          <w:bCs/>
          <w:sz w:val="24"/>
        </w:rPr>
        <w:t xml:space="preserve"> </w:t>
      </w:r>
      <w:r w:rsidR="00A43B99">
        <w:rPr>
          <w:rFonts w:asciiTheme="minorEastAsia" w:hAnsiTheme="minorEastAsia" w:cstheme="minorEastAsia" w:hint="eastAsia"/>
          <w:b/>
          <w:bCs/>
          <w:sz w:val="24"/>
        </w:rPr>
        <w:t xml:space="preserve">               </w:t>
      </w:r>
      <w:r>
        <w:rPr>
          <w:rFonts w:asciiTheme="minorEastAsia" w:hAnsiTheme="minorEastAsia" w:cstheme="minorEastAsia" w:hint="eastAsia"/>
          <w:b/>
          <w:bCs/>
          <w:sz w:val="24"/>
        </w:rPr>
        <w:t>证券简称：</w:t>
      </w:r>
      <w:r w:rsidR="00176547">
        <w:rPr>
          <w:rFonts w:asciiTheme="minorEastAsia" w:hAnsiTheme="minorEastAsia" w:cstheme="minorEastAsia" w:hint="eastAsia"/>
          <w:b/>
          <w:bCs/>
          <w:sz w:val="24"/>
        </w:rPr>
        <w:t>益诺思</w:t>
      </w:r>
    </w:p>
    <w:p w14:paraId="64A3D129" w14:textId="77777777" w:rsidR="00AD6378" w:rsidRDefault="00AD6378">
      <w:pPr>
        <w:spacing w:line="360" w:lineRule="auto"/>
        <w:ind w:firstLineChars="200" w:firstLine="482"/>
        <w:jc w:val="left"/>
        <w:rPr>
          <w:rFonts w:asciiTheme="minorEastAsia" w:hAnsiTheme="minorEastAsia" w:cstheme="minorEastAsia" w:hint="eastAsia"/>
          <w:b/>
          <w:bCs/>
          <w:sz w:val="24"/>
        </w:rPr>
      </w:pPr>
    </w:p>
    <w:p w14:paraId="7B9BF95E" w14:textId="510F469E" w:rsidR="00AD6378" w:rsidRPr="00176547" w:rsidRDefault="00A43B99">
      <w:pPr>
        <w:spacing w:line="360" w:lineRule="auto"/>
        <w:ind w:firstLineChars="200" w:firstLine="643"/>
        <w:jc w:val="center"/>
        <w:rPr>
          <w:rFonts w:asciiTheme="minorEastAsia" w:hAnsiTheme="minorEastAsia" w:cstheme="minorEastAsia" w:hint="eastAsia"/>
          <w:b/>
          <w:bCs/>
          <w:sz w:val="32"/>
          <w:szCs w:val="32"/>
        </w:rPr>
      </w:pPr>
      <w:r w:rsidRPr="00176547">
        <w:rPr>
          <w:rFonts w:asciiTheme="minorEastAsia" w:hAnsiTheme="minorEastAsia" w:cstheme="minorEastAsia" w:hint="eastAsia"/>
          <w:b/>
          <w:bCs/>
          <w:sz w:val="32"/>
          <w:szCs w:val="32"/>
        </w:rPr>
        <w:t>上海</w:t>
      </w:r>
      <w:r w:rsidR="00176547">
        <w:rPr>
          <w:rFonts w:asciiTheme="minorEastAsia" w:hAnsiTheme="minorEastAsia" w:cstheme="minorEastAsia" w:hint="eastAsia"/>
          <w:b/>
          <w:bCs/>
          <w:sz w:val="32"/>
          <w:szCs w:val="32"/>
        </w:rPr>
        <w:t>益诺思生物技术</w:t>
      </w:r>
      <w:r w:rsidRPr="00176547">
        <w:rPr>
          <w:rFonts w:asciiTheme="minorEastAsia" w:hAnsiTheme="minorEastAsia" w:cstheme="minorEastAsia" w:hint="eastAsia"/>
          <w:b/>
          <w:bCs/>
          <w:sz w:val="32"/>
          <w:szCs w:val="32"/>
        </w:rPr>
        <w:t>股份有限公司</w:t>
      </w:r>
    </w:p>
    <w:p w14:paraId="29BA856F" w14:textId="77777777" w:rsidR="00AD6378" w:rsidRPr="00176547" w:rsidRDefault="00677B13">
      <w:pPr>
        <w:spacing w:line="360" w:lineRule="auto"/>
        <w:ind w:firstLineChars="200" w:firstLine="643"/>
        <w:jc w:val="center"/>
        <w:rPr>
          <w:rFonts w:asciiTheme="minorEastAsia" w:hAnsiTheme="minorEastAsia" w:cstheme="minorEastAsia" w:hint="eastAsia"/>
          <w:b/>
          <w:bCs/>
          <w:sz w:val="32"/>
          <w:szCs w:val="32"/>
        </w:rPr>
      </w:pPr>
      <w:r w:rsidRPr="00176547">
        <w:rPr>
          <w:rFonts w:asciiTheme="minorEastAsia" w:hAnsiTheme="minorEastAsia" w:cstheme="minorEastAsia" w:hint="eastAsia"/>
          <w:b/>
          <w:bCs/>
          <w:sz w:val="32"/>
          <w:szCs w:val="32"/>
        </w:rPr>
        <w:t>投资者关系活动记录表</w:t>
      </w:r>
    </w:p>
    <w:p w14:paraId="739DB795" w14:textId="77777777" w:rsidR="00AD6378" w:rsidRDefault="00677B13" w:rsidP="00A943EC">
      <w:pPr>
        <w:spacing w:line="360" w:lineRule="auto"/>
        <w:jc w:val="right"/>
        <w:rPr>
          <w:rFonts w:asciiTheme="minorEastAsia" w:hAnsiTheme="minorEastAsia" w:cstheme="minorEastAsia" w:hint="eastAsia"/>
          <w:b/>
          <w:bCs/>
          <w:sz w:val="24"/>
        </w:rPr>
      </w:pPr>
      <w:r>
        <w:rPr>
          <w:rFonts w:asciiTheme="minorEastAsia" w:hAnsiTheme="minorEastAsia" w:cstheme="minorEastAsia" w:hint="eastAsia"/>
          <w:b/>
          <w:bCs/>
          <w:sz w:val="24"/>
        </w:rPr>
        <w:t>编号：</w:t>
      </w:r>
      <w:r w:rsidR="00286B8A" w:rsidRPr="00176547">
        <w:rPr>
          <w:rFonts w:ascii="Times New Roman" w:hAnsi="Times New Roman" w:cs="Times New Roman"/>
          <w:b/>
          <w:bCs/>
          <w:sz w:val="24"/>
        </w:rPr>
        <w:t>202</w:t>
      </w:r>
      <w:r w:rsidR="005577E2" w:rsidRPr="00176547">
        <w:rPr>
          <w:rFonts w:ascii="Times New Roman" w:hAnsi="Times New Roman" w:cs="Times New Roman"/>
          <w:b/>
          <w:bCs/>
          <w:sz w:val="24"/>
        </w:rPr>
        <w:t>4</w:t>
      </w:r>
      <w:r w:rsidR="00286B8A" w:rsidRPr="00176547">
        <w:rPr>
          <w:rFonts w:ascii="Times New Roman" w:hAnsi="Times New Roman" w:cs="Times New Roman"/>
          <w:b/>
          <w:bCs/>
          <w:sz w:val="24"/>
        </w:rPr>
        <w:t>-001</w:t>
      </w:r>
    </w:p>
    <w:tbl>
      <w:tblPr>
        <w:tblStyle w:val="a3"/>
        <w:tblW w:w="9073" w:type="dxa"/>
        <w:tblInd w:w="-289" w:type="dxa"/>
        <w:tblLayout w:type="fixed"/>
        <w:tblLook w:val="04A0" w:firstRow="1" w:lastRow="0" w:firstColumn="1" w:lastColumn="0" w:noHBand="0" w:noVBand="1"/>
      </w:tblPr>
      <w:tblGrid>
        <w:gridCol w:w="1702"/>
        <w:gridCol w:w="7371"/>
      </w:tblGrid>
      <w:tr w:rsidR="00AD6378" w14:paraId="7CF4944A" w14:textId="77777777" w:rsidTr="00361BD2">
        <w:tc>
          <w:tcPr>
            <w:tcW w:w="1702" w:type="dxa"/>
            <w:vAlign w:val="center"/>
          </w:tcPr>
          <w:p w14:paraId="0498BB2E" w14:textId="77777777" w:rsidR="00AD6378" w:rsidRDefault="00677B13">
            <w:pPr>
              <w:spacing w:line="360" w:lineRule="auto"/>
              <w:jc w:val="center"/>
              <w:rPr>
                <w:rFonts w:asciiTheme="minorEastAsia" w:hAnsiTheme="minorEastAsia" w:cstheme="minorEastAsia" w:hint="eastAsia"/>
                <w:b/>
                <w:bCs/>
                <w:sz w:val="24"/>
              </w:rPr>
            </w:pPr>
            <w:r>
              <w:rPr>
                <w:rFonts w:asciiTheme="minorEastAsia" w:hAnsiTheme="minorEastAsia" w:cstheme="minorEastAsia" w:hint="eastAsia"/>
                <w:b/>
                <w:bCs/>
                <w:sz w:val="24"/>
              </w:rPr>
              <w:t>投资者关系活动类别</w:t>
            </w:r>
          </w:p>
        </w:tc>
        <w:tc>
          <w:tcPr>
            <w:tcW w:w="7371" w:type="dxa"/>
          </w:tcPr>
          <w:p w14:paraId="7251847D" w14:textId="4F2B7340" w:rsidR="00AD6378" w:rsidRDefault="00A43B99">
            <w:pPr>
              <w:spacing w:line="360" w:lineRule="auto"/>
              <w:jc w:val="left"/>
              <w:rPr>
                <w:rFonts w:asciiTheme="minorEastAsia" w:hAnsiTheme="minorEastAsia" w:cstheme="minorEastAsia" w:hint="eastAsia"/>
                <w:sz w:val="24"/>
              </w:rPr>
            </w:pPr>
            <w:r>
              <w:rPr>
                <w:rFonts w:asciiTheme="minorEastAsia" w:hAnsiTheme="minorEastAsia" w:cstheme="minorEastAsia" w:hint="eastAsia"/>
                <w:sz w:val="24"/>
              </w:rPr>
              <w:t>√</w:t>
            </w:r>
            <w:r w:rsidR="00677B13">
              <w:rPr>
                <w:rFonts w:asciiTheme="minorEastAsia" w:hAnsiTheme="minorEastAsia" w:cstheme="minorEastAsia" w:hint="eastAsia"/>
                <w:sz w:val="24"/>
              </w:rPr>
              <w:t xml:space="preserve">特定对象调研 </w:t>
            </w:r>
            <w:r w:rsidR="00176547">
              <w:rPr>
                <w:rFonts w:asciiTheme="minorEastAsia" w:hAnsiTheme="minorEastAsia" w:cstheme="minorEastAsia" w:hint="eastAsia"/>
                <w:sz w:val="24"/>
              </w:rPr>
              <w:t xml:space="preserve">            </w:t>
            </w:r>
            <w:r w:rsidR="00677B13">
              <w:rPr>
                <w:rFonts w:asciiTheme="minorEastAsia" w:hAnsiTheme="minorEastAsia" w:cstheme="minorEastAsia" w:hint="eastAsia"/>
                <w:sz w:val="24"/>
              </w:rPr>
              <w:t xml:space="preserve">  □分析师会议</w:t>
            </w:r>
          </w:p>
          <w:p w14:paraId="3C5492C4" w14:textId="79CBFD63" w:rsidR="00AD6378" w:rsidRDefault="00677B13">
            <w:pPr>
              <w:spacing w:line="360" w:lineRule="auto"/>
              <w:jc w:val="left"/>
              <w:rPr>
                <w:rFonts w:asciiTheme="minorEastAsia" w:hAnsiTheme="minorEastAsia" w:cstheme="minorEastAsia" w:hint="eastAsia"/>
                <w:sz w:val="24"/>
              </w:rPr>
            </w:pPr>
            <w:r>
              <w:rPr>
                <w:rFonts w:asciiTheme="minorEastAsia" w:hAnsiTheme="minorEastAsia" w:cstheme="minorEastAsia" w:hint="eastAsia"/>
                <w:sz w:val="24"/>
              </w:rPr>
              <w:t xml:space="preserve">□媒体采访   </w:t>
            </w:r>
            <w:r w:rsidR="00607442">
              <w:rPr>
                <w:rFonts w:asciiTheme="minorEastAsia" w:hAnsiTheme="minorEastAsia" w:cstheme="minorEastAsia" w:hint="eastAsia"/>
                <w:sz w:val="24"/>
              </w:rPr>
              <w:t xml:space="preserve">  </w:t>
            </w:r>
            <w:r w:rsidR="00176547">
              <w:rPr>
                <w:rFonts w:asciiTheme="minorEastAsia" w:hAnsiTheme="minorEastAsia" w:cstheme="minorEastAsia" w:hint="eastAsia"/>
                <w:sz w:val="24"/>
              </w:rPr>
              <w:t xml:space="preserve">            </w:t>
            </w:r>
            <w:r w:rsidR="00607442">
              <w:rPr>
                <w:rFonts w:asciiTheme="minorEastAsia" w:hAnsiTheme="minorEastAsia" w:cstheme="minorEastAsia" w:hint="eastAsia"/>
                <w:sz w:val="24"/>
              </w:rPr>
              <w:t xml:space="preserve">  </w:t>
            </w:r>
            <w:r>
              <w:rPr>
                <w:rFonts w:asciiTheme="minorEastAsia" w:hAnsiTheme="minorEastAsia" w:cstheme="minorEastAsia" w:hint="eastAsia"/>
                <w:sz w:val="24"/>
              </w:rPr>
              <w:t>□业绩说明会</w:t>
            </w:r>
          </w:p>
          <w:p w14:paraId="138F3DA6" w14:textId="514FDB30" w:rsidR="00AD6378" w:rsidRDefault="00677B13">
            <w:pPr>
              <w:spacing w:line="360" w:lineRule="auto"/>
              <w:jc w:val="left"/>
              <w:rPr>
                <w:rFonts w:asciiTheme="minorEastAsia" w:hAnsiTheme="minorEastAsia" w:cstheme="minorEastAsia" w:hint="eastAsia"/>
                <w:sz w:val="24"/>
              </w:rPr>
            </w:pPr>
            <w:r>
              <w:rPr>
                <w:rFonts w:asciiTheme="minorEastAsia" w:hAnsiTheme="minorEastAsia" w:cstheme="minorEastAsia" w:hint="eastAsia"/>
                <w:sz w:val="24"/>
              </w:rPr>
              <w:t xml:space="preserve">□新闻发布会 </w:t>
            </w:r>
            <w:r w:rsidR="00176547">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sidR="00607442">
              <w:rPr>
                <w:rFonts w:asciiTheme="minorEastAsia" w:hAnsiTheme="minorEastAsia" w:cstheme="minorEastAsia" w:hint="eastAsia"/>
                <w:sz w:val="24"/>
              </w:rPr>
              <w:t xml:space="preserve">  </w:t>
            </w:r>
            <w:r>
              <w:rPr>
                <w:rFonts w:asciiTheme="minorEastAsia" w:hAnsiTheme="minorEastAsia" w:cstheme="minorEastAsia" w:hint="eastAsia"/>
                <w:sz w:val="24"/>
              </w:rPr>
              <w:t>□</w:t>
            </w:r>
            <w:r w:rsidR="005577E2" w:rsidRPr="009C7B54">
              <w:rPr>
                <w:rFonts w:ascii="宋体" w:hAnsi="宋体"/>
                <w:color w:val="000000" w:themeColor="text1"/>
                <w:kern w:val="0"/>
                <w:sz w:val="24"/>
                <w:szCs w:val="22"/>
              </w:rPr>
              <w:t>路演/反路演活动</w:t>
            </w:r>
          </w:p>
          <w:p w14:paraId="2E368762" w14:textId="2491D98E" w:rsidR="00AD6378" w:rsidRDefault="00A43B99">
            <w:pPr>
              <w:spacing w:line="360" w:lineRule="auto"/>
              <w:jc w:val="left"/>
              <w:rPr>
                <w:rFonts w:asciiTheme="minorEastAsia" w:hAnsiTheme="minorEastAsia" w:cstheme="minorEastAsia" w:hint="eastAsia"/>
                <w:sz w:val="24"/>
              </w:rPr>
            </w:pPr>
            <w:r>
              <w:rPr>
                <w:rFonts w:asciiTheme="minorEastAsia" w:hAnsiTheme="minorEastAsia" w:cstheme="minorEastAsia" w:hint="eastAsia"/>
                <w:sz w:val="24"/>
              </w:rPr>
              <w:t>√</w:t>
            </w:r>
            <w:r w:rsidR="005577E2">
              <w:rPr>
                <w:rFonts w:asciiTheme="minorEastAsia" w:hAnsiTheme="minorEastAsia" w:cstheme="minorEastAsia" w:hint="eastAsia"/>
                <w:sz w:val="24"/>
              </w:rPr>
              <w:t>现场</w:t>
            </w:r>
            <w:r w:rsidR="00176547">
              <w:rPr>
                <w:rFonts w:asciiTheme="minorEastAsia" w:hAnsiTheme="minorEastAsia" w:cstheme="minorEastAsia" w:hint="eastAsia"/>
                <w:sz w:val="24"/>
              </w:rPr>
              <w:t xml:space="preserve">参观                   </w:t>
            </w:r>
            <w:r w:rsidR="00974D8A">
              <w:rPr>
                <w:rFonts w:asciiTheme="minorEastAsia" w:hAnsiTheme="minorEastAsia" w:cstheme="minorEastAsia" w:hint="eastAsia"/>
                <w:sz w:val="24"/>
              </w:rPr>
              <w:t>□</w:t>
            </w:r>
            <w:r w:rsidR="00677B13">
              <w:rPr>
                <w:rFonts w:asciiTheme="minorEastAsia" w:hAnsiTheme="minorEastAsia" w:cstheme="minorEastAsia" w:hint="eastAsia"/>
                <w:sz w:val="24"/>
              </w:rPr>
              <w:t>其他（请说明其他活动内容）</w:t>
            </w:r>
          </w:p>
        </w:tc>
      </w:tr>
      <w:tr w:rsidR="00AD6378" w14:paraId="2DCDD7E2" w14:textId="77777777" w:rsidTr="00361BD2">
        <w:tc>
          <w:tcPr>
            <w:tcW w:w="1702" w:type="dxa"/>
            <w:vAlign w:val="center"/>
          </w:tcPr>
          <w:p w14:paraId="4DE9C4FB" w14:textId="77777777" w:rsidR="005577E2" w:rsidRDefault="00677B13">
            <w:pPr>
              <w:spacing w:line="360" w:lineRule="auto"/>
              <w:jc w:val="center"/>
              <w:rPr>
                <w:rFonts w:asciiTheme="minorEastAsia" w:hAnsiTheme="minorEastAsia" w:cstheme="minorEastAsia" w:hint="eastAsia"/>
                <w:b/>
                <w:bCs/>
                <w:sz w:val="24"/>
              </w:rPr>
            </w:pPr>
            <w:r>
              <w:rPr>
                <w:rFonts w:asciiTheme="minorEastAsia" w:hAnsiTheme="minorEastAsia" w:cstheme="minorEastAsia" w:hint="eastAsia"/>
                <w:b/>
                <w:bCs/>
                <w:sz w:val="24"/>
              </w:rPr>
              <w:t>参与单位名称</w:t>
            </w:r>
          </w:p>
          <w:p w14:paraId="1C36B2D1" w14:textId="77777777" w:rsidR="00AD6378" w:rsidRDefault="00677B13">
            <w:pPr>
              <w:spacing w:line="360" w:lineRule="auto"/>
              <w:jc w:val="center"/>
              <w:rPr>
                <w:rFonts w:asciiTheme="minorEastAsia" w:hAnsiTheme="minorEastAsia" w:cstheme="minorEastAsia" w:hint="eastAsia"/>
                <w:b/>
                <w:bCs/>
                <w:sz w:val="24"/>
              </w:rPr>
            </w:pPr>
            <w:r>
              <w:rPr>
                <w:rFonts w:asciiTheme="minorEastAsia" w:hAnsiTheme="minorEastAsia" w:cstheme="minorEastAsia" w:hint="eastAsia"/>
                <w:b/>
                <w:bCs/>
                <w:sz w:val="24"/>
              </w:rPr>
              <w:t>及人员姓名</w:t>
            </w:r>
          </w:p>
        </w:tc>
        <w:tc>
          <w:tcPr>
            <w:tcW w:w="7371" w:type="dxa"/>
            <w:vAlign w:val="center"/>
          </w:tcPr>
          <w:p w14:paraId="5D194736" w14:textId="7B9C5B98" w:rsidR="00F54F32" w:rsidRPr="00974D8A" w:rsidRDefault="00EC182F" w:rsidP="00395B07">
            <w:pPr>
              <w:spacing w:line="360" w:lineRule="auto"/>
              <w:jc w:val="left"/>
              <w:rPr>
                <w:rFonts w:asciiTheme="minorEastAsia" w:hAnsiTheme="minorEastAsia" w:cstheme="minorEastAsia" w:hint="eastAsia"/>
                <w:sz w:val="24"/>
              </w:rPr>
            </w:pPr>
            <w:r w:rsidRPr="00EC182F">
              <w:rPr>
                <w:rFonts w:asciiTheme="minorEastAsia" w:hAnsiTheme="minorEastAsia" w:cstheme="minorEastAsia" w:hint="eastAsia"/>
                <w:sz w:val="24"/>
              </w:rPr>
              <w:t>海通证券</w:t>
            </w:r>
            <w:r>
              <w:rPr>
                <w:rFonts w:asciiTheme="minorEastAsia" w:hAnsiTheme="minorEastAsia" w:cstheme="minorEastAsia" w:hint="eastAsia"/>
                <w:sz w:val="24"/>
              </w:rPr>
              <w:t>、</w:t>
            </w:r>
            <w:r w:rsidR="002969CC">
              <w:rPr>
                <w:rFonts w:asciiTheme="minorEastAsia" w:hAnsiTheme="minorEastAsia" w:cstheme="minorEastAsia" w:hint="eastAsia"/>
                <w:sz w:val="24"/>
              </w:rPr>
              <w:t>交银施罗德、中金公司、</w:t>
            </w:r>
            <w:r w:rsidRPr="00EC182F">
              <w:rPr>
                <w:rFonts w:asciiTheme="minorEastAsia" w:hAnsiTheme="minorEastAsia" w:cstheme="minorEastAsia" w:hint="eastAsia"/>
                <w:sz w:val="24"/>
              </w:rPr>
              <w:t>民生证券</w:t>
            </w:r>
            <w:r>
              <w:rPr>
                <w:rFonts w:asciiTheme="minorEastAsia" w:hAnsiTheme="minorEastAsia" w:cstheme="minorEastAsia" w:hint="eastAsia"/>
                <w:sz w:val="24"/>
              </w:rPr>
              <w:t>、</w:t>
            </w:r>
            <w:r w:rsidRPr="00EC182F">
              <w:rPr>
                <w:rFonts w:asciiTheme="minorEastAsia" w:hAnsiTheme="minorEastAsia" w:cstheme="minorEastAsia" w:hint="eastAsia"/>
                <w:sz w:val="24"/>
              </w:rPr>
              <w:t>华富基金</w:t>
            </w:r>
            <w:r>
              <w:rPr>
                <w:rFonts w:asciiTheme="minorEastAsia" w:hAnsiTheme="minorEastAsia" w:cstheme="minorEastAsia" w:hint="eastAsia"/>
                <w:sz w:val="24"/>
              </w:rPr>
              <w:t>、</w:t>
            </w:r>
            <w:r w:rsidRPr="00EC182F">
              <w:rPr>
                <w:rFonts w:asciiTheme="minorEastAsia" w:hAnsiTheme="minorEastAsia" w:cstheme="minorEastAsia" w:hint="eastAsia"/>
                <w:sz w:val="24"/>
              </w:rPr>
              <w:t>友邦人寿</w:t>
            </w:r>
            <w:r>
              <w:rPr>
                <w:rFonts w:asciiTheme="minorEastAsia" w:hAnsiTheme="minorEastAsia" w:cstheme="minorEastAsia" w:hint="eastAsia"/>
                <w:sz w:val="24"/>
              </w:rPr>
              <w:t>、</w:t>
            </w:r>
            <w:r w:rsidRPr="00EC182F">
              <w:rPr>
                <w:rFonts w:asciiTheme="minorEastAsia" w:hAnsiTheme="minorEastAsia" w:cstheme="minorEastAsia" w:hint="eastAsia"/>
                <w:sz w:val="24"/>
              </w:rPr>
              <w:t>申万证券</w:t>
            </w:r>
            <w:r>
              <w:rPr>
                <w:rFonts w:asciiTheme="minorEastAsia" w:hAnsiTheme="minorEastAsia" w:cstheme="minorEastAsia" w:hint="eastAsia"/>
                <w:sz w:val="24"/>
              </w:rPr>
              <w:t>、</w:t>
            </w:r>
            <w:r w:rsidRPr="00EC182F">
              <w:rPr>
                <w:rFonts w:asciiTheme="minorEastAsia" w:hAnsiTheme="minorEastAsia" w:cstheme="minorEastAsia" w:hint="eastAsia"/>
                <w:sz w:val="24"/>
              </w:rPr>
              <w:t>东吴证券</w:t>
            </w:r>
            <w:r>
              <w:rPr>
                <w:rFonts w:asciiTheme="minorEastAsia" w:hAnsiTheme="minorEastAsia" w:cstheme="minorEastAsia" w:hint="eastAsia"/>
                <w:sz w:val="24"/>
              </w:rPr>
              <w:t>、</w:t>
            </w:r>
            <w:r w:rsidRPr="00EC182F">
              <w:rPr>
                <w:rFonts w:asciiTheme="minorEastAsia" w:hAnsiTheme="minorEastAsia" w:cstheme="minorEastAsia" w:hint="eastAsia"/>
                <w:sz w:val="24"/>
              </w:rPr>
              <w:t>中邮证券</w:t>
            </w:r>
            <w:r>
              <w:rPr>
                <w:rFonts w:asciiTheme="minorEastAsia" w:hAnsiTheme="minorEastAsia" w:cstheme="minorEastAsia" w:hint="eastAsia"/>
                <w:sz w:val="24"/>
              </w:rPr>
              <w:t>、</w:t>
            </w:r>
            <w:r w:rsidR="002969CC">
              <w:rPr>
                <w:rFonts w:asciiTheme="minorEastAsia" w:hAnsiTheme="minorEastAsia" w:cstheme="minorEastAsia" w:hint="eastAsia"/>
                <w:sz w:val="24"/>
              </w:rPr>
              <w:t>华安资本</w:t>
            </w:r>
            <w:r>
              <w:rPr>
                <w:rFonts w:asciiTheme="minorEastAsia" w:hAnsiTheme="minorEastAsia" w:cstheme="minorEastAsia" w:hint="eastAsia"/>
                <w:sz w:val="24"/>
              </w:rPr>
              <w:t>等</w:t>
            </w:r>
            <w:r w:rsidR="00993C03">
              <w:rPr>
                <w:rFonts w:asciiTheme="minorEastAsia" w:hAnsiTheme="minorEastAsia" w:cstheme="minorEastAsia" w:hint="eastAsia"/>
                <w:sz w:val="24"/>
              </w:rPr>
              <w:t>共计</w:t>
            </w:r>
            <w:r>
              <w:rPr>
                <w:rFonts w:asciiTheme="minorEastAsia" w:hAnsiTheme="minorEastAsia" w:cstheme="minorEastAsia" w:hint="eastAsia"/>
                <w:sz w:val="24"/>
              </w:rPr>
              <w:t>21位投资者参会</w:t>
            </w:r>
          </w:p>
        </w:tc>
      </w:tr>
      <w:tr w:rsidR="00AD6378" w14:paraId="7DF6FC18" w14:textId="77777777" w:rsidTr="00361BD2">
        <w:tc>
          <w:tcPr>
            <w:tcW w:w="1702" w:type="dxa"/>
            <w:vAlign w:val="center"/>
          </w:tcPr>
          <w:p w14:paraId="4CDFB6D8" w14:textId="77777777" w:rsidR="00AD6378" w:rsidRDefault="00677B13">
            <w:pPr>
              <w:spacing w:line="360" w:lineRule="auto"/>
              <w:jc w:val="center"/>
              <w:rPr>
                <w:rFonts w:asciiTheme="minorEastAsia" w:hAnsiTheme="minorEastAsia" w:cstheme="minorEastAsia" w:hint="eastAsia"/>
                <w:b/>
                <w:bCs/>
                <w:sz w:val="24"/>
              </w:rPr>
            </w:pPr>
            <w:r>
              <w:rPr>
                <w:rFonts w:asciiTheme="minorEastAsia" w:hAnsiTheme="minorEastAsia" w:cstheme="minorEastAsia" w:hint="eastAsia"/>
                <w:b/>
                <w:bCs/>
                <w:sz w:val="24"/>
              </w:rPr>
              <w:t>时间</w:t>
            </w:r>
          </w:p>
        </w:tc>
        <w:tc>
          <w:tcPr>
            <w:tcW w:w="7371" w:type="dxa"/>
          </w:tcPr>
          <w:p w14:paraId="3D7649B8" w14:textId="59FD30B4" w:rsidR="00AD6378" w:rsidRDefault="0003421C" w:rsidP="001D14DB">
            <w:pPr>
              <w:spacing w:line="360" w:lineRule="auto"/>
              <w:jc w:val="left"/>
              <w:rPr>
                <w:rFonts w:asciiTheme="minorEastAsia" w:hAnsiTheme="minorEastAsia" w:cstheme="minorEastAsia" w:hint="eastAsia"/>
                <w:sz w:val="24"/>
              </w:rPr>
            </w:pPr>
            <w:r>
              <w:rPr>
                <w:rFonts w:asciiTheme="minorEastAsia" w:hAnsiTheme="minorEastAsia" w:cstheme="minorEastAsia" w:hint="eastAsia"/>
                <w:sz w:val="24"/>
              </w:rPr>
              <w:t>202</w:t>
            </w:r>
            <w:r w:rsidR="005577E2">
              <w:rPr>
                <w:rFonts w:asciiTheme="minorEastAsia" w:hAnsiTheme="minorEastAsia" w:cstheme="minorEastAsia"/>
                <w:sz w:val="24"/>
              </w:rPr>
              <w:t>4</w:t>
            </w:r>
            <w:r>
              <w:rPr>
                <w:rFonts w:asciiTheme="minorEastAsia" w:hAnsiTheme="minorEastAsia" w:cstheme="minorEastAsia" w:hint="eastAsia"/>
                <w:sz w:val="24"/>
              </w:rPr>
              <w:t>年</w:t>
            </w:r>
            <w:r w:rsidR="007317EB">
              <w:rPr>
                <w:rFonts w:asciiTheme="minorEastAsia" w:hAnsiTheme="minorEastAsia" w:cstheme="minorEastAsia" w:hint="eastAsia"/>
                <w:sz w:val="24"/>
              </w:rPr>
              <w:t>9</w:t>
            </w:r>
            <w:r>
              <w:rPr>
                <w:rFonts w:asciiTheme="minorEastAsia" w:hAnsiTheme="minorEastAsia" w:cstheme="minorEastAsia" w:hint="eastAsia"/>
                <w:sz w:val="24"/>
              </w:rPr>
              <w:t>月</w:t>
            </w:r>
            <w:r w:rsidR="007317EB">
              <w:rPr>
                <w:rFonts w:asciiTheme="minorEastAsia" w:hAnsiTheme="minorEastAsia" w:cstheme="minorEastAsia" w:hint="eastAsia"/>
                <w:sz w:val="24"/>
              </w:rPr>
              <w:t>1</w:t>
            </w:r>
            <w:r w:rsidR="005577E2">
              <w:rPr>
                <w:rFonts w:asciiTheme="minorEastAsia" w:hAnsiTheme="minorEastAsia" w:cstheme="minorEastAsia"/>
                <w:sz w:val="24"/>
              </w:rPr>
              <w:t>3</w:t>
            </w:r>
            <w:r>
              <w:rPr>
                <w:rFonts w:asciiTheme="minorEastAsia" w:hAnsiTheme="minorEastAsia" w:cstheme="minorEastAsia" w:hint="eastAsia"/>
                <w:sz w:val="24"/>
              </w:rPr>
              <w:t>日</w:t>
            </w:r>
          </w:p>
        </w:tc>
      </w:tr>
      <w:tr w:rsidR="00AD6378" w14:paraId="6A801812" w14:textId="77777777" w:rsidTr="00361BD2">
        <w:tc>
          <w:tcPr>
            <w:tcW w:w="1702" w:type="dxa"/>
            <w:vAlign w:val="center"/>
          </w:tcPr>
          <w:p w14:paraId="07322646" w14:textId="77777777" w:rsidR="00AD6378" w:rsidRDefault="00677B13">
            <w:pPr>
              <w:spacing w:line="360" w:lineRule="auto"/>
              <w:jc w:val="center"/>
              <w:rPr>
                <w:rFonts w:asciiTheme="minorEastAsia" w:hAnsiTheme="minorEastAsia" w:cstheme="minorEastAsia" w:hint="eastAsia"/>
                <w:b/>
                <w:bCs/>
                <w:sz w:val="24"/>
              </w:rPr>
            </w:pPr>
            <w:r>
              <w:rPr>
                <w:rFonts w:asciiTheme="minorEastAsia" w:hAnsiTheme="minorEastAsia" w:cstheme="minorEastAsia" w:hint="eastAsia"/>
                <w:b/>
                <w:bCs/>
                <w:sz w:val="24"/>
              </w:rPr>
              <w:t>地点</w:t>
            </w:r>
          </w:p>
        </w:tc>
        <w:tc>
          <w:tcPr>
            <w:tcW w:w="7371" w:type="dxa"/>
          </w:tcPr>
          <w:p w14:paraId="29F30128" w14:textId="72661CD2" w:rsidR="002414DE" w:rsidRPr="002414DE" w:rsidRDefault="007317EB">
            <w:pPr>
              <w:spacing w:line="360" w:lineRule="auto"/>
              <w:jc w:val="left"/>
              <w:rPr>
                <w:rFonts w:asciiTheme="minorEastAsia" w:hAnsiTheme="minorEastAsia" w:cstheme="minorEastAsia" w:hint="eastAsia"/>
                <w:sz w:val="24"/>
              </w:rPr>
            </w:pPr>
            <w:r w:rsidRPr="007317EB">
              <w:rPr>
                <w:rFonts w:asciiTheme="minorEastAsia" w:hAnsiTheme="minorEastAsia" w:cstheme="minorEastAsia" w:hint="eastAsia"/>
                <w:sz w:val="24"/>
              </w:rPr>
              <w:t>益诺思生物技术南通有限公司</w:t>
            </w:r>
            <w:r>
              <w:rPr>
                <w:rFonts w:asciiTheme="minorEastAsia" w:hAnsiTheme="minorEastAsia" w:cstheme="minorEastAsia" w:hint="eastAsia"/>
                <w:sz w:val="24"/>
              </w:rPr>
              <w:t>会议室</w:t>
            </w:r>
          </w:p>
        </w:tc>
      </w:tr>
      <w:tr w:rsidR="00AD6378" w14:paraId="4C3028FB" w14:textId="77777777" w:rsidTr="00361BD2">
        <w:tc>
          <w:tcPr>
            <w:tcW w:w="1702" w:type="dxa"/>
            <w:vAlign w:val="center"/>
          </w:tcPr>
          <w:p w14:paraId="4F2861C0" w14:textId="77777777" w:rsidR="00AD6378" w:rsidRDefault="00677B13">
            <w:pPr>
              <w:spacing w:line="360" w:lineRule="auto"/>
              <w:jc w:val="center"/>
              <w:rPr>
                <w:rFonts w:asciiTheme="minorEastAsia" w:hAnsiTheme="minorEastAsia" w:cstheme="minorEastAsia" w:hint="eastAsia"/>
                <w:b/>
                <w:bCs/>
                <w:sz w:val="24"/>
              </w:rPr>
            </w:pPr>
            <w:r>
              <w:rPr>
                <w:rFonts w:asciiTheme="minorEastAsia" w:hAnsiTheme="minorEastAsia" w:cstheme="minorEastAsia" w:hint="eastAsia"/>
                <w:b/>
                <w:bCs/>
                <w:sz w:val="24"/>
              </w:rPr>
              <w:t>上市公司接待人员姓名</w:t>
            </w:r>
          </w:p>
        </w:tc>
        <w:tc>
          <w:tcPr>
            <w:tcW w:w="7371" w:type="dxa"/>
            <w:vAlign w:val="center"/>
          </w:tcPr>
          <w:p w14:paraId="0EFFF281" w14:textId="09D64C86" w:rsidR="006760E0" w:rsidRDefault="005577E2">
            <w:pPr>
              <w:spacing w:line="360" w:lineRule="auto"/>
              <w:jc w:val="left"/>
              <w:rPr>
                <w:rFonts w:asciiTheme="minorEastAsia" w:hAnsiTheme="minorEastAsia" w:cstheme="minorEastAsia" w:hint="eastAsia"/>
                <w:sz w:val="24"/>
              </w:rPr>
            </w:pPr>
            <w:r>
              <w:rPr>
                <w:rFonts w:asciiTheme="minorEastAsia" w:hAnsiTheme="minorEastAsia" w:cstheme="minorEastAsia" w:hint="eastAsia"/>
                <w:sz w:val="24"/>
              </w:rPr>
              <w:t>董事、</w:t>
            </w:r>
            <w:r w:rsidR="006760E0">
              <w:rPr>
                <w:rFonts w:asciiTheme="minorEastAsia" w:hAnsiTheme="minorEastAsia" w:cstheme="minorEastAsia" w:hint="eastAsia"/>
                <w:sz w:val="24"/>
              </w:rPr>
              <w:t>总裁：常艳</w:t>
            </w:r>
          </w:p>
          <w:p w14:paraId="781A37EA" w14:textId="56CD612B" w:rsidR="006760E0" w:rsidRDefault="006760E0">
            <w:pPr>
              <w:spacing w:line="360" w:lineRule="auto"/>
              <w:jc w:val="left"/>
              <w:rPr>
                <w:rFonts w:asciiTheme="minorEastAsia" w:hAnsiTheme="minorEastAsia" w:cstheme="minorEastAsia" w:hint="eastAsia"/>
                <w:sz w:val="24"/>
              </w:rPr>
            </w:pPr>
            <w:r>
              <w:rPr>
                <w:rFonts w:asciiTheme="minorEastAsia" w:hAnsiTheme="minorEastAsia" w:cstheme="minorEastAsia" w:hint="eastAsia"/>
                <w:sz w:val="24"/>
              </w:rPr>
              <w:t>高级副总裁：李华</w:t>
            </w:r>
          </w:p>
          <w:p w14:paraId="036AF49B" w14:textId="2F715B70" w:rsidR="006760E0" w:rsidRDefault="006760E0">
            <w:pPr>
              <w:spacing w:line="360" w:lineRule="auto"/>
              <w:jc w:val="left"/>
              <w:rPr>
                <w:rFonts w:asciiTheme="minorEastAsia" w:hAnsiTheme="minorEastAsia" w:cstheme="minorEastAsia" w:hint="eastAsia"/>
                <w:sz w:val="24"/>
              </w:rPr>
            </w:pPr>
            <w:r>
              <w:rPr>
                <w:rFonts w:asciiTheme="minorEastAsia" w:hAnsiTheme="minorEastAsia" w:cstheme="minorEastAsia" w:hint="eastAsia"/>
                <w:sz w:val="24"/>
              </w:rPr>
              <w:t>党总支副书记、</w:t>
            </w:r>
            <w:r w:rsidR="005577E2">
              <w:rPr>
                <w:rFonts w:asciiTheme="minorEastAsia" w:hAnsiTheme="minorEastAsia" w:cstheme="minorEastAsia" w:hint="eastAsia"/>
                <w:sz w:val="24"/>
              </w:rPr>
              <w:t>副</w:t>
            </w:r>
            <w:r>
              <w:rPr>
                <w:rFonts w:asciiTheme="minorEastAsia" w:hAnsiTheme="minorEastAsia" w:cstheme="minorEastAsia" w:hint="eastAsia"/>
                <w:sz w:val="24"/>
              </w:rPr>
              <w:t>总裁：邱云良</w:t>
            </w:r>
          </w:p>
          <w:p w14:paraId="17929D5D" w14:textId="77777777" w:rsidR="006760E0" w:rsidRDefault="006760E0" w:rsidP="006760E0">
            <w:pPr>
              <w:spacing w:line="360" w:lineRule="auto"/>
              <w:jc w:val="left"/>
              <w:rPr>
                <w:rFonts w:asciiTheme="minorEastAsia" w:hAnsiTheme="minorEastAsia" w:cstheme="minorEastAsia" w:hint="eastAsia"/>
                <w:sz w:val="24"/>
              </w:rPr>
            </w:pPr>
            <w:r>
              <w:rPr>
                <w:rFonts w:asciiTheme="minorEastAsia" w:hAnsiTheme="minorEastAsia" w:cstheme="minorEastAsia" w:hint="eastAsia"/>
                <w:sz w:val="24"/>
              </w:rPr>
              <w:t>执行副总裁：施婧</w:t>
            </w:r>
          </w:p>
          <w:p w14:paraId="54BA722C" w14:textId="259EA978" w:rsidR="006760E0" w:rsidRPr="006760E0" w:rsidRDefault="006760E0">
            <w:pPr>
              <w:spacing w:line="360" w:lineRule="auto"/>
              <w:jc w:val="left"/>
              <w:rPr>
                <w:rFonts w:asciiTheme="minorEastAsia" w:hAnsiTheme="minorEastAsia" w:cstheme="minorEastAsia" w:hint="eastAsia"/>
                <w:sz w:val="24"/>
              </w:rPr>
            </w:pPr>
            <w:r>
              <w:rPr>
                <w:rFonts w:asciiTheme="minorEastAsia" w:hAnsiTheme="minorEastAsia" w:cstheme="minorEastAsia" w:hint="eastAsia"/>
                <w:sz w:val="24"/>
              </w:rPr>
              <w:t>财务总监；高晓红</w:t>
            </w:r>
          </w:p>
          <w:p w14:paraId="5B3ADC37" w14:textId="7EBA0FB8" w:rsidR="002414DE" w:rsidRDefault="0003421C">
            <w:pPr>
              <w:spacing w:line="360" w:lineRule="auto"/>
              <w:jc w:val="left"/>
              <w:rPr>
                <w:rFonts w:asciiTheme="minorEastAsia" w:hAnsiTheme="minorEastAsia" w:cstheme="minorEastAsia" w:hint="eastAsia"/>
                <w:sz w:val="24"/>
              </w:rPr>
            </w:pPr>
            <w:r>
              <w:rPr>
                <w:rFonts w:asciiTheme="minorEastAsia" w:hAnsiTheme="minorEastAsia" w:cstheme="minorEastAsia" w:hint="eastAsia"/>
                <w:sz w:val="24"/>
              </w:rPr>
              <w:t>董事会秘书</w:t>
            </w:r>
            <w:r w:rsidR="005577E2">
              <w:rPr>
                <w:rFonts w:asciiTheme="minorEastAsia" w:hAnsiTheme="minorEastAsia" w:cstheme="minorEastAsia" w:hint="eastAsia"/>
                <w:sz w:val="24"/>
              </w:rPr>
              <w:t>：</w:t>
            </w:r>
            <w:r w:rsidR="006760E0">
              <w:rPr>
                <w:rFonts w:asciiTheme="minorEastAsia" w:hAnsiTheme="minorEastAsia" w:cstheme="minorEastAsia" w:hint="eastAsia"/>
                <w:sz w:val="24"/>
              </w:rPr>
              <w:t>李燕</w:t>
            </w:r>
          </w:p>
          <w:p w14:paraId="7C1EFF2C" w14:textId="2C5F8DFD" w:rsidR="005577E2" w:rsidRDefault="005577E2">
            <w:pPr>
              <w:spacing w:line="360" w:lineRule="auto"/>
              <w:jc w:val="left"/>
              <w:rPr>
                <w:rFonts w:asciiTheme="minorEastAsia" w:hAnsiTheme="minorEastAsia" w:cstheme="minorEastAsia" w:hint="eastAsia"/>
                <w:sz w:val="24"/>
              </w:rPr>
            </w:pPr>
            <w:r>
              <w:rPr>
                <w:rFonts w:asciiTheme="minorEastAsia" w:hAnsiTheme="minorEastAsia" w:cstheme="minorEastAsia" w:hint="eastAsia"/>
                <w:sz w:val="24"/>
              </w:rPr>
              <w:t>证券事务代表：</w:t>
            </w:r>
            <w:r w:rsidR="007317EB">
              <w:rPr>
                <w:rFonts w:asciiTheme="minorEastAsia" w:hAnsiTheme="minorEastAsia" w:cstheme="minorEastAsia" w:hint="eastAsia"/>
                <w:sz w:val="24"/>
              </w:rPr>
              <w:t>白雪</w:t>
            </w:r>
          </w:p>
        </w:tc>
      </w:tr>
      <w:tr w:rsidR="00AD6378" w:rsidRPr="00E56442" w14:paraId="6C381C83" w14:textId="77777777" w:rsidTr="00361BD2">
        <w:tc>
          <w:tcPr>
            <w:tcW w:w="1702" w:type="dxa"/>
            <w:vAlign w:val="center"/>
          </w:tcPr>
          <w:p w14:paraId="6EA0F188" w14:textId="77777777" w:rsidR="00AD6378" w:rsidRDefault="00677B13">
            <w:pPr>
              <w:spacing w:line="360" w:lineRule="auto"/>
              <w:jc w:val="center"/>
              <w:rPr>
                <w:rFonts w:asciiTheme="minorEastAsia" w:hAnsiTheme="minorEastAsia" w:cstheme="minorEastAsia" w:hint="eastAsia"/>
                <w:b/>
                <w:bCs/>
                <w:sz w:val="24"/>
              </w:rPr>
            </w:pPr>
            <w:r>
              <w:rPr>
                <w:rFonts w:asciiTheme="minorEastAsia" w:hAnsiTheme="minorEastAsia" w:cstheme="minorEastAsia" w:hint="eastAsia"/>
                <w:b/>
                <w:bCs/>
                <w:sz w:val="24"/>
              </w:rPr>
              <w:t>投资者关系活动主要内容介绍</w:t>
            </w:r>
          </w:p>
        </w:tc>
        <w:tc>
          <w:tcPr>
            <w:tcW w:w="7371" w:type="dxa"/>
          </w:tcPr>
          <w:p w14:paraId="2F5EF222" w14:textId="77777777" w:rsidR="00AD6378" w:rsidRPr="00FE6CE6" w:rsidRDefault="00A1647E" w:rsidP="00E75EEB">
            <w:pPr>
              <w:pStyle w:val="a8"/>
              <w:numPr>
                <w:ilvl w:val="0"/>
                <w:numId w:val="3"/>
              </w:numPr>
              <w:spacing w:line="360" w:lineRule="auto"/>
              <w:ind w:firstLineChars="0"/>
              <w:rPr>
                <w:rFonts w:asciiTheme="minorEastAsia" w:hAnsiTheme="minorEastAsia" w:cstheme="minorEastAsia" w:hint="eastAsia"/>
                <w:b/>
                <w:sz w:val="24"/>
              </w:rPr>
            </w:pPr>
            <w:r>
              <w:rPr>
                <w:rFonts w:asciiTheme="minorEastAsia" w:hAnsiTheme="minorEastAsia" w:cstheme="minorEastAsia" w:hint="eastAsia"/>
                <w:b/>
                <w:sz w:val="24"/>
              </w:rPr>
              <w:t>公司背景介绍</w:t>
            </w:r>
          </w:p>
          <w:p w14:paraId="687BC26A" w14:textId="32809157" w:rsidR="00025D3C" w:rsidRPr="00FE6CE6" w:rsidRDefault="008D1595" w:rsidP="00E75EEB">
            <w:pPr>
              <w:pStyle w:val="a8"/>
              <w:spacing w:line="360" w:lineRule="auto"/>
              <w:ind w:left="87" w:firstLineChars="163" w:firstLine="391"/>
              <w:rPr>
                <w:rFonts w:asciiTheme="minorEastAsia" w:hAnsiTheme="minorEastAsia" w:cstheme="minorEastAsia" w:hint="eastAsia"/>
                <w:sz w:val="24"/>
              </w:rPr>
            </w:pPr>
            <w:r>
              <w:rPr>
                <w:rFonts w:asciiTheme="minorEastAsia" w:hAnsiTheme="minorEastAsia" w:cstheme="minorEastAsia" w:hint="eastAsia"/>
                <w:sz w:val="24"/>
              </w:rPr>
              <w:t>益诺思是</w:t>
            </w:r>
            <w:r w:rsidRPr="008D1595">
              <w:rPr>
                <w:rFonts w:asciiTheme="minorEastAsia" w:hAnsiTheme="minorEastAsia" w:cstheme="minorEastAsia" w:hint="eastAsia"/>
                <w:sz w:val="24"/>
              </w:rPr>
              <w:t>一家专业提供生物医药非临床研究服务为主的综合研发服务（CRO）企业，作为国内最早同时具备NMPA的GLP认证、OECD的GLP认证、通过美国FDA的GLP检查的企业之一，与国际标准接轨，具备了行业内具有竞争力的国际化服务能力，为全球的医药企业和科研机构提供全方位的符合国内及国际申报标准的新药研究服务。公司服务主要涵盖生物医药早期成药性评价、非临床研究以及临床检测及转化研究三大板块，其中非临床研究板块具体包括非临床</w:t>
            </w:r>
            <w:r w:rsidRPr="008D1595">
              <w:rPr>
                <w:rFonts w:asciiTheme="minorEastAsia" w:hAnsiTheme="minorEastAsia" w:cstheme="minorEastAsia" w:hint="eastAsia"/>
                <w:sz w:val="24"/>
              </w:rPr>
              <w:lastRenderedPageBreak/>
              <w:t>安全性评价、非临床药代动力学研究、非临床药效学研究。经过多年的发展与积累，</w:t>
            </w:r>
            <w:r w:rsidR="00B0689B" w:rsidRPr="00B0689B">
              <w:rPr>
                <w:rFonts w:asciiTheme="minorEastAsia" w:hAnsiTheme="minorEastAsia" w:cstheme="minorEastAsia" w:hint="eastAsia"/>
                <w:sz w:val="24"/>
              </w:rPr>
              <w:t>根据</w:t>
            </w:r>
            <w:r w:rsidR="00B0689B" w:rsidRPr="00B0689B">
              <w:rPr>
                <w:rFonts w:asciiTheme="minorEastAsia" w:hAnsiTheme="minorEastAsia" w:cstheme="minorEastAsia"/>
                <w:sz w:val="24"/>
              </w:rPr>
              <w:t>Frost &amp; Sullivan</w:t>
            </w:r>
            <w:r w:rsidR="00B0689B" w:rsidRPr="00B0689B">
              <w:rPr>
                <w:rFonts w:asciiTheme="minorEastAsia" w:hAnsiTheme="minorEastAsia" w:cstheme="minorEastAsia" w:hint="eastAsia"/>
                <w:sz w:val="24"/>
              </w:rPr>
              <w:t>的统计，</w:t>
            </w:r>
            <w:r w:rsidR="00B0689B" w:rsidRPr="00B0689B">
              <w:rPr>
                <w:rFonts w:asciiTheme="minorEastAsia" w:hAnsiTheme="minorEastAsia" w:cstheme="minorEastAsia"/>
                <w:sz w:val="24"/>
              </w:rPr>
              <w:t>2021</w:t>
            </w:r>
            <w:r w:rsidR="00B0689B" w:rsidRPr="00B0689B">
              <w:rPr>
                <w:rFonts w:asciiTheme="minorEastAsia" w:hAnsiTheme="minorEastAsia" w:cstheme="minorEastAsia" w:hint="eastAsia"/>
                <w:sz w:val="24"/>
              </w:rPr>
              <w:t>年度和</w:t>
            </w:r>
            <w:r w:rsidR="00B0689B" w:rsidRPr="00B0689B">
              <w:rPr>
                <w:rFonts w:asciiTheme="minorEastAsia" w:hAnsiTheme="minorEastAsia" w:cstheme="minorEastAsia"/>
                <w:sz w:val="24"/>
              </w:rPr>
              <w:t>2022</w:t>
            </w:r>
            <w:r w:rsidR="00B0689B" w:rsidRPr="00B0689B">
              <w:rPr>
                <w:rFonts w:asciiTheme="minorEastAsia" w:hAnsiTheme="minorEastAsia" w:cstheme="minorEastAsia" w:hint="eastAsia"/>
                <w:sz w:val="24"/>
              </w:rPr>
              <w:t>年度，</w:t>
            </w:r>
            <w:r w:rsidR="00993C03">
              <w:rPr>
                <w:rFonts w:asciiTheme="minorEastAsia" w:hAnsiTheme="minorEastAsia" w:cstheme="minorEastAsia" w:hint="eastAsia"/>
                <w:sz w:val="24"/>
              </w:rPr>
              <w:t>公司</w:t>
            </w:r>
            <w:r w:rsidRPr="008D1595">
              <w:rPr>
                <w:rFonts w:asciiTheme="minorEastAsia" w:hAnsiTheme="minorEastAsia" w:cstheme="minorEastAsia" w:hint="eastAsia"/>
                <w:sz w:val="24"/>
              </w:rPr>
              <w:t>在国内非临床安全性评价细分领域市场占有率排名前三，处于行业领先地位</w:t>
            </w:r>
            <w:r>
              <w:rPr>
                <w:rFonts w:asciiTheme="minorEastAsia" w:hAnsiTheme="minorEastAsia" w:cstheme="minorEastAsia" w:hint="eastAsia"/>
                <w:sz w:val="24"/>
              </w:rPr>
              <w:t>。</w:t>
            </w:r>
            <w:r w:rsidRPr="008D1595">
              <w:rPr>
                <w:rFonts w:asciiTheme="minorEastAsia" w:hAnsiTheme="minorEastAsia" w:cstheme="minorEastAsia" w:hint="eastAsia"/>
                <w:sz w:val="24"/>
              </w:rPr>
              <w:t>自设立以来，</w:t>
            </w:r>
            <w:r w:rsidR="00993C03">
              <w:rPr>
                <w:rFonts w:asciiTheme="minorEastAsia" w:hAnsiTheme="minorEastAsia" w:cstheme="minorEastAsia" w:hint="eastAsia"/>
                <w:sz w:val="24"/>
              </w:rPr>
              <w:t>公司</w:t>
            </w:r>
            <w:r w:rsidRPr="008D1595">
              <w:rPr>
                <w:rFonts w:asciiTheme="minorEastAsia" w:hAnsiTheme="minorEastAsia" w:cstheme="minorEastAsia" w:hint="eastAsia"/>
                <w:sz w:val="24"/>
              </w:rPr>
              <w:t>凭借自身的前瞻性布局、创新性能力，逐步形成了重要靶器官毒性生物标志物评价技术、特殊毒性安全性评价关键技术、创新药物非临床安全性评价体系、实验动物特殊给药技术、放射性同位素标记与Micro-PET/MR影像技术、小核酸/多肽/ADC/CGT产品生物分析技术平台、高灵敏度大分子多抗分析平台、流式技术受体占位分析平台等核心技术。</w:t>
            </w:r>
          </w:p>
          <w:p w14:paraId="6EDE41F5" w14:textId="77777777" w:rsidR="000F41C2" w:rsidRPr="000F41C2" w:rsidRDefault="000F41C2" w:rsidP="00E75EEB">
            <w:pPr>
              <w:pStyle w:val="a8"/>
              <w:numPr>
                <w:ilvl w:val="0"/>
                <w:numId w:val="3"/>
              </w:numPr>
              <w:spacing w:line="360" w:lineRule="auto"/>
              <w:ind w:firstLineChars="0"/>
              <w:rPr>
                <w:rFonts w:asciiTheme="minorEastAsia" w:hAnsiTheme="minorEastAsia" w:cstheme="minorEastAsia" w:hint="eastAsia"/>
                <w:b/>
                <w:sz w:val="24"/>
              </w:rPr>
            </w:pPr>
            <w:r w:rsidRPr="000F41C2">
              <w:rPr>
                <w:rFonts w:asciiTheme="minorEastAsia" w:hAnsiTheme="minorEastAsia" w:cstheme="minorEastAsia" w:hint="eastAsia"/>
                <w:b/>
                <w:sz w:val="24"/>
              </w:rPr>
              <w:t>投资者互动</w:t>
            </w:r>
            <w:r w:rsidR="0085688D" w:rsidRPr="000F41C2">
              <w:rPr>
                <w:rFonts w:asciiTheme="minorEastAsia" w:hAnsiTheme="minorEastAsia" w:cstheme="minorEastAsia" w:hint="eastAsia"/>
                <w:b/>
                <w:sz w:val="24"/>
              </w:rPr>
              <w:t>环节</w:t>
            </w:r>
          </w:p>
          <w:p w14:paraId="5F9551F5" w14:textId="73A060B0" w:rsidR="0085688D" w:rsidRPr="000F27A4" w:rsidRDefault="000F41C2" w:rsidP="00E75EEB">
            <w:pPr>
              <w:spacing w:line="360" w:lineRule="auto"/>
              <w:ind w:firstLineChars="200" w:firstLine="482"/>
              <w:rPr>
                <w:rFonts w:asciiTheme="minorEastAsia" w:hAnsiTheme="minorEastAsia" w:cstheme="minorEastAsia" w:hint="eastAsia"/>
                <w:b/>
                <w:sz w:val="24"/>
              </w:rPr>
            </w:pPr>
            <w:r w:rsidRPr="000F27A4">
              <w:rPr>
                <w:rFonts w:asciiTheme="minorEastAsia" w:hAnsiTheme="minorEastAsia" w:cstheme="minorEastAsia" w:hint="eastAsia"/>
                <w:b/>
                <w:sz w:val="24"/>
              </w:rPr>
              <w:t>问题1、</w:t>
            </w:r>
            <w:r w:rsidR="00232B2B">
              <w:rPr>
                <w:rFonts w:asciiTheme="minorEastAsia" w:hAnsiTheme="minorEastAsia" w:cstheme="minorEastAsia" w:hint="eastAsia"/>
                <w:b/>
                <w:sz w:val="24"/>
              </w:rPr>
              <w:t>公司</w:t>
            </w:r>
            <w:r w:rsidR="006509EB">
              <w:rPr>
                <w:rFonts w:asciiTheme="minorEastAsia" w:hAnsiTheme="minorEastAsia" w:cstheme="minorEastAsia" w:hint="eastAsia"/>
                <w:b/>
                <w:sz w:val="24"/>
              </w:rPr>
              <w:t>目前</w:t>
            </w:r>
            <w:r w:rsidR="00232B2B">
              <w:rPr>
                <w:rFonts w:asciiTheme="minorEastAsia" w:hAnsiTheme="minorEastAsia" w:cstheme="minorEastAsia" w:hint="eastAsia"/>
                <w:b/>
                <w:sz w:val="24"/>
              </w:rPr>
              <w:t>订单价格和数量情况</w:t>
            </w:r>
            <w:r w:rsidR="006509EB">
              <w:rPr>
                <w:rFonts w:asciiTheme="minorEastAsia" w:hAnsiTheme="minorEastAsia" w:cstheme="minorEastAsia" w:hint="eastAsia"/>
                <w:b/>
                <w:sz w:val="24"/>
              </w:rPr>
              <w:t>，结合订单及费用情况对</w:t>
            </w:r>
            <w:r w:rsidR="00706601">
              <w:rPr>
                <w:rFonts w:asciiTheme="minorEastAsia" w:hAnsiTheme="minorEastAsia" w:cstheme="minorEastAsia" w:hint="eastAsia"/>
                <w:b/>
                <w:sz w:val="24"/>
              </w:rPr>
              <w:t>后续</w:t>
            </w:r>
            <w:r w:rsidR="006509EB">
              <w:rPr>
                <w:rFonts w:asciiTheme="minorEastAsia" w:hAnsiTheme="minorEastAsia" w:cstheme="minorEastAsia" w:hint="eastAsia"/>
                <w:b/>
                <w:sz w:val="24"/>
              </w:rPr>
              <w:t>业绩的展望</w:t>
            </w:r>
            <w:r w:rsidR="00804E6A" w:rsidRPr="00804E6A">
              <w:rPr>
                <w:rFonts w:asciiTheme="minorEastAsia" w:hAnsiTheme="minorEastAsia" w:cstheme="minorEastAsia" w:hint="eastAsia"/>
                <w:b/>
                <w:sz w:val="24"/>
              </w:rPr>
              <w:t>？</w:t>
            </w:r>
          </w:p>
          <w:p w14:paraId="118C42A4" w14:textId="0EA5DD1E" w:rsidR="004C3778" w:rsidRDefault="007317EB" w:rsidP="004134C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回</w:t>
            </w:r>
            <w:r w:rsidR="000F41C2">
              <w:rPr>
                <w:rFonts w:asciiTheme="minorEastAsia" w:hAnsiTheme="minorEastAsia" w:cstheme="minorEastAsia" w:hint="eastAsia"/>
                <w:sz w:val="24"/>
              </w:rPr>
              <w:t>答：</w:t>
            </w:r>
            <w:r w:rsidR="004134C0" w:rsidRPr="004134C0">
              <w:rPr>
                <w:rFonts w:asciiTheme="minorEastAsia" w:hAnsiTheme="minorEastAsia" w:cstheme="minorEastAsia" w:hint="eastAsia"/>
                <w:sz w:val="24"/>
              </w:rPr>
              <w:t>截至2023年末</w:t>
            </w:r>
            <w:r w:rsidR="004134C0">
              <w:rPr>
                <w:rFonts w:asciiTheme="minorEastAsia" w:hAnsiTheme="minorEastAsia" w:cstheme="minorEastAsia" w:hint="eastAsia"/>
                <w:sz w:val="24"/>
              </w:rPr>
              <w:t>公司</w:t>
            </w:r>
            <w:r w:rsidR="004134C0" w:rsidRPr="004134C0">
              <w:rPr>
                <w:rFonts w:asciiTheme="minorEastAsia" w:hAnsiTheme="minorEastAsia" w:cstheme="minorEastAsia" w:hint="eastAsia"/>
                <w:sz w:val="24"/>
              </w:rPr>
              <w:t>在手订单金额13.27亿元，2024年上半年新签订单金额较上年同期仍在增长。</w:t>
            </w:r>
            <w:r w:rsidR="004134C0">
              <w:rPr>
                <w:rFonts w:asciiTheme="minorEastAsia" w:hAnsiTheme="minorEastAsia" w:cstheme="minorEastAsia" w:hint="eastAsia"/>
                <w:sz w:val="24"/>
              </w:rPr>
              <w:t>同时，公司也在大力推进美国子公司建设进程，积极</w:t>
            </w:r>
            <w:r w:rsidR="004134C0" w:rsidRPr="004134C0">
              <w:rPr>
                <w:rFonts w:asciiTheme="minorEastAsia" w:hAnsiTheme="minorEastAsia" w:cstheme="minorEastAsia" w:hint="eastAsia"/>
                <w:sz w:val="24"/>
              </w:rPr>
              <w:t>拓展海外市场</w:t>
            </w:r>
            <w:r w:rsidR="004134C0">
              <w:rPr>
                <w:rFonts w:asciiTheme="minorEastAsia" w:hAnsiTheme="minorEastAsia" w:cstheme="minorEastAsia" w:hint="eastAsia"/>
                <w:sz w:val="24"/>
              </w:rPr>
              <w:t>，争取更多海外订单。</w:t>
            </w:r>
            <w:r w:rsidR="004134C0" w:rsidRPr="004134C0">
              <w:rPr>
                <w:rFonts w:asciiTheme="minorEastAsia" w:hAnsiTheme="minorEastAsia" w:cstheme="minorEastAsia" w:hint="eastAsia"/>
                <w:sz w:val="24"/>
              </w:rPr>
              <w:t>结合</w:t>
            </w:r>
            <w:r w:rsidR="004134C0">
              <w:rPr>
                <w:rFonts w:asciiTheme="minorEastAsia" w:hAnsiTheme="minorEastAsia" w:cstheme="minorEastAsia" w:hint="eastAsia"/>
                <w:sz w:val="24"/>
              </w:rPr>
              <w:t>公司</w:t>
            </w:r>
            <w:r w:rsidR="004134C0" w:rsidRPr="004134C0">
              <w:rPr>
                <w:rFonts w:asciiTheme="minorEastAsia" w:hAnsiTheme="minorEastAsia" w:cstheme="minorEastAsia" w:hint="eastAsia"/>
                <w:sz w:val="24"/>
              </w:rPr>
              <w:t>在手订单情况</w:t>
            </w:r>
            <w:r w:rsidR="004134C0">
              <w:rPr>
                <w:rFonts w:asciiTheme="minorEastAsia" w:hAnsiTheme="minorEastAsia" w:cstheme="minorEastAsia" w:hint="eastAsia"/>
                <w:sz w:val="24"/>
              </w:rPr>
              <w:t>、服务的客户数量</w:t>
            </w:r>
            <w:r w:rsidR="004134C0" w:rsidRPr="004134C0">
              <w:rPr>
                <w:rFonts w:asciiTheme="minorEastAsia" w:hAnsiTheme="minorEastAsia" w:cstheme="minorEastAsia" w:hint="eastAsia"/>
                <w:sz w:val="24"/>
              </w:rPr>
              <w:t>和新签订单发展趋势</w:t>
            </w:r>
            <w:r w:rsidR="004134C0">
              <w:rPr>
                <w:rFonts w:asciiTheme="minorEastAsia" w:hAnsiTheme="minorEastAsia" w:cstheme="minorEastAsia" w:hint="eastAsia"/>
                <w:sz w:val="24"/>
              </w:rPr>
              <w:t>和行业整体发展情况</w:t>
            </w:r>
            <w:r w:rsidR="004134C0" w:rsidRPr="004134C0">
              <w:rPr>
                <w:rFonts w:asciiTheme="minorEastAsia" w:hAnsiTheme="minorEastAsia" w:cstheme="minorEastAsia" w:hint="eastAsia"/>
                <w:sz w:val="24"/>
              </w:rPr>
              <w:t>，预计2024年</w:t>
            </w:r>
            <w:r w:rsidR="004134C0">
              <w:rPr>
                <w:rFonts w:asciiTheme="minorEastAsia" w:hAnsiTheme="minorEastAsia" w:cstheme="minorEastAsia" w:hint="eastAsia"/>
                <w:sz w:val="24"/>
              </w:rPr>
              <w:t>公司</w:t>
            </w:r>
            <w:r w:rsidR="004134C0" w:rsidRPr="004134C0">
              <w:rPr>
                <w:rFonts w:asciiTheme="minorEastAsia" w:hAnsiTheme="minorEastAsia" w:cstheme="minorEastAsia" w:hint="eastAsia"/>
                <w:sz w:val="24"/>
              </w:rPr>
              <w:t>整体的业务量较2023年</w:t>
            </w:r>
            <w:r w:rsidR="00E4207A">
              <w:rPr>
                <w:rFonts w:asciiTheme="minorEastAsia" w:hAnsiTheme="minorEastAsia" w:cstheme="minorEastAsia" w:hint="eastAsia"/>
                <w:sz w:val="24"/>
              </w:rPr>
              <w:t>有所</w:t>
            </w:r>
            <w:r w:rsidR="004134C0" w:rsidRPr="004134C0">
              <w:rPr>
                <w:rFonts w:asciiTheme="minorEastAsia" w:hAnsiTheme="minorEastAsia" w:cstheme="minorEastAsia" w:hint="eastAsia"/>
                <w:sz w:val="24"/>
              </w:rPr>
              <w:t>提升，但受订单价格下降的影响，公司预计2024年扣除非经常性损益后归属于母公司股东的净利润较2023年存在</w:t>
            </w:r>
            <w:r w:rsidR="0019380C">
              <w:rPr>
                <w:rFonts w:asciiTheme="minorEastAsia" w:hAnsiTheme="minorEastAsia" w:cstheme="minorEastAsia" w:hint="eastAsia"/>
                <w:sz w:val="24"/>
              </w:rPr>
              <w:t>一定幅度的</w:t>
            </w:r>
            <w:r w:rsidR="004134C0" w:rsidRPr="004134C0">
              <w:rPr>
                <w:rFonts w:asciiTheme="minorEastAsia" w:hAnsiTheme="minorEastAsia" w:cstheme="minorEastAsia" w:hint="eastAsia"/>
                <w:sz w:val="24"/>
              </w:rPr>
              <w:t>下滑。</w:t>
            </w:r>
          </w:p>
          <w:p w14:paraId="4CE54C71" w14:textId="2228B98F" w:rsidR="000F27A4" w:rsidRPr="000F27A4" w:rsidRDefault="000F41C2" w:rsidP="00E75EEB">
            <w:pPr>
              <w:spacing w:line="360" w:lineRule="auto"/>
              <w:ind w:firstLineChars="200" w:firstLine="482"/>
              <w:rPr>
                <w:rFonts w:asciiTheme="minorEastAsia" w:hAnsiTheme="minorEastAsia" w:cstheme="minorEastAsia" w:hint="eastAsia"/>
                <w:b/>
                <w:sz w:val="24"/>
              </w:rPr>
            </w:pPr>
            <w:r w:rsidRPr="000F27A4">
              <w:rPr>
                <w:rFonts w:asciiTheme="minorEastAsia" w:hAnsiTheme="minorEastAsia" w:cstheme="minorEastAsia" w:hint="eastAsia"/>
                <w:b/>
                <w:sz w:val="24"/>
              </w:rPr>
              <w:t>问题2：</w:t>
            </w:r>
            <w:r w:rsidR="0019380C">
              <w:rPr>
                <w:rFonts w:asciiTheme="minorEastAsia" w:hAnsiTheme="minorEastAsia" w:cstheme="minorEastAsia" w:hint="eastAsia"/>
                <w:b/>
                <w:sz w:val="24"/>
              </w:rPr>
              <w:t>在海外市场竞争中公司的核心竞争优势有哪些</w:t>
            </w:r>
            <w:r w:rsidR="00A943EC" w:rsidRPr="00A943EC">
              <w:rPr>
                <w:rFonts w:asciiTheme="minorEastAsia" w:hAnsiTheme="minorEastAsia" w:cstheme="minorEastAsia" w:hint="eastAsia"/>
                <w:b/>
                <w:sz w:val="24"/>
              </w:rPr>
              <w:t>？</w:t>
            </w:r>
          </w:p>
          <w:p w14:paraId="401CD63F" w14:textId="54638C78" w:rsidR="00E75EEB" w:rsidRDefault="007317EB" w:rsidP="00E012BC">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回</w:t>
            </w:r>
            <w:r w:rsidR="000F27A4">
              <w:rPr>
                <w:rFonts w:asciiTheme="minorEastAsia" w:hAnsiTheme="minorEastAsia" w:cstheme="minorEastAsia" w:hint="eastAsia"/>
                <w:sz w:val="24"/>
              </w:rPr>
              <w:t>答：</w:t>
            </w:r>
            <w:r w:rsidR="00FF119B" w:rsidRPr="00FF119B">
              <w:rPr>
                <w:rFonts w:asciiTheme="minorEastAsia" w:hAnsiTheme="minorEastAsia" w:cstheme="minorEastAsia" w:hint="eastAsia"/>
                <w:sz w:val="24"/>
              </w:rPr>
              <w:t>公司2024年3月在美国注册成立了全资子公司</w:t>
            </w:r>
            <w:proofErr w:type="spellStart"/>
            <w:r w:rsidR="00FF119B" w:rsidRPr="00FF119B">
              <w:rPr>
                <w:rFonts w:asciiTheme="minorEastAsia" w:hAnsiTheme="minorEastAsia" w:cstheme="minorEastAsia" w:hint="eastAsia"/>
                <w:sz w:val="24"/>
              </w:rPr>
              <w:t>InnoAlliance</w:t>
            </w:r>
            <w:proofErr w:type="spellEnd"/>
            <w:r w:rsidR="00FF119B" w:rsidRPr="00FF119B">
              <w:rPr>
                <w:rFonts w:asciiTheme="minorEastAsia" w:hAnsiTheme="minorEastAsia" w:cstheme="minorEastAsia" w:hint="eastAsia"/>
                <w:sz w:val="24"/>
              </w:rPr>
              <w:t xml:space="preserve"> Inc.，实现了海外首站布局。</w:t>
            </w:r>
            <w:r w:rsidR="00BD5D30">
              <w:rPr>
                <w:rFonts w:asciiTheme="minorEastAsia" w:hAnsiTheme="minorEastAsia" w:cstheme="minorEastAsia" w:hint="eastAsia"/>
                <w:sz w:val="24"/>
              </w:rPr>
              <w:t>一方面</w:t>
            </w:r>
            <w:r w:rsidR="00C32DA1">
              <w:rPr>
                <w:rFonts w:asciiTheme="minorEastAsia" w:hAnsiTheme="minorEastAsia" w:cstheme="minorEastAsia" w:hint="eastAsia"/>
                <w:sz w:val="24"/>
              </w:rPr>
              <w:t>，</w:t>
            </w:r>
            <w:r w:rsidR="00C32DA1" w:rsidRPr="00C32DA1">
              <w:rPr>
                <w:rFonts w:asciiTheme="minorEastAsia" w:hAnsiTheme="minorEastAsia" w:cstheme="minorEastAsia" w:hint="eastAsia"/>
                <w:sz w:val="24"/>
              </w:rPr>
              <w:t>公司</w:t>
            </w:r>
            <w:r w:rsidR="00C32DA1">
              <w:rPr>
                <w:rFonts w:asciiTheme="minorEastAsia" w:hAnsiTheme="minorEastAsia" w:cstheme="minorEastAsia" w:hint="eastAsia"/>
                <w:sz w:val="24"/>
              </w:rPr>
              <w:t>现有</w:t>
            </w:r>
            <w:r w:rsidR="00C32DA1" w:rsidRPr="00C32DA1">
              <w:rPr>
                <w:rFonts w:asciiTheme="minorEastAsia" w:hAnsiTheme="minorEastAsia" w:cstheme="minorEastAsia" w:hint="eastAsia"/>
                <w:sz w:val="24"/>
              </w:rPr>
              <w:t>客户存在出海需求，</w:t>
            </w:r>
            <w:r w:rsidR="00BD5D30">
              <w:rPr>
                <w:rFonts w:asciiTheme="minorEastAsia" w:hAnsiTheme="minorEastAsia" w:cstheme="minorEastAsia" w:hint="eastAsia"/>
                <w:sz w:val="24"/>
              </w:rPr>
              <w:t>同时海外Biotech市场活跃度高，整体市场需求高</w:t>
            </w:r>
            <w:r w:rsidR="00412EDF">
              <w:rPr>
                <w:rFonts w:asciiTheme="minorEastAsia" w:hAnsiTheme="minorEastAsia" w:cstheme="minorEastAsia" w:hint="eastAsia"/>
                <w:sz w:val="24"/>
              </w:rPr>
              <w:t>。</w:t>
            </w:r>
            <w:r w:rsidR="00BD5D30">
              <w:rPr>
                <w:rFonts w:asciiTheme="minorEastAsia" w:hAnsiTheme="minorEastAsia" w:cstheme="minorEastAsia" w:hint="eastAsia"/>
                <w:sz w:val="24"/>
              </w:rPr>
              <w:t>另一方面，公司</w:t>
            </w:r>
            <w:r w:rsidR="00412EDF">
              <w:rPr>
                <w:rFonts w:asciiTheme="minorEastAsia" w:hAnsiTheme="minorEastAsia" w:cstheme="minorEastAsia" w:hint="eastAsia"/>
                <w:sz w:val="24"/>
              </w:rPr>
              <w:t>有多年服务国际生物医药企业的经验和良好的市场口碑；在技术层面，公司</w:t>
            </w:r>
            <w:r w:rsidR="00412EDF" w:rsidRPr="00412EDF">
              <w:rPr>
                <w:rFonts w:asciiTheme="minorEastAsia" w:hAnsiTheme="minorEastAsia" w:cstheme="minorEastAsia" w:hint="eastAsia"/>
                <w:sz w:val="24"/>
              </w:rPr>
              <w:t>技术平台能力以及产品的创新性可以实现</w:t>
            </w:r>
            <w:r w:rsidR="00412EDF">
              <w:rPr>
                <w:rFonts w:asciiTheme="minorEastAsia" w:hAnsiTheme="minorEastAsia" w:cstheme="minorEastAsia" w:hint="eastAsia"/>
                <w:sz w:val="24"/>
              </w:rPr>
              <w:t>国际</w:t>
            </w:r>
            <w:r w:rsidR="00412EDF" w:rsidRPr="00412EDF">
              <w:rPr>
                <w:rFonts w:asciiTheme="minorEastAsia" w:hAnsiTheme="minorEastAsia" w:cstheme="minorEastAsia" w:hint="eastAsia"/>
                <w:sz w:val="24"/>
              </w:rPr>
              <w:t>同步</w:t>
            </w:r>
            <w:r w:rsidR="00C32DA1">
              <w:rPr>
                <w:rFonts w:asciiTheme="minorEastAsia" w:hAnsiTheme="minorEastAsia" w:cstheme="minorEastAsia" w:hint="eastAsia"/>
                <w:sz w:val="24"/>
              </w:rPr>
              <w:t>。</w:t>
            </w:r>
            <w:r w:rsidR="00FF119B" w:rsidRPr="00FF119B">
              <w:rPr>
                <w:rFonts w:asciiTheme="minorEastAsia" w:hAnsiTheme="minorEastAsia" w:cstheme="minorEastAsia" w:hint="eastAsia"/>
                <w:sz w:val="24"/>
              </w:rPr>
              <w:t>后续公司将依托美国益诺思这一海外经营实体，</w:t>
            </w:r>
            <w:r w:rsidR="00C32DA1">
              <w:rPr>
                <w:rFonts w:asciiTheme="minorEastAsia" w:hAnsiTheme="minorEastAsia" w:cstheme="minorEastAsia" w:hint="eastAsia"/>
                <w:sz w:val="24"/>
              </w:rPr>
              <w:t>利用自身的资源优势和服务优势，</w:t>
            </w:r>
            <w:r w:rsidR="00FF119B" w:rsidRPr="00FF119B">
              <w:rPr>
                <w:rFonts w:asciiTheme="minorEastAsia" w:hAnsiTheme="minorEastAsia" w:cstheme="minorEastAsia" w:hint="eastAsia"/>
                <w:sz w:val="24"/>
              </w:rPr>
              <w:t>更加专业化</w:t>
            </w:r>
            <w:r w:rsidR="00412EDF">
              <w:rPr>
                <w:rFonts w:asciiTheme="minorEastAsia" w:hAnsiTheme="minorEastAsia" w:cstheme="minorEastAsia" w:hint="eastAsia"/>
                <w:sz w:val="24"/>
              </w:rPr>
              <w:t>地</w:t>
            </w:r>
            <w:r w:rsidR="00FF119B" w:rsidRPr="00FF119B">
              <w:rPr>
                <w:rFonts w:asciiTheme="minorEastAsia" w:hAnsiTheme="minorEastAsia" w:cstheme="minorEastAsia" w:hint="eastAsia"/>
                <w:sz w:val="24"/>
              </w:rPr>
              <w:t>拓展海外业务。</w:t>
            </w:r>
          </w:p>
          <w:p w14:paraId="2D540FB2" w14:textId="73894C19" w:rsidR="00703746" w:rsidRPr="00703746" w:rsidRDefault="00703746" w:rsidP="00E75EEB">
            <w:pPr>
              <w:spacing w:line="360" w:lineRule="auto"/>
              <w:ind w:firstLineChars="200" w:firstLine="482"/>
              <w:rPr>
                <w:rFonts w:asciiTheme="minorEastAsia" w:hAnsiTheme="minorEastAsia" w:cstheme="minorEastAsia" w:hint="eastAsia"/>
                <w:b/>
                <w:sz w:val="24"/>
              </w:rPr>
            </w:pPr>
            <w:r w:rsidRPr="00703746">
              <w:rPr>
                <w:rFonts w:asciiTheme="minorEastAsia" w:hAnsiTheme="minorEastAsia" w:cstheme="minorEastAsia" w:hint="eastAsia"/>
                <w:b/>
                <w:sz w:val="24"/>
              </w:rPr>
              <w:t>问题3：</w:t>
            </w:r>
            <w:r w:rsidR="00440942">
              <w:rPr>
                <w:rFonts w:asciiTheme="minorEastAsia" w:hAnsiTheme="minorEastAsia" w:cstheme="minorEastAsia" w:hint="eastAsia"/>
                <w:b/>
                <w:sz w:val="24"/>
              </w:rPr>
              <w:t>最近颁布的</w:t>
            </w:r>
            <w:r w:rsidR="00440942" w:rsidRPr="00440942">
              <w:rPr>
                <w:rFonts w:asciiTheme="minorEastAsia" w:hAnsiTheme="minorEastAsia" w:cstheme="minorEastAsia" w:hint="eastAsia"/>
                <w:b/>
                <w:sz w:val="24"/>
              </w:rPr>
              <w:t>创新药全链条支持政策对行业及公司发展的影响</w:t>
            </w:r>
            <w:r w:rsidRPr="00703746">
              <w:rPr>
                <w:rFonts w:asciiTheme="minorEastAsia" w:hAnsiTheme="minorEastAsia" w:cstheme="minorEastAsia" w:hint="eastAsia"/>
                <w:b/>
                <w:sz w:val="24"/>
              </w:rPr>
              <w:t>？</w:t>
            </w:r>
          </w:p>
          <w:p w14:paraId="0CEAED38" w14:textId="53604DC2" w:rsidR="00703746" w:rsidRDefault="007317EB" w:rsidP="00E75EEB">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lastRenderedPageBreak/>
              <w:t>回</w:t>
            </w:r>
            <w:r w:rsidR="00703746">
              <w:rPr>
                <w:rFonts w:asciiTheme="minorEastAsia" w:hAnsiTheme="minorEastAsia" w:cstheme="minorEastAsia" w:hint="eastAsia"/>
                <w:sz w:val="24"/>
              </w:rPr>
              <w:t>答：</w:t>
            </w:r>
            <w:r w:rsidR="00440942" w:rsidRPr="00440942">
              <w:rPr>
                <w:rFonts w:asciiTheme="minorEastAsia" w:hAnsiTheme="minorEastAsia" w:cstheme="minorEastAsia" w:hint="eastAsia"/>
                <w:sz w:val="24"/>
              </w:rPr>
              <w:t>2024年7月，国务院常务会议审议通过了《全链条支持创新药发展实施方案》，上海市人民政府办公厅出具《关于支持生物医药产业全链条创新发展的若干意见》，聚焦生物医药等重点产业，强化对企业的资金支持和保障服务。未来各项支持政策的</w:t>
            </w:r>
            <w:r w:rsidR="00440942">
              <w:rPr>
                <w:rFonts w:asciiTheme="minorEastAsia" w:hAnsiTheme="minorEastAsia" w:cstheme="minorEastAsia" w:hint="eastAsia"/>
                <w:sz w:val="24"/>
              </w:rPr>
              <w:t>实施落地</w:t>
            </w:r>
            <w:r w:rsidR="00440942" w:rsidRPr="00440942">
              <w:rPr>
                <w:rFonts w:asciiTheme="minorEastAsia" w:hAnsiTheme="minorEastAsia" w:cstheme="minorEastAsia" w:hint="eastAsia"/>
                <w:sz w:val="24"/>
              </w:rPr>
              <w:t>,将会为国内CRO企业提供更多机会</w:t>
            </w:r>
            <w:r w:rsidR="00440942">
              <w:rPr>
                <w:rFonts w:asciiTheme="minorEastAsia" w:hAnsiTheme="minorEastAsia" w:cstheme="minorEastAsia" w:hint="eastAsia"/>
                <w:sz w:val="24"/>
              </w:rPr>
              <w:t>，</w:t>
            </w:r>
            <w:r w:rsidR="00440942" w:rsidRPr="00440942">
              <w:rPr>
                <w:rFonts w:asciiTheme="minorEastAsia" w:hAnsiTheme="minorEastAsia" w:cstheme="minorEastAsia" w:hint="eastAsia"/>
                <w:sz w:val="24"/>
              </w:rPr>
              <w:t>有望提升国内创新药企研发投入信心，促进生物医药产业持续创新发展，进而带动国内创新药以及CRO</w:t>
            </w:r>
            <w:r w:rsidR="00440942">
              <w:rPr>
                <w:rFonts w:asciiTheme="minorEastAsia" w:hAnsiTheme="minorEastAsia" w:cstheme="minorEastAsia" w:hint="eastAsia"/>
                <w:sz w:val="24"/>
              </w:rPr>
              <w:t>行业</w:t>
            </w:r>
            <w:r w:rsidR="00440942" w:rsidRPr="00440942">
              <w:rPr>
                <w:rFonts w:asciiTheme="minorEastAsia" w:hAnsiTheme="minorEastAsia" w:cstheme="minorEastAsia" w:hint="eastAsia"/>
                <w:sz w:val="24"/>
              </w:rPr>
              <w:t>的整体发展。</w:t>
            </w:r>
            <w:r w:rsidR="00440942">
              <w:rPr>
                <w:rFonts w:asciiTheme="minorEastAsia" w:hAnsiTheme="minorEastAsia" w:cstheme="minorEastAsia" w:hint="eastAsia"/>
                <w:sz w:val="24"/>
              </w:rPr>
              <w:t>公司相信，在国家政策的大力扶持下，未来行业整体会复苏回暖，带动公司</w:t>
            </w:r>
            <w:r w:rsidR="00111D03">
              <w:rPr>
                <w:rFonts w:asciiTheme="minorEastAsia" w:hAnsiTheme="minorEastAsia" w:cstheme="minorEastAsia" w:hint="eastAsia"/>
                <w:sz w:val="24"/>
              </w:rPr>
              <w:t>进一步</w:t>
            </w:r>
            <w:r w:rsidR="00440942">
              <w:rPr>
                <w:rFonts w:asciiTheme="minorEastAsia" w:hAnsiTheme="minorEastAsia" w:cstheme="minorEastAsia" w:hint="eastAsia"/>
                <w:sz w:val="24"/>
              </w:rPr>
              <w:t>实现高质量发展。</w:t>
            </w:r>
          </w:p>
          <w:p w14:paraId="2B9B30BF" w14:textId="01CA0663" w:rsidR="00217973" w:rsidRPr="00217973" w:rsidRDefault="00217973" w:rsidP="00E75EEB">
            <w:pPr>
              <w:spacing w:line="360" w:lineRule="auto"/>
              <w:ind w:firstLineChars="200" w:firstLine="482"/>
              <w:rPr>
                <w:rFonts w:asciiTheme="minorEastAsia" w:hAnsiTheme="minorEastAsia" w:cstheme="minorEastAsia" w:hint="eastAsia"/>
                <w:b/>
                <w:sz w:val="24"/>
              </w:rPr>
            </w:pPr>
            <w:r w:rsidRPr="00217973">
              <w:rPr>
                <w:rFonts w:asciiTheme="minorEastAsia" w:hAnsiTheme="minorEastAsia" w:cstheme="minorEastAsia" w:hint="eastAsia"/>
                <w:b/>
                <w:sz w:val="24"/>
              </w:rPr>
              <w:t>问题4：</w:t>
            </w:r>
            <w:r w:rsidR="003D739B">
              <w:rPr>
                <w:rFonts w:asciiTheme="minorEastAsia" w:hAnsiTheme="minorEastAsia" w:cstheme="minorEastAsia" w:hint="eastAsia"/>
                <w:b/>
                <w:sz w:val="24"/>
              </w:rPr>
              <w:t>公司订单价格的趋势</w:t>
            </w:r>
            <w:r w:rsidRPr="00217973">
              <w:rPr>
                <w:rFonts w:asciiTheme="minorEastAsia" w:hAnsiTheme="minorEastAsia" w:cstheme="minorEastAsia" w:hint="eastAsia"/>
                <w:b/>
                <w:sz w:val="24"/>
              </w:rPr>
              <w:t>？</w:t>
            </w:r>
          </w:p>
          <w:p w14:paraId="3E2081DE" w14:textId="23971E5B" w:rsidR="00DE2DFE" w:rsidRPr="003D739B" w:rsidRDefault="007317EB" w:rsidP="003D739B">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回</w:t>
            </w:r>
            <w:r w:rsidR="00217973">
              <w:rPr>
                <w:rFonts w:asciiTheme="minorEastAsia" w:hAnsiTheme="minorEastAsia" w:cstheme="minorEastAsia" w:hint="eastAsia"/>
                <w:sz w:val="24"/>
              </w:rPr>
              <w:t>答：</w:t>
            </w:r>
            <w:r w:rsidR="003D739B" w:rsidRPr="003D739B">
              <w:rPr>
                <w:rFonts w:asciiTheme="minorEastAsia" w:hAnsiTheme="minorEastAsia" w:cstheme="minorEastAsia" w:hint="eastAsia"/>
                <w:sz w:val="24"/>
              </w:rPr>
              <w:t>2023年，CRO行业受投融资热度减弱、医药市场增速不及预期等多方因素影响，行业需求总量虽然仍在增长，但增速有所放缓。同时叠加行业竞争加剧、实验用猴价格下降等因素，</w:t>
            </w:r>
            <w:r w:rsidR="003D739B">
              <w:rPr>
                <w:rFonts w:asciiTheme="minorEastAsia" w:hAnsiTheme="minorEastAsia" w:cstheme="minorEastAsia" w:hint="eastAsia"/>
                <w:sz w:val="24"/>
              </w:rPr>
              <w:t>公司</w:t>
            </w:r>
            <w:r w:rsidR="003D739B" w:rsidRPr="003D739B">
              <w:rPr>
                <w:rFonts w:asciiTheme="minorEastAsia" w:hAnsiTheme="minorEastAsia" w:cstheme="minorEastAsia" w:hint="eastAsia"/>
                <w:sz w:val="24"/>
              </w:rPr>
              <w:t>新签订单价格自2023年下半年开始有所下降</w:t>
            </w:r>
            <w:r w:rsidR="003D739B">
              <w:rPr>
                <w:rFonts w:asciiTheme="minorEastAsia" w:hAnsiTheme="minorEastAsia" w:cstheme="minorEastAsia" w:hint="eastAsia"/>
                <w:sz w:val="24"/>
              </w:rPr>
              <w:t>。</w:t>
            </w:r>
            <w:r w:rsidR="003D739B" w:rsidRPr="003D739B">
              <w:rPr>
                <w:rFonts w:asciiTheme="minorEastAsia" w:hAnsiTheme="minorEastAsia" w:cstheme="minorEastAsia" w:hint="eastAsia"/>
                <w:sz w:val="24"/>
              </w:rPr>
              <w:t>但自2024年一季度起，随着优质创新药企业不断拓宽资金来源、政策层面创新药重要性提升等积极因素影响，行业竞争加剧及订单价格下降的态势迎来</w:t>
            </w:r>
            <w:r w:rsidR="00E56442">
              <w:rPr>
                <w:rFonts w:asciiTheme="minorEastAsia" w:hAnsiTheme="minorEastAsia" w:cstheme="minorEastAsia" w:hint="eastAsia"/>
                <w:sz w:val="24"/>
              </w:rPr>
              <w:t>逐步</w:t>
            </w:r>
            <w:r w:rsidR="003D739B" w:rsidRPr="003D739B">
              <w:rPr>
                <w:rFonts w:asciiTheme="minorEastAsia" w:hAnsiTheme="minorEastAsia" w:cstheme="minorEastAsia" w:hint="eastAsia"/>
                <w:sz w:val="24"/>
              </w:rPr>
              <w:t>企稳。</w:t>
            </w:r>
          </w:p>
          <w:p w14:paraId="0022EF81" w14:textId="4987F5EE" w:rsidR="007E7F6B" w:rsidRPr="00217973" w:rsidRDefault="007E7F6B" w:rsidP="007E7F6B">
            <w:pPr>
              <w:spacing w:line="360" w:lineRule="auto"/>
              <w:ind w:firstLineChars="200" w:firstLine="482"/>
              <w:rPr>
                <w:rFonts w:asciiTheme="minorEastAsia" w:hAnsiTheme="minorEastAsia" w:cstheme="minorEastAsia" w:hint="eastAsia"/>
                <w:b/>
                <w:sz w:val="24"/>
              </w:rPr>
            </w:pPr>
            <w:r w:rsidRPr="00217973">
              <w:rPr>
                <w:rFonts w:asciiTheme="minorEastAsia" w:hAnsiTheme="minorEastAsia" w:cstheme="minorEastAsia" w:hint="eastAsia"/>
                <w:b/>
                <w:sz w:val="24"/>
              </w:rPr>
              <w:t>问题</w:t>
            </w:r>
            <w:r>
              <w:rPr>
                <w:rFonts w:asciiTheme="minorEastAsia" w:hAnsiTheme="minorEastAsia" w:cstheme="minorEastAsia"/>
                <w:b/>
                <w:sz w:val="24"/>
              </w:rPr>
              <w:t>5</w:t>
            </w:r>
            <w:r w:rsidRPr="00217973">
              <w:rPr>
                <w:rFonts w:asciiTheme="minorEastAsia" w:hAnsiTheme="minorEastAsia" w:cstheme="minorEastAsia" w:hint="eastAsia"/>
                <w:b/>
                <w:sz w:val="24"/>
              </w:rPr>
              <w:t>：</w:t>
            </w:r>
            <w:r w:rsidR="00993AFE">
              <w:rPr>
                <w:rFonts w:asciiTheme="minorEastAsia" w:hAnsiTheme="minorEastAsia" w:cstheme="minorEastAsia" w:hint="eastAsia"/>
                <w:b/>
                <w:sz w:val="24"/>
              </w:rPr>
              <w:t>公司</w:t>
            </w:r>
            <w:r w:rsidR="00993AFE" w:rsidRPr="00993AFE">
              <w:rPr>
                <w:rFonts w:asciiTheme="minorEastAsia" w:hAnsiTheme="minorEastAsia" w:cstheme="minorEastAsia" w:hint="eastAsia"/>
                <w:b/>
                <w:sz w:val="24"/>
              </w:rPr>
              <w:t>作为</w:t>
            </w:r>
            <w:r w:rsidR="00993AFE">
              <w:rPr>
                <w:rFonts w:asciiTheme="minorEastAsia" w:hAnsiTheme="minorEastAsia" w:cstheme="minorEastAsia" w:hint="eastAsia"/>
                <w:b/>
                <w:sz w:val="24"/>
              </w:rPr>
              <w:t>央企CRO第一股未来的发展规划</w:t>
            </w:r>
            <w:r w:rsidRPr="00217973">
              <w:rPr>
                <w:rFonts w:asciiTheme="minorEastAsia" w:hAnsiTheme="minorEastAsia" w:cstheme="minorEastAsia" w:hint="eastAsia"/>
                <w:b/>
                <w:sz w:val="24"/>
              </w:rPr>
              <w:t>？</w:t>
            </w:r>
          </w:p>
          <w:p w14:paraId="1B6430E2" w14:textId="1565C211" w:rsidR="007E7F6B" w:rsidRDefault="007317EB" w:rsidP="00993AFE">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回</w:t>
            </w:r>
            <w:r w:rsidR="007E7F6B">
              <w:rPr>
                <w:rFonts w:asciiTheme="minorEastAsia" w:hAnsiTheme="minorEastAsia" w:cstheme="minorEastAsia" w:hint="eastAsia"/>
                <w:sz w:val="24"/>
              </w:rPr>
              <w:t>答：</w:t>
            </w:r>
            <w:r w:rsidR="00993AFE" w:rsidRPr="00993AFE">
              <w:rPr>
                <w:rFonts w:asciiTheme="minorEastAsia" w:hAnsiTheme="minorEastAsia" w:cstheme="minorEastAsia" w:hint="eastAsia"/>
                <w:sz w:val="24"/>
              </w:rPr>
              <w:t>二十届中央全面深化改革委员会审议通过的《关于强化企业科技创新主体地位的意见》指出，强化企业科技创新主体地位，是深化科技体制改革、推动实现高水平科技自立自强的关键举措。国务院国资委也多次发文强调要“强化中央企业科技创新主体地位，以科技创新引领产业创新”。6月11日召开的中央全面深化改革委员会第五次会议，进一步强调建设具有全球竞争力的科技创新开放环境。</w:t>
            </w:r>
            <w:r w:rsidR="006E3C09">
              <w:rPr>
                <w:rFonts w:asciiTheme="minorEastAsia" w:hAnsiTheme="minorEastAsia" w:cstheme="minorEastAsia" w:hint="eastAsia"/>
                <w:sz w:val="24"/>
              </w:rPr>
              <w:t>公司</w:t>
            </w:r>
            <w:r w:rsidR="003D3170">
              <w:rPr>
                <w:rFonts w:asciiTheme="minorEastAsia" w:hAnsiTheme="minorEastAsia" w:cstheme="minorEastAsia" w:hint="eastAsia"/>
                <w:sz w:val="24"/>
              </w:rPr>
              <w:t>实际控制人</w:t>
            </w:r>
            <w:r w:rsidR="006E3C09" w:rsidRPr="006E3C09">
              <w:rPr>
                <w:rFonts w:asciiTheme="minorEastAsia" w:hAnsiTheme="minorEastAsia" w:cstheme="minorEastAsia" w:hint="eastAsia"/>
                <w:sz w:val="24"/>
              </w:rPr>
              <w:t>国药集团作为中央企业，肩负着实施国家医药创新战略的使命</w:t>
            </w:r>
            <w:r w:rsidR="006E3C09">
              <w:rPr>
                <w:rFonts w:asciiTheme="minorEastAsia" w:hAnsiTheme="minorEastAsia" w:cstheme="minorEastAsia" w:hint="eastAsia"/>
                <w:sz w:val="24"/>
              </w:rPr>
              <w:t>。</w:t>
            </w:r>
            <w:r w:rsidR="00993AFE">
              <w:rPr>
                <w:rFonts w:asciiTheme="minorEastAsia" w:hAnsiTheme="minorEastAsia" w:cstheme="minorEastAsia" w:hint="eastAsia"/>
                <w:sz w:val="24"/>
              </w:rPr>
              <w:t>益诺思</w:t>
            </w:r>
            <w:r w:rsidR="00993AFE" w:rsidRPr="00993AFE">
              <w:rPr>
                <w:rFonts w:asciiTheme="minorEastAsia" w:hAnsiTheme="minorEastAsia" w:cstheme="minorEastAsia" w:hint="eastAsia"/>
                <w:sz w:val="24"/>
              </w:rPr>
              <w:t>作为国药集团体系下的中央企业，是国药体系内唯一一个科研服务板块的上市公司，益诺思</w:t>
            </w:r>
            <w:r w:rsidR="00993AFE">
              <w:rPr>
                <w:rFonts w:asciiTheme="minorEastAsia" w:hAnsiTheme="minorEastAsia" w:cstheme="minorEastAsia" w:hint="eastAsia"/>
                <w:sz w:val="24"/>
              </w:rPr>
              <w:t>未来将</w:t>
            </w:r>
            <w:r w:rsidR="00993AFE" w:rsidRPr="00993AFE">
              <w:rPr>
                <w:rFonts w:asciiTheme="minorEastAsia" w:hAnsiTheme="minorEastAsia" w:cstheme="minorEastAsia" w:hint="eastAsia"/>
                <w:sz w:val="24"/>
              </w:rPr>
              <w:t>不忘初心，牢记使命，</w:t>
            </w:r>
            <w:r w:rsidR="00D41880">
              <w:rPr>
                <w:rFonts w:asciiTheme="minorEastAsia" w:hAnsiTheme="minorEastAsia" w:cstheme="minorEastAsia" w:hint="eastAsia"/>
                <w:sz w:val="24"/>
              </w:rPr>
              <w:t>做强、做优、做大，</w:t>
            </w:r>
            <w:r w:rsidR="00993AFE" w:rsidRPr="00993AFE">
              <w:rPr>
                <w:rFonts w:asciiTheme="minorEastAsia" w:hAnsiTheme="minorEastAsia" w:cstheme="minorEastAsia" w:hint="eastAsia"/>
                <w:sz w:val="24"/>
              </w:rPr>
              <w:t>在新征程上以央企担当打造上市标杆</w:t>
            </w:r>
            <w:r w:rsidR="007E7F6B" w:rsidRPr="007E7F6B">
              <w:rPr>
                <w:rFonts w:asciiTheme="minorEastAsia" w:hAnsiTheme="minorEastAsia" w:cstheme="minorEastAsia" w:hint="eastAsia"/>
                <w:sz w:val="24"/>
              </w:rPr>
              <w:t>。</w:t>
            </w:r>
          </w:p>
          <w:p w14:paraId="6DB3FCC8" w14:textId="68B82DFC" w:rsidR="008D1595" w:rsidRPr="00217973" w:rsidRDefault="008D1595" w:rsidP="008D1595">
            <w:pPr>
              <w:spacing w:line="360" w:lineRule="auto"/>
              <w:ind w:firstLineChars="200" w:firstLine="482"/>
              <w:rPr>
                <w:rFonts w:asciiTheme="minorEastAsia" w:hAnsiTheme="minorEastAsia" w:cstheme="minorEastAsia" w:hint="eastAsia"/>
                <w:b/>
                <w:sz w:val="24"/>
              </w:rPr>
            </w:pPr>
            <w:r w:rsidRPr="00217973">
              <w:rPr>
                <w:rFonts w:asciiTheme="minorEastAsia" w:hAnsiTheme="minorEastAsia" w:cstheme="minorEastAsia" w:hint="eastAsia"/>
                <w:b/>
                <w:sz w:val="24"/>
              </w:rPr>
              <w:t>问题</w:t>
            </w:r>
            <w:r>
              <w:rPr>
                <w:rFonts w:asciiTheme="minorEastAsia" w:hAnsiTheme="minorEastAsia" w:cstheme="minorEastAsia" w:hint="eastAsia"/>
                <w:b/>
                <w:sz w:val="24"/>
              </w:rPr>
              <w:t>6</w:t>
            </w:r>
            <w:r w:rsidRPr="00217973">
              <w:rPr>
                <w:rFonts w:asciiTheme="minorEastAsia" w:hAnsiTheme="minorEastAsia" w:cstheme="minorEastAsia" w:hint="eastAsia"/>
                <w:b/>
                <w:sz w:val="24"/>
              </w:rPr>
              <w:t>：</w:t>
            </w:r>
            <w:r w:rsidR="00447385">
              <w:rPr>
                <w:rFonts w:asciiTheme="minorEastAsia" w:hAnsiTheme="minorEastAsia" w:cstheme="minorEastAsia" w:hint="eastAsia"/>
                <w:b/>
                <w:sz w:val="24"/>
              </w:rPr>
              <w:t>公司是否有并购方面的规划</w:t>
            </w:r>
            <w:r w:rsidRPr="00217973">
              <w:rPr>
                <w:rFonts w:asciiTheme="minorEastAsia" w:hAnsiTheme="minorEastAsia" w:cstheme="minorEastAsia" w:hint="eastAsia"/>
                <w:b/>
                <w:sz w:val="24"/>
              </w:rPr>
              <w:t>？</w:t>
            </w:r>
          </w:p>
          <w:p w14:paraId="24F8AFC1" w14:textId="53B1313A" w:rsidR="008D1595" w:rsidRDefault="008D1595" w:rsidP="008D1595">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回答：</w:t>
            </w:r>
            <w:r w:rsidR="00BD2ADF" w:rsidRPr="00BD2ADF">
              <w:rPr>
                <w:rFonts w:asciiTheme="minorEastAsia" w:hAnsiTheme="minorEastAsia" w:cstheme="minorEastAsia" w:hint="eastAsia"/>
                <w:sz w:val="24"/>
              </w:rPr>
              <w:t>为在日益竞争激烈的市场中保持及提升自身优势与竞争力，大型跨国CRO公司倾向于通过并购整合扩大业务领域，并拓展服</w:t>
            </w:r>
            <w:r w:rsidR="00BD2ADF" w:rsidRPr="00BD2ADF">
              <w:rPr>
                <w:rFonts w:asciiTheme="minorEastAsia" w:hAnsiTheme="minorEastAsia" w:cstheme="minorEastAsia" w:hint="eastAsia"/>
                <w:sz w:val="24"/>
              </w:rPr>
              <w:lastRenderedPageBreak/>
              <w:t>务地域范围，以期实现一站式、全球化发展。全球CRO通过并购与整合提升行业集中度，竞争格局逐渐清晰。目前国内CRO为加速国际化布局，获得更多国际市场份额，通过整合和并购，海外建厂等方式，企业积极拓展海外市场，横向整合扩大企业产能和规模。</w:t>
            </w:r>
            <w:r w:rsidR="00BD2ADF">
              <w:rPr>
                <w:rFonts w:asciiTheme="minorEastAsia" w:hAnsiTheme="minorEastAsia" w:cstheme="minorEastAsia" w:hint="eastAsia"/>
                <w:sz w:val="24"/>
              </w:rPr>
              <w:t>未来，</w:t>
            </w:r>
            <w:r w:rsidRPr="007E7F6B">
              <w:rPr>
                <w:rFonts w:asciiTheme="minorEastAsia" w:hAnsiTheme="minorEastAsia" w:cstheme="minorEastAsia" w:hint="eastAsia"/>
                <w:sz w:val="24"/>
              </w:rPr>
              <w:t>公司</w:t>
            </w:r>
            <w:r w:rsidR="00D96535">
              <w:rPr>
                <w:rFonts w:asciiTheme="minorEastAsia" w:hAnsiTheme="minorEastAsia" w:cstheme="minorEastAsia" w:hint="eastAsia"/>
                <w:sz w:val="24"/>
              </w:rPr>
              <w:t>将</w:t>
            </w:r>
            <w:r w:rsidR="00BD2ADF">
              <w:rPr>
                <w:rFonts w:asciiTheme="minorEastAsia" w:hAnsiTheme="minorEastAsia" w:cstheme="minorEastAsia" w:hint="eastAsia"/>
                <w:sz w:val="24"/>
              </w:rPr>
              <w:t>在</w:t>
            </w:r>
            <w:r w:rsidR="00BD2ADF" w:rsidRPr="00BD2ADF">
              <w:rPr>
                <w:rFonts w:asciiTheme="minorEastAsia" w:hAnsiTheme="minorEastAsia" w:cstheme="minorEastAsia" w:hint="eastAsia"/>
                <w:sz w:val="24"/>
              </w:rPr>
              <w:t>充分利用已有及本次募投的产能外</w:t>
            </w:r>
            <w:r w:rsidR="00D96535">
              <w:rPr>
                <w:rFonts w:asciiTheme="minorEastAsia" w:hAnsiTheme="minorEastAsia" w:cstheme="minorEastAsia" w:hint="eastAsia"/>
                <w:sz w:val="24"/>
              </w:rPr>
              <w:t>，</w:t>
            </w:r>
            <w:r w:rsidR="00BD2ADF">
              <w:rPr>
                <w:rFonts w:asciiTheme="minorEastAsia" w:hAnsiTheme="minorEastAsia" w:cstheme="minorEastAsia" w:hint="eastAsia"/>
                <w:sz w:val="24"/>
              </w:rPr>
              <w:t>择机</w:t>
            </w:r>
            <w:r w:rsidR="00BD2ADF" w:rsidRPr="00BD2ADF">
              <w:rPr>
                <w:rFonts w:asciiTheme="minorEastAsia" w:hAnsiTheme="minorEastAsia" w:cstheme="minorEastAsia" w:hint="eastAsia"/>
                <w:sz w:val="24"/>
              </w:rPr>
              <w:t>进行外延式并购实现业务规模化增长</w:t>
            </w:r>
            <w:r w:rsidRPr="007E7F6B">
              <w:rPr>
                <w:rFonts w:asciiTheme="minorEastAsia" w:hAnsiTheme="minorEastAsia" w:cstheme="minorEastAsia" w:hint="eastAsia"/>
                <w:sz w:val="24"/>
              </w:rPr>
              <w:t>。</w:t>
            </w:r>
          </w:p>
          <w:p w14:paraId="737B355C" w14:textId="111145F4" w:rsidR="008D1595" w:rsidRPr="00217973" w:rsidRDefault="008D1595" w:rsidP="008D1595">
            <w:pPr>
              <w:spacing w:line="360" w:lineRule="auto"/>
              <w:ind w:firstLineChars="200" w:firstLine="482"/>
              <w:rPr>
                <w:rFonts w:asciiTheme="minorEastAsia" w:hAnsiTheme="minorEastAsia" w:cstheme="minorEastAsia" w:hint="eastAsia"/>
                <w:b/>
                <w:sz w:val="24"/>
              </w:rPr>
            </w:pPr>
            <w:r w:rsidRPr="00217973">
              <w:rPr>
                <w:rFonts w:asciiTheme="minorEastAsia" w:hAnsiTheme="minorEastAsia" w:cstheme="minorEastAsia" w:hint="eastAsia"/>
                <w:b/>
                <w:sz w:val="24"/>
              </w:rPr>
              <w:t>问题</w:t>
            </w:r>
            <w:r>
              <w:rPr>
                <w:rFonts w:asciiTheme="minorEastAsia" w:hAnsiTheme="minorEastAsia" w:cstheme="minorEastAsia" w:hint="eastAsia"/>
                <w:b/>
                <w:sz w:val="24"/>
              </w:rPr>
              <w:t>7</w:t>
            </w:r>
            <w:r w:rsidRPr="00217973">
              <w:rPr>
                <w:rFonts w:asciiTheme="minorEastAsia" w:hAnsiTheme="minorEastAsia" w:cstheme="minorEastAsia" w:hint="eastAsia"/>
                <w:b/>
                <w:sz w:val="24"/>
              </w:rPr>
              <w:t>：</w:t>
            </w:r>
            <w:r w:rsidR="006E3C09">
              <w:rPr>
                <w:rFonts w:asciiTheme="minorEastAsia" w:hAnsiTheme="minorEastAsia" w:cstheme="minorEastAsia" w:hint="eastAsia"/>
                <w:b/>
                <w:sz w:val="24"/>
              </w:rPr>
              <w:t>公司收入主要来源于</w:t>
            </w:r>
            <w:r w:rsidR="006E3C09" w:rsidRPr="006E3C09">
              <w:rPr>
                <w:rFonts w:asciiTheme="minorEastAsia" w:hAnsiTheme="minorEastAsia" w:cstheme="minorEastAsia" w:hint="eastAsia"/>
                <w:b/>
                <w:sz w:val="24"/>
              </w:rPr>
              <w:t>非临床CRO安全性评价</w:t>
            </w:r>
            <w:r w:rsidR="006E3C09">
              <w:rPr>
                <w:rFonts w:asciiTheme="minorEastAsia" w:hAnsiTheme="minorEastAsia" w:cstheme="minorEastAsia" w:hint="eastAsia"/>
                <w:b/>
                <w:sz w:val="24"/>
              </w:rPr>
              <w:t>业务，该业务板块未来的发展空间如何</w:t>
            </w:r>
            <w:r w:rsidRPr="00217973">
              <w:rPr>
                <w:rFonts w:asciiTheme="minorEastAsia" w:hAnsiTheme="minorEastAsia" w:cstheme="minorEastAsia" w:hint="eastAsia"/>
                <w:b/>
                <w:sz w:val="24"/>
              </w:rPr>
              <w:t>？</w:t>
            </w:r>
          </w:p>
          <w:p w14:paraId="179AA7ED" w14:textId="7D1A27C5" w:rsidR="008D1595" w:rsidRDefault="008D1595" w:rsidP="008D1595">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回答：</w:t>
            </w:r>
            <w:r w:rsidR="00242F86">
              <w:rPr>
                <w:rFonts w:asciiTheme="minorEastAsia" w:hAnsiTheme="minorEastAsia" w:cstheme="minorEastAsia" w:hint="eastAsia"/>
                <w:sz w:val="24"/>
              </w:rPr>
              <w:t>益诺思</w:t>
            </w:r>
            <w:r w:rsidR="00242F86" w:rsidRPr="00242F86">
              <w:rPr>
                <w:rFonts w:asciiTheme="minorEastAsia" w:hAnsiTheme="minorEastAsia" w:cstheme="minorEastAsia" w:hint="eastAsia"/>
                <w:sz w:val="24"/>
              </w:rPr>
              <w:t>作为最早取得国内GLP认证、最早符合国际GLP标准、国内质量管控体系最完备、毒理学研究积累最深厚的机构之一，自公司设立以来一直将非临床安全性评价作为公司的核心支柱业务。近年来，</w:t>
            </w:r>
            <w:r w:rsidR="00242F86">
              <w:rPr>
                <w:rFonts w:asciiTheme="minorEastAsia" w:hAnsiTheme="minorEastAsia" w:cstheme="minorEastAsia" w:hint="eastAsia"/>
                <w:sz w:val="24"/>
              </w:rPr>
              <w:t>公司</w:t>
            </w:r>
            <w:r w:rsidR="00242F86" w:rsidRPr="00242F86">
              <w:rPr>
                <w:rFonts w:asciiTheme="minorEastAsia" w:hAnsiTheme="minorEastAsia" w:cstheme="minorEastAsia" w:hint="eastAsia"/>
                <w:sz w:val="24"/>
              </w:rPr>
              <w:t>把握行业快速发展的机会，依靠自身在安全性评价方面积累的优势和品牌知名度，业务收入大幅增加，</w:t>
            </w:r>
            <w:r w:rsidR="00B0689B" w:rsidRPr="00B0689B">
              <w:rPr>
                <w:rFonts w:asciiTheme="minorEastAsia" w:hAnsiTheme="minorEastAsia" w:cstheme="minorEastAsia" w:hint="eastAsia"/>
                <w:sz w:val="24"/>
              </w:rPr>
              <w:t>根据Frost &amp; Sullivan的统计，2021年度和2022年度</w:t>
            </w:r>
            <w:r w:rsidR="00B0689B">
              <w:rPr>
                <w:rFonts w:asciiTheme="minorEastAsia" w:hAnsiTheme="minorEastAsia" w:cstheme="minorEastAsia" w:hint="eastAsia"/>
                <w:sz w:val="24"/>
              </w:rPr>
              <w:t>公司</w:t>
            </w:r>
            <w:r w:rsidR="00242F86" w:rsidRPr="00242F86">
              <w:rPr>
                <w:rFonts w:asciiTheme="minorEastAsia" w:hAnsiTheme="minorEastAsia" w:cstheme="minorEastAsia" w:hint="eastAsia"/>
                <w:sz w:val="24"/>
              </w:rPr>
              <w:t>已经成为中国境内市场占有率排名第三的非临床安全性评价企业。从2024年全年来看，</w:t>
            </w:r>
            <w:r w:rsidR="00242F86">
              <w:rPr>
                <w:rFonts w:asciiTheme="minorEastAsia" w:hAnsiTheme="minorEastAsia" w:cstheme="minorEastAsia" w:hint="eastAsia"/>
                <w:sz w:val="24"/>
              </w:rPr>
              <w:t>公司</w:t>
            </w:r>
            <w:r w:rsidR="00242F86" w:rsidRPr="00242F86">
              <w:rPr>
                <w:rFonts w:asciiTheme="minorEastAsia" w:hAnsiTheme="minorEastAsia" w:cstheme="minorEastAsia" w:hint="eastAsia"/>
                <w:sz w:val="24"/>
              </w:rPr>
              <w:t>仍将发挥非临床安全性评价龙头企业的优势，扩大市场份额。</w:t>
            </w:r>
            <w:r w:rsidR="00242F86">
              <w:rPr>
                <w:rFonts w:asciiTheme="minorEastAsia" w:hAnsiTheme="minorEastAsia" w:cstheme="minorEastAsia" w:hint="eastAsia"/>
                <w:sz w:val="24"/>
              </w:rPr>
              <w:t>公司</w:t>
            </w:r>
            <w:r w:rsidR="00242F86" w:rsidRPr="00242F86">
              <w:rPr>
                <w:rFonts w:asciiTheme="minorEastAsia" w:hAnsiTheme="minorEastAsia" w:cstheme="minorEastAsia" w:hint="eastAsia"/>
                <w:sz w:val="24"/>
              </w:rPr>
              <w:t>2023年末在手订单金额13.27亿元，2024年上半年新签订单金额较上年同期仍在增长。结合上述在手订单情况和新签订单发展趋势，预计2024年整体的业务量较2023年</w:t>
            </w:r>
            <w:r w:rsidR="00E56442">
              <w:rPr>
                <w:rFonts w:asciiTheme="minorEastAsia" w:hAnsiTheme="minorEastAsia" w:cstheme="minorEastAsia" w:hint="eastAsia"/>
                <w:sz w:val="24"/>
              </w:rPr>
              <w:t>有所</w:t>
            </w:r>
            <w:r w:rsidR="00242F86" w:rsidRPr="00242F86">
              <w:rPr>
                <w:rFonts w:asciiTheme="minorEastAsia" w:hAnsiTheme="minorEastAsia" w:cstheme="minorEastAsia" w:hint="eastAsia"/>
                <w:sz w:val="24"/>
              </w:rPr>
              <w:t>提升</w:t>
            </w:r>
            <w:r w:rsidR="00242F86">
              <w:rPr>
                <w:rFonts w:asciiTheme="minorEastAsia" w:hAnsiTheme="minorEastAsia" w:cstheme="minorEastAsia" w:hint="eastAsia"/>
                <w:sz w:val="24"/>
              </w:rPr>
              <w:t>。</w:t>
            </w:r>
          </w:p>
          <w:p w14:paraId="0FD152E9" w14:textId="01DBDF29" w:rsidR="00041FAD" w:rsidRDefault="00041FAD" w:rsidP="008D1595">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从行业整体来看，头部企业聚集效应尚未体现，未来头部企业的聚集效应将进一步加剧，公司也会进一步延伸产业链条，通过外延式并购</w:t>
            </w:r>
            <w:r w:rsidRPr="00BD2ADF">
              <w:rPr>
                <w:rFonts w:asciiTheme="minorEastAsia" w:hAnsiTheme="minorEastAsia" w:cstheme="minorEastAsia" w:hint="eastAsia"/>
                <w:sz w:val="24"/>
              </w:rPr>
              <w:t>实现业务规模化增长</w:t>
            </w:r>
            <w:r w:rsidR="001054E4">
              <w:rPr>
                <w:rFonts w:asciiTheme="minorEastAsia" w:hAnsiTheme="minorEastAsia" w:cstheme="minorEastAsia" w:hint="eastAsia"/>
                <w:sz w:val="24"/>
              </w:rPr>
              <w:t>，进一步扩大市场份额</w:t>
            </w:r>
            <w:r w:rsidRPr="007E7F6B">
              <w:rPr>
                <w:rFonts w:asciiTheme="minorEastAsia" w:hAnsiTheme="minorEastAsia" w:cstheme="minorEastAsia" w:hint="eastAsia"/>
                <w:sz w:val="24"/>
              </w:rPr>
              <w:t>。</w:t>
            </w:r>
          </w:p>
          <w:p w14:paraId="2328E785" w14:textId="014008D3" w:rsidR="008D1595" w:rsidRPr="00217973" w:rsidRDefault="008D1595" w:rsidP="008D1595">
            <w:pPr>
              <w:spacing w:line="360" w:lineRule="auto"/>
              <w:ind w:firstLineChars="200" w:firstLine="482"/>
              <w:rPr>
                <w:rFonts w:asciiTheme="minorEastAsia" w:hAnsiTheme="minorEastAsia" w:cstheme="minorEastAsia" w:hint="eastAsia"/>
                <w:b/>
                <w:sz w:val="24"/>
              </w:rPr>
            </w:pPr>
            <w:r w:rsidRPr="00217973">
              <w:rPr>
                <w:rFonts w:asciiTheme="minorEastAsia" w:hAnsiTheme="minorEastAsia" w:cstheme="minorEastAsia" w:hint="eastAsia"/>
                <w:b/>
                <w:sz w:val="24"/>
              </w:rPr>
              <w:t>问题</w:t>
            </w:r>
            <w:r>
              <w:rPr>
                <w:rFonts w:asciiTheme="minorEastAsia" w:hAnsiTheme="minorEastAsia" w:cstheme="minorEastAsia" w:hint="eastAsia"/>
                <w:b/>
                <w:sz w:val="24"/>
              </w:rPr>
              <w:t>8</w:t>
            </w:r>
            <w:r w:rsidRPr="00217973">
              <w:rPr>
                <w:rFonts w:asciiTheme="minorEastAsia" w:hAnsiTheme="minorEastAsia" w:cstheme="minorEastAsia" w:hint="eastAsia"/>
                <w:b/>
                <w:sz w:val="24"/>
              </w:rPr>
              <w:t>：</w:t>
            </w:r>
            <w:r w:rsidR="00420D1D">
              <w:rPr>
                <w:rFonts w:asciiTheme="minorEastAsia" w:hAnsiTheme="minorEastAsia" w:cstheme="minorEastAsia" w:hint="eastAsia"/>
                <w:b/>
                <w:sz w:val="24"/>
              </w:rPr>
              <w:t>公司实验用猴的主要供应模式</w:t>
            </w:r>
            <w:r w:rsidRPr="00217973">
              <w:rPr>
                <w:rFonts w:asciiTheme="minorEastAsia" w:hAnsiTheme="minorEastAsia" w:cstheme="minorEastAsia" w:hint="eastAsia"/>
                <w:b/>
                <w:sz w:val="24"/>
              </w:rPr>
              <w:t>？</w:t>
            </w:r>
          </w:p>
          <w:p w14:paraId="4CF2460F" w14:textId="55EA5153" w:rsidR="008D1595" w:rsidRDefault="008D1595" w:rsidP="00420D1D">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回答：</w:t>
            </w:r>
            <w:r w:rsidR="00420D1D" w:rsidRPr="00420D1D">
              <w:rPr>
                <w:rFonts w:asciiTheme="minorEastAsia" w:hAnsiTheme="minorEastAsia" w:cstheme="minorEastAsia" w:hint="eastAsia"/>
                <w:sz w:val="24"/>
              </w:rPr>
              <w:t>公司建立多层次的实验用猴保障体系</w:t>
            </w:r>
            <w:r w:rsidR="00420D1D" w:rsidRPr="00E85FCC">
              <w:rPr>
                <w:rFonts w:asciiTheme="minorEastAsia" w:hAnsiTheme="minorEastAsia" w:cstheme="minorEastAsia" w:hint="eastAsia"/>
                <w:sz w:val="24"/>
              </w:rPr>
              <w:t>，</w:t>
            </w:r>
            <w:r w:rsidR="00E85FCC" w:rsidRPr="00EF0F01">
              <w:rPr>
                <w:rFonts w:hint="eastAsia"/>
                <w:sz w:val="24"/>
              </w:rPr>
              <w:t>根据自身业务需求、市场供需变化采取灵活的采购策略，一方面通过增加实验用猴的采购渠道以加强自身的供应能力，另一方面通过签订长期供货协议和股权合作方式与上游供应商建立长期稳固的合作关系，以保证实验用猴的稳定供应</w:t>
            </w:r>
            <w:r w:rsidR="003D3170">
              <w:rPr>
                <w:rFonts w:hint="eastAsia"/>
                <w:sz w:val="24"/>
              </w:rPr>
              <w:t>；</w:t>
            </w:r>
            <w:r w:rsidR="00E85FCC" w:rsidRPr="00EF0F01">
              <w:rPr>
                <w:rFonts w:hint="eastAsia"/>
                <w:sz w:val="24"/>
              </w:rPr>
              <w:t>此外</w:t>
            </w:r>
            <w:r w:rsidR="00E85FCC">
              <w:rPr>
                <w:rFonts w:hint="eastAsia"/>
                <w:sz w:val="24"/>
              </w:rPr>
              <w:t>，公司</w:t>
            </w:r>
            <w:r w:rsidR="005B38C2" w:rsidRPr="005B38C2">
              <w:rPr>
                <w:rFonts w:hint="eastAsia"/>
                <w:sz w:val="24"/>
              </w:rPr>
              <w:t>于</w:t>
            </w:r>
            <w:r w:rsidR="005B38C2" w:rsidRPr="00361BD2">
              <w:rPr>
                <w:rFonts w:asciiTheme="minorEastAsia" w:hAnsiTheme="minorEastAsia"/>
                <w:sz w:val="24"/>
              </w:rPr>
              <w:t>2021</w:t>
            </w:r>
            <w:r w:rsidR="005B38C2" w:rsidRPr="005B38C2">
              <w:rPr>
                <w:rFonts w:hint="eastAsia"/>
                <w:sz w:val="24"/>
              </w:rPr>
              <w:t>年设立子公司黄山益诺思，主要承担实验动物的繁育和饲养，</w:t>
            </w:r>
            <w:r w:rsidR="003D3170">
              <w:rPr>
                <w:rFonts w:hint="eastAsia"/>
                <w:sz w:val="24"/>
              </w:rPr>
              <w:t>进一步</w:t>
            </w:r>
            <w:r w:rsidR="00E85FCC" w:rsidRPr="00EF0F01">
              <w:rPr>
                <w:rFonts w:hint="eastAsia"/>
                <w:sz w:val="24"/>
              </w:rPr>
              <w:t>加强猴资源战略储备</w:t>
            </w:r>
            <w:r w:rsidR="003D3170">
              <w:rPr>
                <w:rFonts w:hint="eastAsia"/>
                <w:sz w:val="24"/>
              </w:rPr>
              <w:t>，</w:t>
            </w:r>
            <w:r w:rsidR="003D3170" w:rsidRPr="003D3170">
              <w:rPr>
                <w:rFonts w:hint="eastAsia"/>
                <w:sz w:val="24"/>
              </w:rPr>
              <w:t>有效保障开展</w:t>
            </w:r>
            <w:r w:rsidR="003D3170" w:rsidRPr="003D3170">
              <w:rPr>
                <w:rFonts w:hint="eastAsia"/>
                <w:sz w:val="24"/>
              </w:rPr>
              <w:lastRenderedPageBreak/>
              <w:t>业务所需的实验用猴供应。</w:t>
            </w:r>
          </w:p>
          <w:p w14:paraId="4E3A6ED6" w14:textId="15B00AA1" w:rsidR="00BA5E8B" w:rsidRPr="00217973" w:rsidRDefault="00BA5E8B" w:rsidP="00BA5E8B">
            <w:pPr>
              <w:spacing w:line="360" w:lineRule="auto"/>
              <w:ind w:firstLineChars="200" w:firstLine="482"/>
              <w:rPr>
                <w:rFonts w:asciiTheme="minorEastAsia" w:hAnsiTheme="minorEastAsia" w:cstheme="minorEastAsia" w:hint="eastAsia"/>
                <w:b/>
                <w:sz w:val="24"/>
              </w:rPr>
            </w:pPr>
            <w:r w:rsidRPr="00217973">
              <w:rPr>
                <w:rFonts w:asciiTheme="minorEastAsia" w:hAnsiTheme="minorEastAsia" w:cstheme="minorEastAsia" w:hint="eastAsia"/>
                <w:b/>
                <w:sz w:val="24"/>
              </w:rPr>
              <w:t>问题</w:t>
            </w:r>
            <w:r w:rsidR="00184963">
              <w:rPr>
                <w:rFonts w:asciiTheme="minorEastAsia" w:hAnsiTheme="minorEastAsia" w:cstheme="minorEastAsia" w:hint="eastAsia"/>
                <w:b/>
                <w:sz w:val="24"/>
              </w:rPr>
              <w:t>9</w:t>
            </w:r>
            <w:r w:rsidRPr="00217973">
              <w:rPr>
                <w:rFonts w:asciiTheme="minorEastAsia" w:hAnsiTheme="minorEastAsia" w:cstheme="minorEastAsia" w:hint="eastAsia"/>
                <w:b/>
                <w:sz w:val="24"/>
              </w:rPr>
              <w:t>：</w:t>
            </w:r>
            <w:r w:rsidR="00B9490A">
              <w:rPr>
                <w:rFonts w:asciiTheme="minorEastAsia" w:hAnsiTheme="minorEastAsia" w:cstheme="minorEastAsia" w:hint="eastAsia"/>
                <w:b/>
                <w:sz w:val="24"/>
              </w:rPr>
              <w:t>行业价格战对公司毛利率的影响</w:t>
            </w:r>
            <w:r w:rsidRPr="00217973">
              <w:rPr>
                <w:rFonts w:asciiTheme="minorEastAsia" w:hAnsiTheme="minorEastAsia" w:cstheme="minorEastAsia" w:hint="eastAsia"/>
                <w:b/>
                <w:sz w:val="24"/>
              </w:rPr>
              <w:t>？</w:t>
            </w:r>
          </w:p>
          <w:p w14:paraId="5F8693DE" w14:textId="3FD47741" w:rsidR="00420D1D" w:rsidRDefault="00BA5E8B" w:rsidP="00BA5E8B">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回答：</w:t>
            </w:r>
            <w:r w:rsidR="00184963" w:rsidRPr="00184963">
              <w:rPr>
                <w:rFonts w:asciiTheme="minorEastAsia" w:hAnsiTheme="minorEastAsia" w:cstheme="minorEastAsia" w:hint="eastAsia"/>
                <w:sz w:val="24"/>
              </w:rPr>
              <w:t>2023年，CRO行业受投融资热度减弱、医药市场增速不及预期等多方因素影响，行业需求总量虽然仍在增长，但增速有所放缓。同时叠加行业竞争加剧、实验用猴价格下降等因素，</w:t>
            </w:r>
            <w:r w:rsidR="00E85FCC">
              <w:rPr>
                <w:rFonts w:asciiTheme="minorEastAsia" w:hAnsiTheme="minorEastAsia" w:cstheme="minorEastAsia" w:hint="eastAsia"/>
                <w:sz w:val="24"/>
              </w:rPr>
              <w:t>公司</w:t>
            </w:r>
            <w:r w:rsidR="00184963" w:rsidRPr="00184963">
              <w:rPr>
                <w:rFonts w:asciiTheme="minorEastAsia" w:hAnsiTheme="minorEastAsia" w:cstheme="minorEastAsia" w:hint="eastAsia"/>
                <w:sz w:val="24"/>
              </w:rPr>
              <w:t>的新签订单价格自2023年下半年开始有所下降，使得2024年上半年毛利率同比下滑8.23个百分点</w:t>
            </w:r>
            <w:r w:rsidR="00184963">
              <w:rPr>
                <w:rFonts w:asciiTheme="minorEastAsia" w:hAnsiTheme="minorEastAsia" w:cstheme="minorEastAsia" w:hint="eastAsia"/>
                <w:sz w:val="24"/>
              </w:rPr>
              <w:t>。</w:t>
            </w:r>
            <w:r w:rsidR="00184963" w:rsidRPr="00184963">
              <w:rPr>
                <w:rFonts w:asciiTheme="minorEastAsia" w:hAnsiTheme="minorEastAsia" w:cstheme="minorEastAsia" w:hint="eastAsia"/>
                <w:sz w:val="24"/>
              </w:rPr>
              <w:t>但自2024年一季度起，随着优质创新药企业不断拓宽资金来源、政策层面创新药重要性提升等积极因素影响，行业竞争加剧及订单价格下降的态势迎来企稳。基于上述市场环境和自身经营情况，在业务量增长带动下，预计2024年收入仍呈现增长趋势，但受订单价格下降的影响，公司</w:t>
            </w:r>
            <w:r w:rsidR="00184963">
              <w:rPr>
                <w:rFonts w:asciiTheme="minorEastAsia" w:hAnsiTheme="minorEastAsia" w:cstheme="minorEastAsia" w:hint="eastAsia"/>
                <w:sz w:val="24"/>
              </w:rPr>
              <w:t>毛利率短期内承压。</w:t>
            </w:r>
          </w:p>
          <w:p w14:paraId="503014B5" w14:textId="16F309D2" w:rsidR="00F55D37" w:rsidRPr="00217973" w:rsidRDefault="00F55D37" w:rsidP="00F55D37">
            <w:pPr>
              <w:spacing w:line="360" w:lineRule="auto"/>
              <w:ind w:firstLineChars="200" w:firstLine="482"/>
              <w:rPr>
                <w:rFonts w:asciiTheme="minorEastAsia" w:hAnsiTheme="minorEastAsia" w:cstheme="minorEastAsia" w:hint="eastAsia"/>
                <w:b/>
                <w:sz w:val="24"/>
              </w:rPr>
            </w:pPr>
            <w:r w:rsidRPr="00217973">
              <w:rPr>
                <w:rFonts w:asciiTheme="minorEastAsia" w:hAnsiTheme="minorEastAsia" w:cstheme="minorEastAsia" w:hint="eastAsia"/>
                <w:b/>
                <w:sz w:val="24"/>
              </w:rPr>
              <w:t>问题</w:t>
            </w:r>
            <w:r>
              <w:rPr>
                <w:rFonts w:asciiTheme="minorEastAsia" w:hAnsiTheme="minorEastAsia" w:cstheme="minorEastAsia" w:hint="eastAsia"/>
                <w:b/>
                <w:sz w:val="24"/>
              </w:rPr>
              <w:t>9</w:t>
            </w:r>
            <w:r w:rsidRPr="00217973">
              <w:rPr>
                <w:rFonts w:asciiTheme="minorEastAsia" w:hAnsiTheme="minorEastAsia" w:cstheme="minorEastAsia" w:hint="eastAsia"/>
                <w:b/>
                <w:sz w:val="24"/>
              </w:rPr>
              <w:t>：</w:t>
            </w:r>
            <w:r>
              <w:rPr>
                <w:rFonts w:asciiTheme="minorEastAsia" w:hAnsiTheme="minorEastAsia" w:cstheme="minorEastAsia" w:hint="eastAsia"/>
                <w:b/>
                <w:sz w:val="24"/>
              </w:rPr>
              <w:t>公司未来员工激励计划</w:t>
            </w:r>
            <w:r w:rsidRPr="00217973">
              <w:rPr>
                <w:rFonts w:asciiTheme="minorEastAsia" w:hAnsiTheme="minorEastAsia" w:cstheme="minorEastAsia" w:hint="eastAsia"/>
                <w:b/>
                <w:sz w:val="24"/>
              </w:rPr>
              <w:t>？</w:t>
            </w:r>
          </w:p>
          <w:p w14:paraId="574AD0C6" w14:textId="193EC202" w:rsidR="00F55D37" w:rsidRPr="00F55D37" w:rsidRDefault="00F55D37" w:rsidP="00BA5E8B">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回答：未来公司将会根据相关法律要求，择机实施员工股权激励计划。</w:t>
            </w:r>
          </w:p>
        </w:tc>
      </w:tr>
      <w:tr w:rsidR="005577E2" w14:paraId="4F4A2DB4" w14:textId="77777777" w:rsidTr="00361BD2">
        <w:tc>
          <w:tcPr>
            <w:tcW w:w="1702" w:type="dxa"/>
            <w:vAlign w:val="center"/>
          </w:tcPr>
          <w:p w14:paraId="3FAABAFC" w14:textId="77777777" w:rsidR="005577E2" w:rsidRDefault="005577E2">
            <w:pPr>
              <w:spacing w:line="360" w:lineRule="auto"/>
              <w:jc w:val="center"/>
              <w:rPr>
                <w:rFonts w:asciiTheme="minorEastAsia" w:hAnsiTheme="minorEastAsia" w:cstheme="minorEastAsia" w:hint="eastAsia"/>
                <w:b/>
                <w:bCs/>
                <w:sz w:val="24"/>
              </w:rPr>
            </w:pPr>
            <w:r w:rsidRPr="005577E2">
              <w:rPr>
                <w:rFonts w:asciiTheme="minorEastAsia" w:hAnsiTheme="minorEastAsia" w:cstheme="minorEastAsia" w:hint="eastAsia"/>
                <w:b/>
                <w:bCs/>
                <w:sz w:val="24"/>
              </w:rPr>
              <w:lastRenderedPageBreak/>
              <w:t>关于本次活动是否涉及应当披露重大信息的说明</w:t>
            </w:r>
          </w:p>
        </w:tc>
        <w:tc>
          <w:tcPr>
            <w:tcW w:w="7371" w:type="dxa"/>
            <w:vAlign w:val="center"/>
          </w:tcPr>
          <w:p w14:paraId="13D436E2" w14:textId="77777777" w:rsidR="005577E2" w:rsidRDefault="005577E2">
            <w:pPr>
              <w:spacing w:line="360" w:lineRule="auto"/>
              <w:jc w:val="left"/>
              <w:rPr>
                <w:rFonts w:asciiTheme="minorEastAsia" w:hAnsiTheme="minorEastAsia" w:cstheme="minorEastAsia" w:hint="eastAsia"/>
                <w:sz w:val="24"/>
              </w:rPr>
            </w:pPr>
            <w:r>
              <w:rPr>
                <w:rFonts w:asciiTheme="minorEastAsia" w:hAnsiTheme="minorEastAsia" w:cstheme="minorEastAsia" w:hint="eastAsia"/>
                <w:sz w:val="24"/>
              </w:rPr>
              <w:t>不涉及</w:t>
            </w:r>
          </w:p>
        </w:tc>
      </w:tr>
      <w:tr w:rsidR="00AD6378" w14:paraId="2C53F46C" w14:textId="77777777" w:rsidTr="00361BD2">
        <w:tc>
          <w:tcPr>
            <w:tcW w:w="1702" w:type="dxa"/>
            <w:vAlign w:val="center"/>
          </w:tcPr>
          <w:p w14:paraId="6BC835AB" w14:textId="77777777" w:rsidR="00AD6378" w:rsidRDefault="00677B13">
            <w:pPr>
              <w:spacing w:line="360" w:lineRule="auto"/>
              <w:jc w:val="center"/>
              <w:rPr>
                <w:rFonts w:asciiTheme="minorEastAsia" w:hAnsiTheme="minorEastAsia" w:cstheme="minorEastAsia" w:hint="eastAsia"/>
                <w:b/>
                <w:bCs/>
                <w:sz w:val="24"/>
              </w:rPr>
            </w:pPr>
            <w:r>
              <w:rPr>
                <w:rFonts w:asciiTheme="minorEastAsia" w:hAnsiTheme="minorEastAsia" w:cstheme="minorEastAsia" w:hint="eastAsia"/>
                <w:b/>
                <w:bCs/>
                <w:sz w:val="24"/>
              </w:rPr>
              <w:t>附件清单（如有）</w:t>
            </w:r>
          </w:p>
        </w:tc>
        <w:tc>
          <w:tcPr>
            <w:tcW w:w="7371" w:type="dxa"/>
            <w:vAlign w:val="center"/>
          </w:tcPr>
          <w:p w14:paraId="7ABFD4CF" w14:textId="77777777" w:rsidR="00AD6378" w:rsidRDefault="005577E2">
            <w:pPr>
              <w:spacing w:line="360" w:lineRule="auto"/>
              <w:jc w:val="left"/>
              <w:rPr>
                <w:rFonts w:asciiTheme="minorEastAsia" w:hAnsiTheme="minorEastAsia" w:cstheme="minorEastAsia" w:hint="eastAsia"/>
                <w:sz w:val="24"/>
              </w:rPr>
            </w:pPr>
            <w:r>
              <w:rPr>
                <w:rFonts w:asciiTheme="minorEastAsia" w:hAnsiTheme="minorEastAsia" w:cstheme="minorEastAsia" w:hint="eastAsia"/>
                <w:sz w:val="24"/>
              </w:rPr>
              <w:t>无</w:t>
            </w:r>
          </w:p>
        </w:tc>
      </w:tr>
      <w:tr w:rsidR="00AD6378" w14:paraId="41DD93BA" w14:textId="77777777" w:rsidTr="00361BD2">
        <w:tc>
          <w:tcPr>
            <w:tcW w:w="1702" w:type="dxa"/>
            <w:vAlign w:val="center"/>
          </w:tcPr>
          <w:p w14:paraId="2BD4AA61" w14:textId="77777777" w:rsidR="00AD6378" w:rsidRDefault="00677B13">
            <w:pPr>
              <w:spacing w:line="360" w:lineRule="auto"/>
              <w:jc w:val="center"/>
              <w:rPr>
                <w:rFonts w:asciiTheme="minorEastAsia" w:hAnsiTheme="minorEastAsia" w:cstheme="minorEastAsia" w:hint="eastAsia"/>
                <w:b/>
                <w:bCs/>
                <w:sz w:val="24"/>
              </w:rPr>
            </w:pPr>
            <w:r>
              <w:rPr>
                <w:rFonts w:asciiTheme="minorEastAsia" w:hAnsiTheme="minorEastAsia" w:cstheme="minorEastAsia" w:hint="eastAsia"/>
                <w:b/>
                <w:bCs/>
                <w:sz w:val="24"/>
              </w:rPr>
              <w:t>日期</w:t>
            </w:r>
          </w:p>
        </w:tc>
        <w:tc>
          <w:tcPr>
            <w:tcW w:w="7371" w:type="dxa"/>
          </w:tcPr>
          <w:p w14:paraId="1899083C" w14:textId="772F0D64" w:rsidR="00AD6378" w:rsidRDefault="00CD007C" w:rsidP="005577E2">
            <w:pPr>
              <w:spacing w:line="360" w:lineRule="auto"/>
              <w:jc w:val="left"/>
              <w:rPr>
                <w:rFonts w:asciiTheme="minorEastAsia" w:hAnsiTheme="minorEastAsia" w:cstheme="minorEastAsia" w:hint="eastAsia"/>
                <w:sz w:val="24"/>
              </w:rPr>
            </w:pPr>
            <w:r>
              <w:rPr>
                <w:rFonts w:asciiTheme="minorEastAsia" w:hAnsiTheme="minorEastAsia" w:cstheme="minorEastAsia" w:hint="eastAsia"/>
                <w:sz w:val="24"/>
              </w:rPr>
              <w:t>202</w:t>
            </w:r>
            <w:r w:rsidR="005577E2">
              <w:rPr>
                <w:rFonts w:asciiTheme="minorEastAsia" w:hAnsiTheme="minorEastAsia" w:cstheme="minorEastAsia"/>
                <w:sz w:val="24"/>
              </w:rPr>
              <w:t>4</w:t>
            </w:r>
            <w:r>
              <w:rPr>
                <w:rFonts w:asciiTheme="minorEastAsia" w:hAnsiTheme="minorEastAsia" w:cstheme="minorEastAsia" w:hint="eastAsia"/>
                <w:sz w:val="24"/>
              </w:rPr>
              <w:t>年</w:t>
            </w:r>
            <w:r w:rsidR="007317EB">
              <w:rPr>
                <w:rFonts w:asciiTheme="minorEastAsia" w:hAnsiTheme="minorEastAsia" w:cstheme="minorEastAsia" w:hint="eastAsia"/>
                <w:sz w:val="24"/>
              </w:rPr>
              <w:t>9</w:t>
            </w:r>
            <w:r>
              <w:rPr>
                <w:rFonts w:asciiTheme="minorEastAsia" w:hAnsiTheme="minorEastAsia" w:cstheme="minorEastAsia" w:hint="eastAsia"/>
                <w:sz w:val="24"/>
              </w:rPr>
              <w:t>月</w:t>
            </w:r>
            <w:r w:rsidR="007317EB">
              <w:rPr>
                <w:rFonts w:asciiTheme="minorEastAsia" w:hAnsiTheme="minorEastAsia" w:cstheme="minorEastAsia" w:hint="eastAsia"/>
                <w:sz w:val="24"/>
              </w:rPr>
              <w:t>1</w:t>
            </w:r>
            <w:r w:rsidR="005577E2">
              <w:rPr>
                <w:rFonts w:asciiTheme="minorEastAsia" w:hAnsiTheme="minorEastAsia" w:cstheme="minorEastAsia"/>
                <w:sz w:val="24"/>
              </w:rPr>
              <w:t>3</w:t>
            </w:r>
            <w:r>
              <w:rPr>
                <w:rFonts w:asciiTheme="minorEastAsia" w:hAnsiTheme="minorEastAsia" w:cstheme="minorEastAsia" w:hint="eastAsia"/>
                <w:sz w:val="24"/>
              </w:rPr>
              <w:t>日</w:t>
            </w:r>
          </w:p>
        </w:tc>
      </w:tr>
    </w:tbl>
    <w:p w14:paraId="6C792DAB" w14:textId="77777777" w:rsidR="00AD6378" w:rsidRDefault="00AD6378" w:rsidP="00D14E71">
      <w:pPr>
        <w:spacing w:line="360" w:lineRule="auto"/>
        <w:jc w:val="left"/>
        <w:rPr>
          <w:rFonts w:asciiTheme="minorEastAsia" w:hAnsiTheme="minorEastAsia" w:cstheme="minorEastAsia" w:hint="eastAsia"/>
          <w:sz w:val="24"/>
        </w:rPr>
      </w:pPr>
    </w:p>
    <w:sectPr w:rsidR="00AD6378" w:rsidSect="00AD63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59965" w14:textId="77777777" w:rsidR="00AD6BB7" w:rsidRDefault="00AD6BB7" w:rsidP="00395B07">
      <w:r>
        <w:separator/>
      </w:r>
    </w:p>
  </w:endnote>
  <w:endnote w:type="continuationSeparator" w:id="0">
    <w:p w14:paraId="5B5D1D3B" w14:textId="77777777" w:rsidR="00AD6BB7" w:rsidRDefault="00AD6BB7" w:rsidP="00395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95A7A" w14:textId="77777777" w:rsidR="00AD6BB7" w:rsidRDefault="00AD6BB7" w:rsidP="00395B07">
      <w:r>
        <w:separator/>
      </w:r>
    </w:p>
  </w:footnote>
  <w:footnote w:type="continuationSeparator" w:id="0">
    <w:p w14:paraId="1320559D" w14:textId="77777777" w:rsidR="00AD6BB7" w:rsidRDefault="00AD6BB7" w:rsidP="00395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6CA4BA"/>
    <w:multiLevelType w:val="singleLevel"/>
    <w:tmpl w:val="5C6CA4BA"/>
    <w:lvl w:ilvl="0">
      <w:start w:val="1"/>
      <w:numFmt w:val="decimal"/>
      <w:suff w:val="nothing"/>
      <w:lvlText w:val="%1、"/>
      <w:lvlJc w:val="left"/>
    </w:lvl>
  </w:abstractNum>
  <w:abstractNum w:abstractNumId="1" w15:restartNumberingAfterBreak="0">
    <w:nsid w:val="5C6CADE8"/>
    <w:multiLevelType w:val="singleLevel"/>
    <w:tmpl w:val="5C6CADE8"/>
    <w:lvl w:ilvl="0">
      <w:start w:val="1"/>
      <w:numFmt w:val="chineseCounting"/>
      <w:suff w:val="nothing"/>
      <w:lvlText w:val="（%1）"/>
      <w:lvlJc w:val="left"/>
    </w:lvl>
  </w:abstractNum>
  <w:abstractNum w:abstractNumId="2" w15:restartNumberingAfterBreak="0">
    <w:nsid w:val="6F7F395A"/>
    <w:multiLevelType w:val="hybridMultilevel"/>
    <w:tmpl w:val="A280AF08"/>
    <w:lvl w:ilvl="0" w:tplc="DD9C240A">
      <w:start w:val="1"/>
      <w:numFmt w:val="chineseCountingThousand"/>
      <w:suff w:val="nothing"/>
      <w:lvlText w:val="%1、"/>
      <w:lvlJc w:val="left"/>
      <w:pPr>
        <w:ind w:left="480" w:hanging="480"/>
      </w:pPr>
      <w:rPr>
        <w:rFonts w:hint="default"/>
      </w:rPr>
    </w:lvl>
    <w:lvl w:ilvl="1" w:tplc="04209AA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35666904">
    <w:abstractNumId w:val="0"/>
  </w:num>
  <w:num w:numId="2" w16cid:durableId="1692343459">
    <w:abstractNumId w:val="1"/>
  </w:num>
  <w:num w:numId="3" w16cid:durableId="717439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925307"/>
    <w:rsid w:val="00000214"/>
    <w:rsid w:val="00001934"/>
    <w:rsid w:val="000077BA"/>
    <w:rsid w:val="00011EA9"/>
    <w:rsid w:val="00025D3C"/>
    <w:rsid w:val="0003421C"/>
    <w:rsid w:val="00041619"/>
    <w:rsid w:val="00041FAD"/>
    <w:rsid w:val="000476FC"/>
    <w:rsid w:val="000B2262"/>
    <w:rsid w:val="000C2DB5"/>
    <w:rsid w:val="000F27A4"/>
    <w:rsid w:val="000F41C2"/>
    <w:rsid w:val="001054E4"/>
    <w:rsid w:val="00110A1F"/>
    <w:rsid w:val="00111D03"/>
    <w:rsid w:val="00116B28"/>
    <w:rsid w:val="00157C0F"/>
    <w:rsid w:val="00176547"/>
    <w:rsid w:val="00184963"/>
    <w:rsid w:val="00187F5C"/>
    <w:rsid w:val="0019380C"/>
    <w:rsid w:val="001A3EF1"/>
    <w:rsid w:val="001D14DB"/>
    <w:rsid w:val="002047FA"/>
    <w:rsid w:val="00213689"/>
    <w:rsid w:val="00213809"/>
    <w:rsid w:val="00217973"/>
    <w:rsid w:val="00224305"/>
    <w:rsid w:val="00232B2B"/>
    <w:rsid w:val="002414DE"/>
    <w:rsid w:val="00242F86"/>
    <w:rsid w:val="0024605B"/>
    <w:rsid w:val="00286B8A"/>
    <w:rsid w:val="00292196"/>
    <w:rsid w:val="002969CC"/>
    <w:rsid w:val="002D335F"/>
    <w:rsid w:val="00352EC4"/>
    <w:rsid w:val="00361BD2"/>
    <w:rsid w:val="00364E2F"/>
    <w:rsid w:val="00365EBC"/>
    <w:rsid w:val="00371006"/>
    <w:rsid w:val="0039585C"/>
    <w:rsid w:val="00395B07"/>
    <w:rsid w:val="003A48B4"/>
    <w:rsid w:val="003B509E"/>
    <w:rsid w:val="003B5C95"/>
    <w:rsid w:val="003B6836"/>
    <w:rsid w:val="003C4DD3"/>
    <w:rsid w:val="003D3170"/>
    <w:rsid w:val="003D739B"/>
    <w:rsid w:val="00404ACD"/>
    <w:rsid w:val="00412EDF"/>
    <w:rsid w:val="004134C0"/>
    <w:rsid w:val="00420D1D"/>
    <w:rsid w:val="00427188"/>
    <w:rsid w:val="00437DB6"/>
    <w:rsid w:val="00440942"/>
    <w:rsid w:val="00442704"/>
    <w:rsid w:val="00447385"/>
    <w:rsid w:val="004C08EF"/>
    <w:rsid w:val="004C0EF1"/>
    <w:rsid w:val="004C3778"/>
    <w:rsid w:val="004D5E92"/>
    <w:rsid w:val="004E152B"/>
    <w:rsid w:val="005018F5"/>
    <w:rsid w:val="0051239D"/>
    <w:rsid w:val="00517BBF"/>
    <w:rsid w:val="00526588"/>
    <w:rsid w:val="00542004"/>
    <w:rsid w:val="005577E2"/>
    <w:rsid w:val="005617C6"/>
    <w:rsid w:val="005B27E3"/>
    <w:rsid w:val="005B38C2"/>
    <w:rsid w:val="005C72F7"/>
    <w:rsid w:val="005F2C60"/>
    <w:rsid w:val="005F5F9C"/>
    <w:rsid w:val="00607442"/>
    <w:rsid w:val="00614559"/>
    <w:rsid w:val="006304AA"/>
    <w:rsid w:val="00637CE5"/>
    <w:rsid w:val="006509EB"/>
    <w:rsid w:val="006745E1"/>
    <w:rsid w:val="006760E0"/>
    <w:rsid w:val="00677B13"/>
    <w:rsid w:val="006B7D34"/>
    <w:rsid w:val="006C1259"/>
    <w:rsid w:val="006D41A6"/>
    <w:rsid w:val="006E3C09"/>
    <w:rsid w:val="006F2406"/>
    <w:rsid w:val="00703746"/>
    <w:rsid w:val="00706601"/>
    <w:rsid w:val="00721D19"/>
    <w:rsid w:val="00730443"/>
    <w:rsid w:val="007317EB"/>
    <w:rsid w:val="0078252C"/>
    <w:rsid w:val="007E7F6B"/>
    <w:rsid w:val="00804E6A"/>
    <w:rsid w:val="00854F9D"/>
    <w:rsid w:val="0085688D"/>
    <w:rsid w:val="00882942"/>
    <w:rsid w:val="008A3320"/>
    <w:rsid w:val="008A4E26"/>
    <w:rsid w:val="008B3104"/>
    <w:rsid w:val="008D1595"/>
    <w:rsid w:val="008E69B0"/>
    <w:rsid w:val="009726BC"/>
    <w:rsid w:val="00974391"/>
    <w:rsid w:val="00974D8A"/>
    <w:rsid w:val="00993AFE"/>
    <w:rsid w:val="00993C03"/>
    <w:rsid w:val="009D0E48"/>
    <w:rsid w:val="009F7524"/>
    <w:rsid w:val="00A02B1F"/>
    <w:rsid w:val="00A04EF6"/>
    <w:rsid w:val="00A060A5"/>
    <w:rsid w:val="00A1647E"/>
    <w:rsid w:val="00A31B38"/>
    <w:rsid w:val="00A43B99"/>
    <w:rsid w:val="00A943EC"/>
    <w:rsid w:val="00AD074B"/>
    <w:rsid w:val="00AD6378"/>
    <w:rsid w:val="00AD6BB7"/>
    <w:rsid w:val="00B0689B"/>
    <w:rsid w:val="00B61822"/>
    <w:rsid w:val="00B9478C"/>
    <w:rsid w:val="00B9490A"/>
    <w:rsid w:val="00BA5E8B"/>
    <w:rsid w:val="00BB6EB2"/>
    <w:rsid w:val="00BD2ADF"/>
    <w:rsid w:val="00BD5D30"/>
    <w:rsid w:val="00BE35EA"/>
    <w:rsid w:val="00C02C75"/>
    <w:rsid w:val="00C32DA1"/>
    <w:rsid w:val="00C468EA"/>
    <w:rsid w:val="00C83BD6"/>
    <w:rsid w:val="00C85CCE"/>
    <w:rsid w:val="00CD007C"/>
    <w:rsid w:val="00CD6D63"/>
    <w:rsid w:val="00CF1FBF"/>
    <w:rsid w:val="00D04AEC"/>
    <w:rsid w:val="00D1066A"/>
    <w:rsid w:val="00D14E71"/>
    <w:rsid w:val="00D41160"/>
    <w:rsid w:val="00D41880"/>
    <w:rsid w:val="00D50CFB"/>
    <w:rsid w:val="00D67E47"/>
    <w:rsid w:val="00D75223"/>
    <w:rsid w:val="00D920EE"/>
    <w:rsid w:val="00D95AD6"/>
    <w:rsid w:val="00D96535"/>
    <w:rsid w:val="00DC1610"/>
    <w:rsid w:val="00DE2DFE"/>
    <w:rsid w:val="00DF13FE"/>
    <w:rsid w:val="00E012BC"/>
    <w:rsid w:val="00E138D3"/>
    <w:rsid w:val="00E22595"/>
    <w:rsid w:val="00E4207A"/>
    <w:rsid w:val="00E50816"/>
    <w:rsid w:val="00E56442"/>
    <w:rsid w:val="00E642DF"/>
    <w:rsid w:val="00E65B0C"/>
    <w:rsid w:val="00E75EEB"/>
    <w:rsid w:val="00E821AF"/>
    <w:rsid w:val="00E83EC9"/>
    <w:rsid w:val="00E85FCC"/>
    <w:rsid w:val="00E8666F"/>
    <w:rsid w:val="00EC182F"/>
    <w:rsid w:val="00EF0F01"/>
    <w:rsid w:val="00F10742"/>
    <w:rsid w:val="00F16440"/>
    <w:rsid w:val="00F54F32"/>
    <w:rsid w:val="00F55D37"/>
    <w:rsid w:val="00F771C0"/>
    <w:rsid w:val="00F83DCD"/>
    <w:rsid w:val="00FC0226"/>
    <w:rsid w:val="00FD23B4"/>
    <w:rsid w:val="00FD68DC"/>
    <w:rsid w:val="00FE6CE6"/>
    <w:rsid w:val="00FF119B"/>
    <w:rsid w:val="07925307"/>
    <w:rsid w:val="13212F13"/>
    <w:rsid w:val="21D7269D"/>
    <w:rsid w:val="27BC58CB"/>
    <w:rsid w:val="51616419"/>
    <w:rsid w:val="55555A92"/>
    <w:rsid w:val="6FF70C4D"/>
    <w:rsid w:val="72235C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AE8DC"/>
  <w15:docId w15:val="{75FA0FF1-EEFD-43F5-860A-8A8714900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63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AD63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95B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395B07"/>
    <w:rPr>
      <w:kern w:val="2"/>
      <w:sz w:val="18"/>
      <w:szCs w:val="18"/>
    </w:rPr>
  </w:style>
  <w:style w:type="paragraph" w:styleId="a6">
    <w:name w:val="footer"/>
    <w:basedOn w:val="a"/>
    <w:link w:val="a7"/>
    <w:rsid w:val="00395B07"/>
    <w:pPr>
      <w:tabs>
        <w:tab w:val="center" w:pos="4153"/>
        <w:tab w:val="right" w:pos="8306"/>
      </w:tabs>
      <w:snapToGrid w:val="0"/>
      <w:jc w:val="left"/>
    </w:pPr>
    <w:rPr>
      <w:sz w:val="18"/>
      <w:szCs w:val="18"/>
    </w:rPr>
  </w:style>
  <w:style w:type="character" w:customStyle="1" w:styleId="a7">
    <w:name w:val="页脚 字符"/>
    <w:basedOn w:val="a0"/>
    <w:link w:val="a6"/>
    <w:rsid w:val="00395B07"/>
    <w:rPr>
      <w:kern w:val="2"/>
      <w:sz w:val="18"/>
      <w:szCs w:val="18"/>
    </w:rPr>
  </w:style>
  <w:style w:type="paragraph" w:styleId="a8">
    <w:name w:val="List Paragraph"/>
    <w:basedOn w:val="a"/>
    <w:uiPriority w:val="99"/>
    <w:unhideWhenUsed/>
    <w:rsid w:val="00AD074B"/>
    <w:pPr>
      <w:ind w:firstLineChars="200" w:firstLine="420"/>
    </w:pPr>
  </w:style>
  <w:style w:type="paragraph" w:styleId="a9">
    <w:name w:val="Balloon Text"/>
    <w:basedOn w:val="a"/>
    <w:link w:val="aa"/>
    <w:semiHidden/>
    <w:unhideWhenUsed/>
    <w:rsid w:val="00217973"/>
    <w:rPr>
      <w:sz w:val="18"/>
      <w:szCs w:val="18"/>
    </w:rPr>
  </w:style>
  <w:style w:type="character" w:customStyle="1" w:styleId="aa">
    <w:name w:val="批注框文本 字符"/>
    <w:basedOn w:val="a0"/>
    <w:link w:val="a9"/>
    <w:semiHidden/>
    <w:rsid w:val="00217973"/>
    <w:rPr>
      <w:kern w:val="2"/>
      <w:sz w:val="18"/>
      <w:szCs w:val="18"/>
    </w:rPr>
  </w:style>
  <w:style w:type="character" w:styleId="ab">
    <w:name w:val="annotation reference"/>
    <w:basedOn w:val="a0"/>
    <w:semiHidden/>
    <w:unhideWhenUsed/>
    <w:rsid w:val="001A3EF1"/>
    <w:rPr>
      <w:sz w:val="21"/>
      <w:szCs w:val="21"/>
    </w:rPr>
  </w:style>
  <w:style w:type="paragraph" w:styleId="ac">
    <w:name w:val="annotation text"/>
    <w:basedOn w:val="a"/>
    <w:link w:val="ad"/>
    <w:semiHidden/>
    <w:unhideWhenUsed/>
    <w:rsid w:val="001A3EF1"/>
    <w:pPr>
      <w:jc w:val="left"/>
    </w:pPr>
  </w:style>
  <w:style w:type="character" w:customStyle="1" w:styleId="ad">
    <w:name w:val="批注文字 字符"/>
    <w:basedOn w:val="a0"/>
    <w:link w:val="ac"/>
    <w:semiHidden/>
    <w:rsid w:val="001A3EF1"/>
    <w:rPr>
      <w:kern w:val="2"/>
      <w:sz w:val="21"/>
      <w:szCs w:val="24"/>
    </w:rPr>
  </w:style>
  <w:style w:type="paragraph" w:styleId="ae">
    <w:name w:val="annotation subject"/>
    <w:basedOn w:val="ac"/>
    <w:next w:val="ac"/>
    <w:link w:val="af"/>
    <w:semiHidden/>
    <w:unhideWhenUsed/>
    <w:rsid w:val="001A3EF1"/>
    <w:rPr>
      <w:b/>
      <w:bCs/>
    </w:rPr>
  </w:style>
  <w:style w:type="character" w:customStyle="1" w:styleId="af">
    <w:name w:val="批注主题 字符"/>
    <w:basedOn w:val="ad"/>
    <w:link w:val="ae"/>
    <w:semiHidden/>
    <w:rsid w:val="001A3EF1"/>
    <w:rPr>
      <w:b/>
      <w:bCs/>
      <w:kern w:val="2"/>
      <w:sz w:val="21"/>
      <w:szCs w:val="24"/>
    </w:rPr>
  </w:style>
  <w:style w:type="paragraph" w:styleId="af0">
    <w:name w:val="Revision"/>
    <w:hidden/>
    <w:uiPriority w:val="99"/>
    <w:unhideWhenUsed/>
    <w:rsid w:val="00993C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527</Words>
  <Characters>3004</Characters>
  <Application>Microsoft Office Word</Application>
  <DocSecurity>0</DocSecurity>
  <Lines>25</Lines>
  <Paragraphs>7</Paragraphs>
  <ScaleCrop>false</ScaleCrop>
  <Company>1111</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白雪</cp:lastModifiedBy>
  <cp:revision>6</cp:revision>
  <cp:lastPrinted>2024-09-18T07:39:00Z</cp:lastPrinted>
  <dcterms:created xsi:type="dcterms:W3CDTF">2024-09-18T07:39:00Z</dcterms:created>
  <dcterms:modified xsi:type="dcterms:W3CDTF">2024-09-18T10:02:00Z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