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5204" w14:textId="45E238CA" w:rsidR="006F1051" w:rsidRPr="006B5070" w:rsidRDefault="00A6660A" w:rsidP="0090296B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B5070">
        <w:rPr>
          <w:rFonts w:ascii="Times New Roman" w:eastAsia="宋体" w:hAnsi="Times New Roman" w:cs="Times New Roman"/>
          <w:sz w:val="24"/>
          <w:szCs w:val="24"/>
        </w:rPr>
        <w:t>证券代码：</w:t>
      </w:r>
      <w:r w:rsidRPr="006B5070">
        <w:rPr>
          <w:rFonts w:ascii="Times New Roman" w:eastAsia="宋体" w:hAnsi="Times New Roman" w:cs="Times New Roman"/>
          <w:sz w:val="24"/>
          <w:szCs w:val="24"/>
        </w:rPr>
        <w:t xml:space="preserve">688020                </w:t>
      </w:r>
      <w:r w:rsidR="0090296B" w:rsidRPr="006B507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6B5070"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Pr="006B5070">
        <w:rPr>
          <w:rFonts w:ascii="Times New Roman" w:eastAsia="宋体" w:hAnsi="Times New Roman" w:cs="Times New Roman"/>
          <w:sz w:val="24"/>
          <w:szCs w:val="24"/>
        </w:rPr>
        <w:t>证券简称：方邦股份</w:t>
      </w:r>
    </w:p>
    <w:p w14:paraId="714B6441" w14:textId="77777777" w:rsidR="006F1051" w:rsidRPr="006B5070" w:rsidRDefault="00A6660A">
      <w:pPr>
        <w:spacing w:beforeLines="100" w:before="312" w:line="360" w:lineRule="auto"/>
        <w:jc w:val="center"/>
        <w:rPr>
          <w:rFonts w:ascii="Times New Roman" w:eastAsia="黑体" w:hAnsi="Times New Roman" w:cs="Times New Roman"/>
          <w:b/>
          <w:color w:val="FF0000"/>
          <w:sz w:val="36"/>
          <w:szCs w:val="36"/>
        </w:rPr>
      </w:pPr>
      <w:r w:rsidRPr="006B5070">
        <w:rPr>
          <w:rFonts w:ascii="Times New Roman" w:eastAsia="黑体" w:hAnsi="Times New Roman" w:cs="Times New Roman"/>
          <w:b/>
          <w:color w:val="FF0000"/>
          <w:sz w:val="36"/>
          <w:szCs w:val="36"/>
        </w:rPr>
        <w:t>广州方邦电子股份有限公司</w:t>
      </w:r>
    </w:p>
    <w:p w14:paraId="7451F4AA" w14:textId="77777777" w:rsidR="006F1051" w:rsidRPr="006B5070" w:rsidRDefault="00A6660A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color w:val="FF0000"/>
          <w:sz w:val="36"/>
          <w:szCs w:val="36"/>
        </w:rPr>
      </w:pPr>
      <w:r w:rsidRPr="006B5070">
        <w:rPr>
          <w:rFonts w:ascii="Times New Roman" w:eastAsia="黑体" w:hAnsi="Times New Roman" w:cs="Times New Roman"/>
          <w:b/>
          <w:color w:val="FF0000"/>
          <w:sz w:val="36"/>
          <w:szCs w:val="36"/>
        </w:rPr>
        <w:t>投资者关系活动记录表</w:t>
      </w:r>
    </w:p>
    <w:p w14:paraId="0724230F" w14:textId="4FBAD9BC" w:rsidR="006F1051" w:rsidRPr="006B5070" w:rsidRDefault="00A6660A">
      <w:pPr>
        <w:spacing w:line="400" w:lineRule="exact"/>
        <w:ind w:firstLineChars="150" w:firstLine="360"/>
        <w:jc w:val="right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编号：</w:t>
      </w: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202</w:t>
      </w:r>
      <w:r w:rsidR="00DF1677"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4</w:t>
      </w: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-00</w:t>
      </w:r>
      <w:r w:rsidR="000E397E">
        <w:rPr>
          <w:rFonts w:ascii="Times New Roman" w:eastAsia="宋体" w:hAnsi="Times New Roman" w:cs="Times New Roman"/>
          <w:bCs/>
          <w:iCs/>
          <w:color w:val="000000"/>
          <w:sz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6F1051" w:rsidRPr="006B5070" w14:paraId="61643B82" w14:textId="77777777">
        <w:trPr>
          <w:trHeight w:val="243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F53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176" w14:textId="2333319A" w:rsidR="006F1051" w:rsidRPr="006B5070" w:rsidRDefault="00DF1677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203434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3997B916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0CA443D5" w14:textId="27401A04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DF1677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14CAF6C2" w14:textId="168099D0" w:rsidR="006F1051" w:rsidRPr="006B5070" w:rsidRDefault="00CE114D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■</w:t>
            </w:r>
            <w:r w:rsidR="00A6660A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</w:p>
          <w:p w14:paraId="496922AE" w14:textId="35597CD9" w:rsidR="006F1051" w:rsidRPr="006B5070" w:rsidRDefault="00CE114D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F1051" w:rsidRPr="006B5070" w14:paraId="639DF0BA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E34F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参与单位名称及参与人姓名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0873" w14:textId="4A56590B" w:rsidR="006F1051" w:rsidRPr="006B5070" w:rsidRDefault="00FB51B6" w:rsidP="00FB51B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东方财富、中信证券、海南华银天夏、</w:t>
            </w:r>
            <w:r w:rsidR="002771B8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瑞民投资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、善一产业投资、长牛投资、冠丰私募、小松私募、圆石投资、博众投资、前海久银投资、天融资本等</w:t>
            </w:r>
          </w:p>
        </w:tc>
      </w:tr>
      <w:tr w:rsidR="006F1051" w:rsidRPr="006B5070" w14:paraId="705ABCCF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FE51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EBB" w14:textId="21A212CA" w:rsidR="006F1051" w:rsidRPr="006B5070" w:rsidRDefault="00A6660A" w:rsidP="006B231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</w:t>
            </w:r>
            <w:r w:rsidR="00DF1677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4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 w:rsidR="002379AC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9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 w:rsidR="004E2FF2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1</w:t>
            </w:r>
            <w:r w:rsidR="004E2FF2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9</w:t>
            </w:r>
            <w:r w:rsidR="006B2311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6F1051" w:rsidRPr="006B5070" w14:paraId="3D78F1FB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3B39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D471" w14:textId="5D00AB98" w:rsidR="006F1051" w:rsidRPr="006B5070" w:rsidRDefault="000B0B0A" w:rsidP="006B231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公司</w:t>
            </w:r>
            <w:r w:rsidR="004E2FF2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展厅、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会议室</w:t>
            </w:r>
          </w:p>
        </w:tc>
      </w:tr>
      <w:tr w:rsidR="006F1051" w:rsidRPr="006B5070" w14:paraId="36A34434" w14:textId="77777777">
        <w:trPr>
          <w:trHeight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F8A2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3F82" w14:textId="0ACD630C" w:rsidR="00720EB8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董事会秘书：王作凯</w:t>
            </w:r>
          </w:p>
        </w:tc>
      </w:tr>
      <w:tr w:rsidR="006F1051" w:rsidRPr="006B5070" w14:paraId="1B6FF379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60E6" w14:textId="77777777" w:rsidR="006F1051" w:rsidRPr="006B5070" w:rsidRDefault="00A6660A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投资者关系活动主要内容介绍</w:t>
            </w:r>
          </w:p>
          <w:p w14:paraId="2E9E2183" w14:textId="77777777" w:rsidR="006F1051" w:rsidRPr="006B5070" w:rsidRDefault="006F1051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48FC" w14:textId="7D9E580E" w:rsidR="00645798" w:rsidRPr="006B5070" w:rsidRDefault="00645798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一、</w:t>
            </w:r>
            <w:r w:rsidR="007A3C09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对今年电磁屏蔽膜业务有何展望</w:t>
            </w:r>
            <w:r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？</w:t>
            </w:r>
            <w:r w:rsidR="004E2F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贵司的电磁屏蔽产品有用于华为</w:t>
            </w:r>
            <w:r w:rsidR="00381A4A" w:rsidRPr="00381A4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等</w:t>
            </w:r>
            <w:r w:rsidR="004E2F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终端旗舰机型</w:t>
            </w:r>
            <w:r w:rsidR="00381A4A" w:rsidRPr="00381A4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上吗？</w:t>
            </w:r>
          </w:p>
          <w:p w14:paraId="125D8921" w14:textId="3E57CF4A" w:rsidR="00645798" w:rsidRPr="00081D5A" w:rsidRDefault="007A3C09" w:rsidP="00081D5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根据信通院、</w:t>
            </w:r>
            <w:r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IDC</w:t>
            </w:r>
            <w:r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等市场相关第三方机构发布的数据，今年上半年国内、全球手机出货情况持续回暖，叠加公司</w:t>
            </w:r>
            <w:r w:rsidR="00BE2342"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成功取得相关头部</w:t>
            </w:r>
            <w:r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手机终端最新旗舰机型</w:t>
            </w:r>
            <w:r w:rsidR="00BE2342"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的屏蔽膜主供应商资格，</w:t>
            </w:r>
            <w:r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我们预计公司屏蔽膜业务今年将实现较好增长</w:t>
            </w:r>
            <w:r w:rsidR="00645798" w:rsidRPr="006B507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。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与此同时，公司密切关注新客户、新领域的技术发展趋势，如柔性屏蔽罩、折叠屏手机要求电磁屏蔽膜更薄、更耐弯折，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手机的高算力性能引发手机内部明显的散热问题，要求电磁屏蔽膜在屏蔽功能的基础上承担部分散热功能等，持续迭代升级产品性能，以新产品、新解决方案缩短客户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等待期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E2342" w:rsidRPr="006B5070">
              <w:rPr>
                <w:rFonts w:ascii="Times New Roman" w:hAnsi="Times New Roman" w:cs="Times New Roman"/>
                <w:sz w:val="24"/>
                <w:szCs w:val="24"/>
              </w:rPr>
              <w:t>，争取实现增量突破。</w:t>
            </w:r>
          </w:p>
          <w:p w14:paraId="03785CC9" w14:textId="19F4343F" w:rsidR="006F1051" w:rsidRPr="006B5070" w:rsidRDefault="00645798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lastRenderedPageBreak/>
              <w:t>二</w:t>
            </w:r>
            <w:r w:rsidR="00A6660A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、请介绍</w:t>
            </w:r>
            <w:r w:rsidR="00BE2342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公司相关新产品的进展情况</w:t>
            </w:r>
            <w:r w:rsidR="004E2FF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。</w:t>
            </w:r>
          </w:p>
          <w:p w14:paraId="58B89C05" w14:textId="21D55403" w:rsidR="002B20C2" w:rsidRPr="006B5070" w:rsidRDefault="00BE234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关于带载体可剥离超薄铜箔，从去年三季度至今，陆续通过相关载板厂及终端认证，持续获得</w:t>
            </w:r>
            <w:r w:rsidR="00555D12">
              <w:rPr>
                <w:rFonts w:ascii="Times New Roman" w:eastAsia="宋体" w:hAnsi="Times New Roman" w:cs="Times New Roman"/>
                <w:sz w:val="24"/>
                <w:szCs w:val="24"/>
              </w:rPr>
              <w:t>小批量订单；预计今年</w:t>
            </w:r>
            <w:r w:rsidR="004E2FF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下半年</w:t>
            </w:r>
            <w:r w:rsidR="004E2FF2">
              <w:rPr>
                <w:rFonts w:ascii="Times New Roman" w:eastAsia="宋体" w:hAnsi="Times New Roman" w:cs="Times New Roman"/>
                <w:sz w:val="24"/>
                <w:szCs w:val="24"/>
              </w:rPr>
              <w:t>通过</w:t>
            </w:r>
            <w:r w:rsidR="004E2FF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部分</w:t>
            </w:r>
            <w:r w:rsidR="00555D12">
              <w:rPr>
                <w:rFonts w:ascii="Times New Roman" w:eastAsia="宋体" w:hAnsi="Times New Roman" w:cs="Times New Roman"/>
                <w:sz w:val="24"/>
                <w:szCs w:val="24"/>
              </w:rPr>
              <w:t>下游的量产认证和审厂工作</w:t>
            </w:r>
            <w:r w:rsidR="00555D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4E2FF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有望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推动订单进一步上量；</w:t>
            </w:r>
          </w:p>
          <w:p w14:paraId="202E8B5B" w14:textId="21B96431" w:rsidR="00BE2342" w:rsidRPr="006B5070" w:rsidRDefault="00BE234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关于挠性覆铜板，坚定推进原材料自研自产战略，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使用自产铜箔生产的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FCCL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产品在今年上半年已实现一定规模销售，产品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在</w:t>
            </w:r>
            <w:r w:rsidR="004E2FF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下游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逐步铺开，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产品制程数据和市场履历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不断积累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预计今年下半年实现订单加快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上量，争取全年实现销售量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20-30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万平方米，逐步成为公司业绩新增长极；使用自产铜箔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自产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PI/TPI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生产的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FCCL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下游测试认证工作</w:t>
            </w:r>
            <w:r w:rsidR="00F23EC9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正有序开展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1EBB2BE5" w14:textId="7167C8F1" w:rsidR="002F051F" w:rsidRPr="006B5070" w:rsidRDefault="00F23EC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关于薄膜电阻，已持续实现小批量订单；下半年将进一步加快认证进度，推进通过更多下游认证，逐步实现量产突破，增厚公司业绩；同时密切关注电子产品芯片热管理的前沿需求，加大热敏型薄膜电阻的开发及下游认证工作。</w:t>
            </w:r>
          </w:p>
          <w:p w14:paraId="2DA9BD15" w14:textId="7F240514" w:rsidR="00F23EC9" w:rsidRPr="006B5070" w:rsidRDefault="00D65AA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与此同时，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公司根据相关头部</w:t>
            </w:r>
            <w:r w:rsidR="00555D1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消费电子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终端的最新技术需求，利用自身的可剥铜、类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ABF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树脂材料以及合成技术，正在进行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RCC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、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FRCC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、超薄介电层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FCCL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等相关前沿产品的开发和下游测试认证工作。</w:t>
            </w:r>
          </w:p>
          <w:p w14:paraId="0DD43791" w14:textId="60455E13" w:rsidR="00CD280A" w:rsidRDefault="00CD280A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  <w:p w14:paraId="6036FA88" w14:textId="71560FBB" w:rsidR="004E2FF2" w:rsidRDefault="004E2FF2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三、请介绍此次投资江苏上达半导体有限公司的背景和目的。</w:t>
            </w:r>
          </w:p>
          <w:p w14:paraId="7554289B" w14:textId="77777777" w:rsidR="00C40239" w:rsidRDefault="00C40239" w:rsidP="00C4023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公司本次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</w:t>
            </w:r>
            <w:r w:rsidR="004E2FF2"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江苏上达，是公司进一步完善和提升产业布局的举措，符合公司总体发展战略要求，对公司的业务布局和产业协同具有一定的促进作用。</w:t>
            </w:r>
          </w:p>
          <w:p w14:paraId="4FEBF944" w14:textId="6C270F78" w:rsidR="00C40239" w:rsidRDefault="004E2FF2" w:rsidP="00C4023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目标公司是国内主要的显示驱动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IC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覆晶薄膜封装基板（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Chip On Flim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，简称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“COF”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）供应商，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年产能达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60kk/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月，主要服务颀中科技、通富微电、集创北方等国内知名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IC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设计公司和半导体封测公司。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COF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基板是显示驱动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IC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封装用之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卷带式高密度引脚柔性封装基板，是平板显示产业链上游材料的重要一环，是生产半导体芯片所必须的关键材料之一。当前全球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COF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技术、产能主要集中在韩国、台湾地区，随着高清显示行业快速发展，国内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COF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产能自给率严重不足，国产替代的需求形成了良好市场空间。目标公司稳定量产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8μm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级单面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COF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基板，拥有核心知识产权，实现了材料、设备及药水的部分国产化，技术水平在国内处于先进水平，产品已实现产业化，具有较高的投资价值。</w:t>
            </w:r>
          </w:p>
          <w:p w14:paraId="0DA66AC1" w14:textId="3510EC1A" w:rsidR="004E2FF2" w:rsidRDefault="00B31F8B" w:rsidP="00C4023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公司与目标公司的业务具有一定的协同性。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COF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基板主要原材料之一为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FCCL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（挠性覆铜板），公司目前已布局了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FCCL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业务，通过加强与目标公司的交流与合作，可有效加快公司极薄</w:t>
            </w:r>
            <w:r w:rsidR="00C40239">
              <w:rPr>
                <w:rFonts w:ascii="Times New Roman" w:eastAsia="宋体" w:hAnsi="Times New Roman" w:cs="Times New Roman"/>
                <w:sz w:val="24"/>
                <w:szCs w:val="24"/>
              </w:rPr>
              <w:t>FCCL</w:t>
            </w:r>
            <w:r w:rsidRPr="00B31F8B">
              <w:rPr>
                <w:rFonts w:ascii="Times New Roman" w:eastAsia="宋体" w:hAnsi="Times New Roman" w:cs="Times New Roman"/>
                <w:sz w:val="24"/>
                <w:szCs w:val="24"/>
              </w:rPr>
              <w:t>研发、测试认证及产业化进程，从而提升公司经营业绩和核心竞争力。</w:t>
            </w:r>
          </w:p>
          <w:p w14:paraId="653E72F7" w14:textId="77777777" w:rsidR="00C40239" w:rsidRPr="00C40239" w:rsidRDefault="00C40239" w:rsidP="00C4023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9ECA24" w14:textId="52CAF494" w:rsidR="006F1051" w:rsidRPr="006B5070" w:rsidRDefault="00CD280A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四</w:t>
            </w:r>
            <w:r w:rsidR="00A6660A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、</w:t>
            </w:r>
            <w:r w:rsidR="006B4D6A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公司对</w:t>
            </w:r>
            <w:r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后续的</w:t>
            </w:r>
            <w:r w:rsidR="006B4D6A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整体业绩如何展望</w:t>
            </w:r>
            <w:r w:rsidR="00A6660A" w:rsidRPr="006B5070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？</w:t>
            </w:r>
          </w:p>
          <w:p w14:paraId="04AA1F82" w14:textId="56DEBC79" w:rsidR="00CD280A" w:rsidRDefault="00766B9A" w:rsidP="00287F0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随着消费电子市场的逐步回暖以及相关产品认证工作稳步推进，我们预计屏蔽膜、可剥铜、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FCCL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、薄膜电阻等产品将在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后续实现逐步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的</w:t>
            </w:r>
            <w:r w:rsidR="00CD280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业绩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增量</w:t>
            </w:r>
            <w:r w:rsidR="00427DF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；</w:t>
            </w:r>
            <w:r w:rsidR="00BD3742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对于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铜箔业务，公司将持续提升良率，并根据市场情况动态调整</w:t>
            </w:r>
            <w:r w:rsidR="00427DF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优化</w:t>
            </w: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产品结构</w:t>
            </w:r>
            <w:r w:rsidR="005258A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</w:t>
            </w:r>
            <w:r w:rsidR="00BD3742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同时将大力推进高速铜缆用屏蔽铜箔项目。</w:t>
            </w:r>
            <w:r w:rsidR="00427DF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通过以上举措，预计公司</w:t>
            </w:r>
            <w:r w:rsidR="00BD3742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后续</w:t>
            </w:r>
            <w:r w:rsidR="00427DFA"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整体业绩有望逐步向好。</w:t>
            </w:r>
          </w:p>
          <w:p w14:paraId="4229F3C4" w14:textId="77777777" w:rsidR="00A15C17" w:rsidRPr="006B5070" w:rsidRDefault="00A15C17" w:rsidP="00287F0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73819C6D" w14:textId="77777777" w:rsidR="006F1051" w:rsidRDefault="00287F0F" w:rsidP="00287F0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以上预测具有不确定性，不构成投资承诺，敬请理性决策、注意投资风险。</w:t>
            </w:r>
          </w:p>
          <w:p w14:paraId="50C472AB" w14:textId="31CBD39B" w:rsidR="00E85B56" w:rsidRPr="006B5070" w:rsidRDefault="00E85B56" w:rsidP="00287F0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6F1051" w:rsidRPr="006B5070" w14:paraId="5FEBB960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B45" w14:textId="77777777" w:rsidR="006F1051" w:rsidRPr="006B5070" w:rsidRDefault="00A6660A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665" w14:textId="77777777" w:rsidR="006F1051" w:rsidRPr="006B5070" w:rsidRDefault="006F105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13EC161" w14:textId="5E797BB2" w:rsidR="006F1051" w:rsidRPr="006B5070" w:rsidRDefault="006F1051" w:rsidP="00A15C17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sectPr w:rsidR="006F1051" w:rsidRPr="006B5070">
      <w:headerReference w:type="default" r:id="rId8"/>
      <w:footerReference w:type="default" r:id="rId9"/>
      <w:pgSz w:w="11906" w:h="16838"/>
      <w:pgMar w:top="1440" w:right="1800" w:bottom="144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50EB" w14:textId="77777777" w:rsidR="00FD1BA3" w:rsidRDefault="00FD1BA3">
      <w:r>
        <w:separator/>
      </w:r>
    </w:p>
  </w:endnote>
  <w:endnote w:type="continuationSeparator" w:id="0">
    <w:p w14:paraId="74A9F3ED" w14:textId="77777777" w:rsidR="00FD1BA3" w:rsidRDefault="00FD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99C" w14:textId="77777777" w:rsidR="006F1051" w:rsidRDefault="006F1051">
    <w:pPr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FEC4" w14:textId="77777777" w:rsidR="00FD1BA3" w:rsidRDefault="00FD1BA3">
      <w:r>
        <w:separator/>
      </w:r>
    </w:p>
  </w:footnote>
  <w:footnote w:type="continuationSeparator" w:id="0">
    <w:p w14:paraId="01916A40" w14:textId="77777777" w:rsidR="00FD1BA3" w:rsidRDefault="00FD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D6D5" w14:textId="77777777" w:rsidR="006F1051" w:rsidRDefault="006F1051">
    <w:pPr>
      <w:pStyle w:val="a8"/>
      <w:pBdr>
        <w:bottom w:val="none" w:sz="0" w:space="0" w:color="auto"/>
      </w:pBdr>
      <w:jc w:val="left"/>
      <w:rPr>
        <w:rFonts w:ascii="黑体" w:eastAsia="黑体" w:hAnsi="黑体" w:hint="eastAsia"/>
        <w:b/>
        <w:color w:val="606060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DF40B"/>
    <w:multiLevelType w:val="singleLevel"/>
    <w:tmpl w:val="2A4DF4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078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NTEzMTBmNTdjMGJjYTdkZjE5YmQzOWQwNTllMDEifQ=="/>
  </w:docVars>
  <w:rsids>
    <w:rsidRoot w:val="00AE5318"/>
    <w:rsid w:val="00000A06"/>
    <w:rsid w:val="00001F1A"/>
    <w:rsid w:val="00005651"/>
    <w:rsid w:val="00005709"/>
    <w:rsid w:val="000069E5"/>
    <w:rsid w:val="000075F4"/>
    <w:rsid w:val="0002789A"/>
    <w:rsid w:val="00027EF8"/>
    <w:rsid w:val="000322F8"/>
    <w:rsid w:val="00036904"/>
    <w:rsid w:val="0004177D"/>
    <w:rsid w:val="0004613D"/>
    <w:rsid w:val="00051321"/>
    <w:rsid w:val="000547FC"/>
    <w:rsid w:val="00061EE9"/>
    <w:rsid w:val="0006502A"/>
    <w:rsid w:val="00065A69"/>
    <w:rsid w:val="00075FF3"/>
    <w:rsid w:val="00076A08"/>
    <w:rsid w:val="00077027"/>
    <w:rsid w:val="00077ECF"/>
    <w:rsid w:val="00081D5A"/>
    <w:rsid w:val="0008333E"/>
    <w:rsid w:val="00083D20"/>
    <w:rsid w:val="00084DEC"/>
    <w:rsid w:val="0008787F"/>
    <w:rsid w:val="00091A8F"/>
    <w:rsid w:val="00093EF3"/>
    <w:rsid w:val="00094CD3"/>
    <w:rsid w:val="000A5D22"/>
    <w:rsid w:val="000B0B0A"/>
    <w:rsid w:val="000B3A01"/>
    <w:rsid w:val="000B6927"/>
    <w:rsid w:val="000B7F06"/>
    <w:rsid w:val="000C0790"/>
    <w:rsid w:val="000C19C0"/>
    <w:rsid w:val="000C2227"/>
    <w:rsid w:val="000C2EE5"/>
    <w:rsid w:val="000D1702"/>
    <w:rsid w:val="000D26D2"/>
    <w:rsid w:val="000D5F80"/>
    <w:rsid w:val="000D7D2A"/>
    <w:rsid w:val="000E235F"/>
    <w:rsid w:val="000E397E"/>
    <w:rsid w:val="000F1789"/>
    <w:rsid w:val="000F3509"/>
    <w:rsid w:val="000F3A80"/>
    <w:rsid w:val="00102E44"/>
    <w:rsid w:val="0010689A"/>
    <w:rsid w:val="00113AE4"/>
    <w:rsid w:val="00126F49"/>
    <w:rsid w:val="0012736B"/>
    <w:rsid w:val="00130C4B"/>
    <w:rsid w:val="00131316"/>
    <w:rsid w:val="00131D48"/>
    <w:rsid w:val="00132796"/>
    <w:rsid w:val="00133E9A"/>
    <w:rsid w:val="00134F8D"/>
    <w:rsid w:val="0013583E"/>
    <w:rsid w:val="00140A8B"/>
    <w:rsid w:val="001411ED"/>
    <w:rsid w:val="001455C8"/>
    <w:rsid w:val="001505EA"/>
    <w:rsid w:val="001520BA"/>
    <w:rsid w:val="0015435C"/>
    <w:rsid w:val="00155640"/>
    <w:rsid w:val="0015787F"/>
    <w:rsid w:val="00161BE4"/>
    <w:rsid w:val="001651E3"/>
    <w:rsid w:val="00165324"/>
    <w:rsid w:val="001713BC"/>
    <w:rsid w:val="00176EA0"/>
    <w:rsid w:val="00177274"/>
    <w:rsid w:val="00177C3B"/>
    <w:rsid w:val="00181D03"/>
    <w:rsid w:val="00181E33"/>
    <w:rsid w:val="0018325D"/>
    <w:rsid w:val="00184BED"/>
    <w:rsid w:val="00186DD5"/>
    <w:rsid w:val="001905DC"/>
    <w:rsid w:val="00193D89"/>
    <w:rsid w:val="00197A4F"/>
    <w:rsid w:val="001A2F9D"/>
    <w:rsid w:val="001A2FA5"/>
    <w:rsid w:val="001A35D9"/>
    <w:rsid w:val="001A3BDB"/>
    <w:rsid w:val="001A5266"/>
    <w:rsid w:val="001A6215"/>
    <w:rsid w:val="001B0AE1"/>
    <w:rsid w:val="001B0D41"/>
    <w:rsid w:val="001B1A35"/>
    <w:rsid w:val="001B29F5"/>
    <w:rsid w:val="001B2A2A"/>
    <w:rsid w:val="001B38F5"/>
    <w:rsid w:val="001B4CA7"/>
    <w:rsid w:val="001B72E2"/>
    <w:rsid w:val="001C47E6"/>
    <w:rsid w:val="001C5F62"/>
    <w:rsid w:val="001C79E0"/>
    <w:rsid w:val="001C7D9C"/>
    <w:rsid w:val="001D36CD"/>
    <w:rsid w:val="001E027F"/>
    <w:rsid w:val="001E125A"/>
    <w:rsid w:val="001E1BBF"/>
    <w:rsid w:val="001E495C"/>
    <w:rsid w:val="001E4D35"/>
    <w:rsid w:val="001E6A04"/>
    <w:rsid w:val="001E732D"/>
    <w:rsid w:val="001F3C0E"/>
    <w:rsid w:val="001F411F"/>
    <w:rsid w:val="00200AAD"/>
    <w:rsid w:val="00203434"/>
    <w:rsid w:val="002109D9"/>
    <w:rsid w:val="00211441"/>
    <w:rsid w:val="0021317E"/>
    <w:rsid w:val="00213D65"/>
    <w:rsid w:val="00215B7E"/>
    <w:rsid w:val="002166E7"/>
    <w:rsid w:val="002206C3"/>
    <w:rsid w:val="002214C8"/>
    <w:rsid w:val="00225E4C"/>
    <w:rsid w:val="002302D5"/>
    <w:rsid w:val="00232F66"/>
    <w:rsid w:val="00233523"/>
    <w:rsid w:val="002379AC"/>
    <w:rsid w:val="00240FDA"/>
    <w:rsid w:val="0024132D"/>
    <w:rsid w:val="002414F5"/>
    <w:rsid w:val="00242550"/>
    <w:rsid w:val="00250114"/>
    <w:rsid w:val="00255153"/>
    <w:rsid w:val="00256271"/>
    <w:rsid w:val="00263069"/>
    <w:rsid w:val="00264774"/>
    <w:rsid w:val="00266814"/>
    <w:rsid w:val="0026693C"/>
    <w:rsid w:val="00266B5F"/>
    <w:rsid w:val="00267554"/>
    <w:rsid w:val="0027221F"/>
    <w:rsid w:val="00272448"/>
    <w:rsid w:val="00275BB5"/>
    <w:rsid w:val="002771B8"/>
    <w:rsid w:val="00284BCC"/>
    <w:rsid w:val="00286A86"/>
    <w:rsid w:val="00287F0F"/>
    <w:rsid w:val="00290A7F"/>
    <w:rsid w:val="00294AC1"/>
    <w:rsid w:val="00295018"/>
    <w:rsid w:val="00296917"/>
    <w:rsid w:val="002A2E6F"/>
    <w:rsid w:val="002A751F"/>
    <w:rsid w:val="002B16B9"/>
    <w:rsid w:val="002B20C2"/>
    <w:rsid w:val="002B2F1C"/>
    <w:rsid w:val="002B3660"/>
    <w:rsid w:val="002B621A"/>
    <w:rsid w:val="002B68AD"/>
    <w:rsid w:val="002C64C7"/>
    <w:rsid w:val="002D1060"/>
    <w:rsid w:val="002D1F83"/>
    <w:rsid w:val="002E0CCA"/>
    <w:rsid w:val="002E1E53"/>
    <w:rsid w:val="002E3BFE"/>
    <w:rsid w:val="002E4490"/>
    <w:rsid w:val="002F051F"/>
    <w:rsid w:val="00300C52"/>
    <w:rsid w:val="00300E03"/>
    <w:rsid w:val="0030337E"/>
    <w:rsid w:val="00304B0D"/>
    <w:rsid w:val="00306341"/>
    <w:rsid w:val="00311763"/>
    <w:rsid w:val="00316E51"/>
    <w:rsid w:val="003173D2"/>
    <w:rsid w:val="0032098A"/>
    <w:rsid w:val="0032345B"/>
    <w:rsid w:val="00325A74"/>
    <w:rsid w:val="00330402"/>
    <w:rsid w:val="00332D92"/>
    <w:rsid w:val="0033736B"/>
    <w:rsid w:val="003426A2"/>
    <w:rsid w:val="003464C7"/>
    <w:rsid w:val="00347704"/>
    <w:rsid w:val="00350254"/>
    <w:rsid w:val="00353873"/>
    <w:rsid w:val="00355C7E"/>
    <w:rsid w:val="00357027"/>
    <w:rsid w:val="003575DE"/>
    <w:rsid w:val="003642E7"/>
    <w:rsid w:val="00365544"/>
    <w:rsid w:val="0036580C"/>
    <w:rsid w:val="00366662"/>
    <w:rsid w:val="0037060F"/>
    <w:rsid w:val="00377647"/>
    <w:rsid w:val="003776D4"/>
    <w:rsid w:val="00380137"/>
    <w:rsid w:val="00381A4A"/>
    <w:rsid w:val="0038738C"/>
    <w:rsid w:val="00390CFE"/>
    <w:rsid w:val="003916E9"/>
    <w:rsid w:val="00394B40"/>
    <w:rsid w:val="00396946"/>
    <w:rsid w:val="00397049"/>
    <w:rsid w:val="003A27F5"/>
    <w:rsid w:val="003A5F4C"/>
    <w:rsid w:val="003B1DF4"/>
    <w:rsid w:val="003B2D1D"/>
    <w:rsid w:val="003B4178"/>
    <w:rsid w:val="003B7CFA"/>
    <w:rsid w:val="003C28A4"/>
    <w:rsid w:val="003C5927"/>
    <w:rsid w:val="003C6A66"/>
    <w:rsid w:val="003D01AD"/>
    <w:rsid w:val="003E1976"/>
    <w:rsid w:val="003E1A04"/>
    <w:rsid w:val="003E226A"/>
    <w:rsid w:val="003E59D9"/>
    <w:rsid w:val="003F30DB"/>
    <w:rsid w:val="003F4761"/>
    <w:rsid w:val="00402B8B"/>
    <w:rsid w:val="004035F8"/>
    <w:rsid w:val="004066DC"/>
    <w:rsid w:val="00407063"/>
    <w:rsid w:val="004119D1"/>
    <w:rsid w:val="00412CA7"/>
    <w:rsid w:val="004232CC"/>
    <w:rsid w:val="00426D58"/>
    <w:rsid w:val="00427DFA"/>
    <w:rsid w:val="00432E1F"/>
    <w:rsid w:val="004338B6"/>
    <w:rsid w:val="0043444B"/>
    <w:rsid w:val="00442053"/>
    <w:rsid w:val="00442087"/>
    <w:rsid w:val="00451D84"/>
    <w:rsid w:val="00461A62"/>
    <w:rsid w:val="004659EF"/>
    <w:rsid w:val="004669EC"/>
    <w:rsid w:val="004673B1"/>
    <w:rsid w:val="004750D2"/>
    <w:rsid w:val="0048051B"/>
    <w:rsid w:val="00491D39"/>
    <w:rsid w:val="0049467D"/>
    <w:rsid w:val="004947AC"/>
    <w:rsid w:val="004951CC"/>
    <w:rsid w:val="0049572F"/>
    <w:rsid w:val="004965A0"/>
    <w:rsid w:val="004A1006"/>
    <w:rsid w:val="004A15D7"/>
    <w:rsid w:val="004A67FA"/>
    <w:rsid w:val="004A73BB"/>
    <w:rsid w:val="004B3687"/>
    <w:rsid w:val="004C4662"/>
    <w:rsid w:val="004D03DF"/>
    <w:rsid w:val="004D19F3"/>
    <w:rsid w:val="004D4899"/>
    <w:rsid w:val="004D5FD7"/>
    <w:rsid w:val="004E2A6F"/>
    <w:rsid w:val="004E2FF2"/>
    <w:rsid w:val="004E686B"/>
    <w:rsid w:val="004E6C5D"/>
    <w:rsid w:val="004E7BCC"/>
    <w:rsid w:val="004F0037"/>
    <w:rsid w:val="004F0BC3"/>
    <w:rsid w:val="004F17E5"/>
    <w:rsid w:val="004F38D7"/>
    <w:rsid w:val="004F4110"/>
    <w:rsid w:val="004F5EAA"/>
    <w:rsid w:val="00500B18"/>
    <w:rsid w:val="005027E2"/>
    <w:rsid w:val="005040AC"/>
    <w:rsid w:val="005052AF"/>
    <w:rsid w:val="00505952"/>
    <w:rsid w:val="00506A06"/>
    <w:rsid w:val="00506E99"/>
    <w:rsid w:val="00512A75"/>
    <w:rsid w:val="005133BF"/>
    <w:rsid w:val="00514D7A"/>
    <w:rsid w:val="00520024"/>
    <w:rsid w:val="005238CC"/>
    <w:rsid w:val="00525711"/>
    <w:rsid w:val="005258AB"/>
    <w:rsid w:val="00525BF1"/>
    <w:rsid w:val="00533A11"/>
    <w:rsid w:val="00536A9A"/>
    <w:rsid w:val="00537B0C"/>
    <w:rsid w:val="00540E3D"/>
    <w:rsid w:val="00541045"/>
    <w:rsid w:val="00542A6A"/>
    <w:rsid w:val="00542C66"/>
    <w:rsid w:val="00543525"/>
    <w:rsid w:val="00543E80"/>
    <w:rsid w:val="005446CD"/>
    <w:rsid w:val="00544902"/>
    <w:rsid w:val="005515BE"/>
    <w:rsid w:val="0055374E"/>
    <w:rsid w:val="00555D12"/>
    <w:rsid w:val="005575D7"/>
    <w:rsid w:val="00557BF7"/>
    <w:rsid w:val="005615FB"/>
    <w:rsid w:val="00562656"/>
    <w:rsid w:val="005753F0"/>
    <w:rsid w:val="00580C39"/>
    <w:rsid w:val="00581F09"/>
    <w:rsid w:val="005827C9"/>
    <w:rsid w:val="005854B5"/>
    <w:rsid w:val="00586C0D"/>
    <w:rsid w:val="005878E0"/>
    <w:rsid w:val="00593B23"/>
    <w:rsid w:val="0059585E"/>
    <w:rsid w:val="005A43CC"/>
    <w:rsid w:val="005A4E5E"/>
    <w:rsid w:val="005A6461"/>
    <w:rsid w:val="005A7A34"/>
    <w:rsid w:val="005B01A9"/>
    <w:rsid w:val="005B1BD1"/>
    <w:rsid w:val="005B4C30"/>
    <w:rsid w:val="005C1CF4"/>
    <w:rsid w:val="005C28E5"/>
    <w:rsid w:val="005C4098"/>
    <w:rsid w:val="005C5AB3"/>
    <w:rsid w:val="005C5E13"/>
    <w:rsid w:val="005C7B47"/>
    <w:rsid w:val="005D1962"/>
    <w:rsid w:val="005D1D10"/>
    <w:rsid w:val="005D2A9E"/>
    <w:rsid w:val="005D4092"/>
    <w:rsid w:val="005D5E22"/>
    <w:rsid w:val="005E11FF"/>
    <w:rsid w:val="005E1559"/>
    <w:rsid w:val="005E2DA4"/>
    <w:rsid w:val="005E4880"/>
    <w:rsid w:val="005E65B0"/>
    <w:rsid w:val="005F1678"/>
    <w:rsid w:val="005F1C7D"/>
    <w:rsid w:val="005F40BE"/>
    <w:rsid w:val="005F41BC"/>
    <w:rsid w:val="005F5242"/>
    <w:rsid w:val="00600222"/>
    <w:rsid w:val="00600413"/>
    <w:rsid w:val="00601D87"/>
    <w:rsid w:val="00601FE6"/>
    <w:rsid w:val="006030B5"/>
    <w:rsid w:val="00606CE3"/>
    <w:rsid w:val="006120A0"/>
    <w:rsid w:val="00612A66"/>
    <w:rsid w:val="006150D9"/>
    <w:rsid w:val="0061731E"/>
    <w:rsid w:val="00623660"/>
    <w:rsid w:val="006257B5"/>
    <w:rsid w:val="0062653C"/>
    <w:rsid w:val="006279F4"/>
    <w:rsid w:val="00631AE7"/>
    <w:rsid w:val="006408CD"/>
    <w:rsid w:val="00641C76"/>
    <w:rsid w:val="006425B3"/>
    <w:rsid w:val="0064409E"/>
    <w:rsid w:val="00645798"/>
    <w:rsid w:val="006504E6"/>
    <w:rsid w:val="00652663"/>
    <w:rsid w:val="00652736"/>
    <w:rsid w:val="006558A7"/>
    <w:rsid w:val="00662976"/>
    <w:rsid w:val="00663422"/>
    <w:rsid w:val="0067035F"/>
    <w:rsid w:val="00673E0E"/>
    <w:rsid w:val="006750BB"/>
    <w:rsid w:val="00676844"/>
    <w:rsid w:val="0068138B"/>
    <w:rsid w:val="00681905"/>
    <w:rsid w:val="00685577"/>
    <w:rsid w:val="00686722"/>
    <w:rsid w:val="006902CA"/>
    <w:rsid w:val="0069078D"/>
    <w:rsid w:val="00693AFE"/>
    <w:rsid w:val="00695B45"/>
    <w:rsid w:val="006970FB"/>
    <w:rsid w:val="006A0427"/>
    <w:rsid w:val="006A0A63"/>
    <w:rsid w:val="006A17B4"/>
    <w:rsid w:val="006A48D4"/>
    <w:rsid w:val="006A553B"/>
    <w:rsid w:val="006B2311"/>
    <w:rsid w:val="006B4D6A"/>
    <w:rsid w:val="006B4EB5"/>
    <w:rsid w:val="006B5070"/>
    <w:rsid w:val="006B718E"/>
    <w:rsid w:val="006B7EEC"/>
    <w:rsid w:val="006C399E"/>
    <w:rsid w:val="006C4322"/>
    <w:rsid w:val="006C53EF"/>
    <w:rsid w:val="006D2122"/>
    <w:rsid w:val="006D34C1"/>
    <w:rsid w:val="006D4BFC"/>
    <w:rsid w:val="006D5FCF"/>
    <w:rsid w:val="006D6E69"/>
    <w:rsid w:val="006D75B3"/>
    <w:rsid w:val="006E0BCB"/>
    <w:rsid w:val="006E6EC9"/>
    <w:rsid w:val="006E6F31"/>
    <w:rsid w:val="006E6F64"/>
    <w:rsid w:val="006F1051"/>
    <w:rsid w:val="00701F3D"/>
    <w:rsid w:val="0070351B"/>
    <w:rsid w:val="00704DAB"/>
    <w:rsid w:val="007073F2"/>
    <w:rsid w:val="007144E7"/>
    <w:rsid w:val="00715043"/>
    <w:rsid w:val="007171BB"/>
    <w:rsid w:val="0071732F"/>
    <w:rsid w:val="00717F76"/>
    <w:rsid w:val="00720EB8"/>
    <w:rsid w:val="00726C2F"/>
    <w:rsid w:val="007343CA"/>
    <w:rsid w:val="00735D4B"/>
    <w:rsid w:val="007361D0"/>
    <w:rsid w:val="0074065F"/>
    <w:rsid w:val="0074273B"/>
    <w:rsid w:val="00746C3B"/>
    <w:rsid w:val="0075334C"/>
    <w:rsid w:val="0075363F"/>
    <w:rsid w:val="00756F64"/>
    <w:rsid w:val="007578FF"/>
    <w:rsid w:val="007661BB"/>
    <w:rsid w:val="00766B9A"/>
    <w:rsid w:val="0076764E"/>
    <w:rsid w:val="00771854"/>
    <w:rsid w:val="00773E15"/>
    <w:rsid w:val="0077490E"/>
    <w:rsid w:val="007759CD"/>
    <w:rsid w:val="00777473"/>
    <w:rsid w:val="007802F5"/>
    <w:rsid w:val="00782EE0"/>
    <w:rsid w:val="00784A7C"/>
    <w:rsid w:val="0078552E"/>
    <w:rsid w:val="00787C01"/>
    <w:rsid w:val="00791786"/>
    <w:rsid w:val="007A060E"/>
    <w:rsid w:val="007A15B8"/>
    <w:rsid w:val="007A17AC"/>
    <w:rsid w:val="007A390C"/>
    <w:rsid w:val="007A3C09"/>
    <w:rsid w:val="007A3CA0"/>
    <w:rsid w:val="007A56AA"/>
    <w:rsid w:val="007B43EE"/>
    <w:rsid w:val="007B574A"/>
    <w:rsid w:val="007C0437"/>
    <w:rsid w:val="007C1EA6"/>
    <w:rsid w:val="007C2224"/>
    <w:rsid w:val="007C2C17"/>
    <w:rsid w:val="007C3CE9"/>
    <w:rsid w:val="007C4CD9"/>
    <w:rsid w:val="007C61C0"/>
    <w:rsid w:val="007C71C5"/>
    <w:rsid w:val="007D08A4"/>
    <w:rsid w:val="007D12E7"/>
    <w:rsid w:val="007D2A7E"/>
    <w:rsid w:val="007D4584"/>
    <w:rsid w:val="007D68DD"/>
    <w:rsid w:val="007D691F"/>
    <w:rsid w:val="007E2184"/>
    <w:rsid w:val="007E4996"/>
    <w:rsid w:val="007E581E"/>
    <w:rsid w:val="007E66D8"/>
    <w:rsid w:val="007F0A4C"/>
    <w:rsid w:val="007F19C6"/>
    <w:rsid w:val="007F2C6C"/>
    <w:rsid w:val="007F5433"/>
    <w:rsid w:val="007F7248"/>
    <w:rsid w:val="007F7C5A"/>
    <w:rsid w:val="008050BB"/>
    <w:rsid w:val="0081115F"/>
    <w:rsid w:val="0081365A"/>
    <w:rsid w:val="00814495"/>
    <w:rsid w:val="00814FD1"/>
    <w:rsid w:val="00815969"/>
    <w:rsid w:val="0081703F"/>
    <w:rsid w:val="00817DA1"/>
    <w:rsid w:val="0082175B"/>
    <w:rsid w:val="00822838"/>
    <w:rsid w:val="00822DB9"/>
    <w:rsid w:val="0082391C"/>
    <w:rsid w:val="0082443F"/>
    <w:rsid w:val="008303AA"/>
    <w:rsid w:val="00837914"/>
    <w:rsid w:val="00841802"/>
    <w:rsid w:val="00841CAF"/>
    <w:rsid w:val="00842A19"/>
    <w:rsid w:val="008442D0"/>
    <w:rsid w:val="008449FA"/>
    <w:rsid w:val="00860DA3"/>
    <w:rsid w:val="00865FA0"/>
    <w:rsid w:val="00872A58"/>
    <w:rsid w:val="00873177"/>
    <w:rsid w:val="008739AA"/>
    <w:rsid w:val="00873E4C"/>
    <w:rsid w:val="00876B79"/>
    <w:rsid w:val="008779D6"/>
    <w:rsid w:val="00877D07"/>
    <w:rsid w:val="00882FA2"/>
    <w:rsid w:val="00886EB0"/>
    <w:rsid w:val="00887444"/>
    <w:rsid w:val="00891525"/>
    <w:rsid w:val="008932DE"/>
    <w:rsid w:val="0089397E"/>
    <w:rsid w:val="00897A03"/>
    <w:rsid w:val="008A0B7D"/>
    <w:rsid w:val="008A24FD"/>
    <w:rsid w:val="008A2D77"/>
    <w:rsid w:val="008A4503"/>
    <w:rsid w:val="008A5933"/>
    <w:rsid w:val="008A6DA4"/>
    <w:rsid w:val="008B053C"/>
    <w:rsid w:val="008B095B"/>
    <w:rsid w:val="008B3B15"/>
    <w:rsid w:val="008B52F3"/>
    <w:rsid w:val="008B5491"/>
    <w:rsid w:val="008C05A0"/>
    <w:rsid w:val="008C1EFC"/>
    <w:rsid w:val="008C554C"/>
    <w:rsid w:val="008C5E12"/>
    <w:rsid w:val="008C5FD3"/>
    <w:rsid w:val="008C7D5A"/>
    <w:rsid w:val="008D0F9B"/>
    <w:rsid w:val="008D776D"/>
    <w:rsid w:val="008E1988"/>
    <w:rsid w:val="008E1CAA"/>
    <w:rsid w:val="008F0B09"/>
    <w:rsid w:val="008F7263"/>
    <w:rsid w:val="008F73BD"/>
    <w:rsid w:val="00901A1B"/>
    <w:rsid w:val="0090296B"/>
    <w:rsid w:val="009032C7"/>
    <w:rsid w:val="00903A24"/>
    <w:rsid w:val="009063B5"/>
    <w:rsid w:val="009119F3"/>
    <w:rsid w:val="00913270"/>
    <w:rsid w:val="00914C0D"/>
    <w:rsid w:val="009179BF"/>
    <w:rsid w:val="00923783"/>
    <w:rsid w:val="00924BD1"/>
    <w:rsid w:val="0093173E"/>
    <w:rsid w:val="009411F6"/>
    <w:rsid w:val="009420C2"/>
    <w:rsid w:val="00945290"/>
    <w:rsid w:val="00952EAC"/>
    <w:rsid w:val="0095356A"/>
    <w:rsid w:val="009553AD"/>
    <w:rsid w:val="00956180"/>
    <w:rsid w:val="00956374"/>
    <w:rsid w:val="00966F3C"/>
    <w:rsid w:val="0097017C"/>
    <w:rsid w:val="0097748A"/>
    <w:rsid w:val="009800EA"/>
    <w:rsid w:val="009806C8"/>
    <w:rsid w:val="009841D4"/>
    <w:rsid w:val="00987C05"/>
    <w:rsid w:val="009928B4"/>
    <w:rsid w:val="0099620A"/>
    <w:rsid w:val="00997FE6"/>
    <w:rsid w:val="009A0654"/>
    <w:rsid w:val="009B04EC"/>
    <w:rsid w:val="009B2631"/>
    <w:rsid w:val="009B29B5"/>
    <w:rsid w:val="009B75B0"/>
    <w:rsid w:val="009C0146"/>
    <w:rsid w:val="009C082F"/>
    <w:rsid w:val="009C1320"/>
    <w:rsid w:val="009C1D83"/>
    <w:rsid w:val="009C32FD"/>
    <w:rsid w:val="009C33BD"/>
    <w:rsid w:val="009C38DB"/>
    <w:rsid w:val="009D0120"/>
    <w:rsid w:val="009D5257"/>
    <w:rsid w:val="009D7B92"/>
    <w:rsid w:val="009E4549"/>
    <w:rsid w:val="009E7D0F"/>
    <w:rsid w:val="009E7E86"/>
    <w:rsid w:val="009E7ED6"/>
    <w:rsid w:val="009F058E"/>
    <w:rsid w:val="00A017BE"/>
    <w:rsid w:val="00A04A34"/>
    <w:rsid w:val="00A04F5E"/>
    <w:rsid w:val="00A050B7"/>
    <w:rsid w:val="00A0541D"/>
    <w:rsid w:val="00A062ED"/>
    <w:rsid w:val="00A06302"/>
    <w:rsid w:val="00A07F5A"/>
    <w:rsid w:val="00A10CB8"/>
    <w:rsid w:val="00A11508"/>
    <w:rsid w:val="00A13B7E"/>
    <w:rsid w:val="00A14B28"/>
    <w:rsid w:val="00A15B2D"/>
    <w:rsid w:val="00A15C17"/>
    <w:rsid w:val="00A17B63"/>
    <w:rsid w:val="00A318FF"/>
    <w:rsid w:val="00A3272C"/>
    <w:rsid w:val="00A33051"/>
    <w:rsid w:val="00A3350E"/>
    <w:rsid w:val="00A34916"/>
    <w:rsid w:val="00A34A0C"/>
    <w:rsid w:val="00A37377"/>
    <w:rsid w:val="00A4509B"/>
    <w:rsid w:val="00A451D6"/>
    <w:rsid w:val="00A5251C"/>
    <w:rsid w:val="00A55408"/>
    <w:rsid w:val="00A6213B"/>
    <w:rsid w:val="00A62306"/>
    <w:rsid w:val="00A653E9"/>
    <w:rsid w:val="00A66509"/>
    <w:rsid w:val="00A6660A"/>
    <w:rsid w:val="00A70889"/>
    <w:rsid w:val="00A74517"/>
    <w:rsid w:val="00A810F5"/>
    <w:rsid w:val="00A82F93"/>
    <w:rsid w:val="00A8599E"/>
    <w:rsid w:val="00A91E3C"/>
    <w:rsid w:val="00AA10F5"/>
    <w:rsid w:val="00AA2071"/>
    <w:rsid w:val="00AA3F55"/>
    <w:rsid w:val="00AB05CB"/>
    <w:rsid w:val="00AB0AF2"/>
    <w:rsid w:val="00AB1B3E"/>
    <w:rsid w:val="00AB2C32"/>
    <w:rsid w:val="00AB39C3"/>
    <w:rsid w:val="00AB56F4"/>
    <w:rsid w:val="00AB6BDB"/>
    <w:rsid w:val="00AC1223"/>
    <w:rsid w:val="00AC198F"/>
    <w:rsid w:val="00AC240E"/>
    <w:rsid w:val="00AC5DCA"/>
    <w:rsid w:val="00AC622C"/>
    <w:rsid w:val="00AD2AD2"/>
    <w:rsid w:val="00AD439B"/>
    <w:rsid w:val="00AD57C4"/>
    <w:rsid w:val="00AD5A09"/>
    <w:rsid w:val="00AD5E56"/>
    <w:rsid w:val="00AE1A3E"/>
    <w:rsid w:val="00AE3C96"/>
    <w:rsid w:val="00AE5318"/>
    <w:rsid w:val="00AE6C5B"/>
    <w:rsid w:val="00B02261"/>
    <w:rsid w:val="00B02A75"/>
    <w:rsid w:val="00B02D90"/>
    <w:rsid w:val="00B03C79"/>
    <w:rsid w:val="00B04915"/>
    <w:rsid w:val="00B07908"/>
    <w:rsid w:val="00B114FD"/>
    <w:rsid w:val="00B12249"/>
    <w:rsid w:val="00B135C2"/>
    <w:rsid w:val="00B139E8"/>
    <w:rsid w:val="00B14544"/>
    <w:rsid w:val="00B2006F"/>
    <w:rsid w:val="00B2199A"/>
    <w:rsid w:val="00B2308E"/>
    <w:rsid w:val="00B24963"/>
    <w:rsid w:val="00B25879"/>
    <w:rsid w:val="00B276C2"/>
    <w:rsid w:val="00B31AE7"/>
    <w:rsid w:val="00B31F8B"/>
    <w:rsid w:val="00B36BC9"/>
    <w:rsid w:val="00B405C2"/>
    <w:rsid w:val="00B44490"/>
    <w:rsid w:val="00B454A9"/>
    <w:rsid w:val="00B46EE2"/>
    <w:rsid w:val="00B515E8"/>
    <w:rsid w:val="00B576AA"/>
    <w:rsid w:val="00B64396"/>
    <w:rsid w:val="00B71D82"/>
    <w:rsid w:val="00B753E6"/>
    <w:rsid w:val="00B82FFE"/>
    <w:rsid w:val="00B931CB"/>
    <w:rsid w:val="00B94510"/>
    <w:rsid w:val="00B94A57"/>
    <w:rsid w:val="00BA0F67"/>
    <w:rsid w:val="00BA3F8E"/>
    <w:rsid w:val="00BA7E4E"/>
    <w:rsid w:val="00BB1C07"/>
    <w:rsid w:val="00BB3F97"/>
    <w:rsid w:val="00BB5F1E"/>
    <w:rsid w:val="00BB620F"/>
    <w:rsid w:val="00BB75C7"/>
    <w:rsid w:val="00BC2DE3"/>
    <w:rsid w:val="00BC322B"/>
    <w:rsid w:val="00BC4D3B"/>
    <w:rsid w:val="00BC4E80"/>
    <w:rsid w:val="00BC51E7"/>
    <w:rsid w:val="00BC6FC4"/>
    <w:rsid w:val="00BD3742"/>
    <w:rsid w:val="00BE11D9"/>
    <w:rsid w:val="00BE2342"/>
    <w:rsid w:val="00BE3325"/>
    <w:rsid w:val="00BE492F"/>
    <w:rsid w:val="00BE4C86"/>
    <w:rsid w:val="00BE5012"/>
    <w:rsid w:val="00C00510"/>
    <w:rsid w:val="00C019F2"/>
    <w:rsid w:val="00C03919"/>
    <w:rsid w:val="00C132D0"/>
    <w:rsid w:val="00C1606F"/>
    <w:rsid w:val="00C1648F"/>
    <w:rsid w:val="00C214CF"/>
    <w:rsid w:val="00C21783"/>
    <w:rsid w:val="00C26F1B"/>
    <w:rsid w:val="00C31307"/>
    <w:rsid w:val="00C32194"/>
    <w:rsid w:val="00C33A8E"/>
    <w:rsid w:val="00C34BB9"/>
    <w:rsid w:val="00C34E81"/>
    <w:rsid w:val="00C3579C"/>
    <w:rsid w:val="00C36690"/>
    <w:rsid w:val="00C401E5"/>
    <w:rsid w:val="00C40239"/>
    <w:rsid w:val="00C421CA"/>
    <w:rsid w:val="00C42216"/>
    <w:rsid w:val="00C4398F"/>
    <w:rsid w:val="00C45144"/>
    <w:rsid w:val="00C4691A"/>
    <w:rsid w:val="00C4724E"/>
    <w:rsid w:val="00C524E2"/>
    <w:rsid w:val="00C56332"/>
    <w:rsid w:val="00C57A88"/>
    <w:rsid w:val="00C64555"/>
    <w:rsid w:val="00C661A8"/>
    <w:rsid w:val="00C6791F"/>
    <w:rsid w:val="00C70D85"/>
    <w:rsid w:val="00C74AE2"/>
    <w:rsid w:val="00C7584E"/>
    <w:rsid w:val="00C76125"/>
    <w:rsid w:val="00C76CE5"/>
    <w:rsid w:val="00C772F9"/>
    <w:rsid w:val="00C8792E"/>
    <w:rsid w:val="00C91C9E"/>
    <w:rsid w:val="00C91EFD"/>
    <w:rsid w:val="00C93FEF"/>
    <w:rsid w:val="00C97B8F"/>
    <w:rsid w:val="00CA06D6"/>
    <w:rsid w:val="00CA4761"/>
    <w:rsid w:val="00CA5876"/>
    <w:rsid w:val="00CB2828"/>
    <w:rsid w:val="00CB4B21"/>
    <w:rsid w:val="00CC08BA"/>
    <w:rsid w:val="00CC1697"/>
    <w:rsid w:val="00CC1D90"/>
    <w:rsid w:val="00CC2866"/>
    <w:rsid w:val="00CC38D0"/>
    <w:rsid w:val="00CC49F4"/>
    <w:rsid w:val="00CD0214"/>
    <w:rsid w:val="00CD03AA"/>
    <w:rsid w:val="00CD1983"/>
    <w:rsid w:val="00CD2237"/>
    <w:rsid w:val="00CD280A"/>
    <w:rsid w:val="00CE114D"/>
    <w:rsid w:val="00CE2EB2"/>
    <w:rsid w:val="00CE6F4C"/>
    <w:rsid w:val="00CE7560"/>
    <w:rsid w:val="00CF0190"/>
    <w:rsid w:val="00CF2321"/>
    <w:rsid w:val="00CF64BB"/>
    <w:rsid w:val="00D0087D"/>
    <w:rsid w:val="00D00A41"/>
    <w:rsid w:val="00D03EA1"/>
    <w:rsid w:val="00D16540"/>
    <w:rsid w:val="00D16D1F"/>
    <w:rsid w:val="00D174D6"/>
    <w:rsid w:val="00D17D27"/>
    <w:rsid w:val="00D17D74"/>
    <w:rsid w:val="00D20B61"/>
    <w:rsid w:val="00D21615"/>
    <w:rsid w:val="00D23E4D"/>
    <w:rsid w:val="00D26B47"/>
    <w:rsid w:val="00D31571"/>
    <w:rsid w:val="00D31C68"/>
    <w:rsid w:val="00D32024"/>
    <w:rsid w:val="00D32307"/>
    <w:rsid w:val="00D32EF7"/>
    <w:rsid w:val="00D3308C"/>
    <w:rsid w:val="00D413E0"/>
    <w:rsid w:val="00D46B43"/>
    <w:rsid w:val="00D47DF4"/>
    <w:rsid w:val="00D50268"/>
    <w:rsid w:val="00D57540"/>
    <w:rsid w:val="00D65AA3"/>
    <w:rsid w:val="00D73F37"/>
    <w:rsid w:val="00D74632"/>
    <w:rsid w:val="00D74C02"/>
    <w:rsid w:val="00D80400"/>
    <w:rsid w:val="00D81597"/>
    <w:rsid w:val="00D82118"/>
    <w:rsid w:val="00D83C99"/>
    <w:rsid w:val="00D85A4F"/>
    <w:rsid w:val="00D86036"/>
    <w:rsid w:val="00D9203B"/>
    <w:rsid w:val="00D92958"/>
    <w:rsid w:val="00D93B60"/>
    <w:rsid w:val="00D93D54"/>
    <w:rsid w:val="00DA52A2"/>
    <w:rsid w:val="00DA752F"/>
    <w:rsid w:val="00DB5090"/>
    <w:rsid w:val="00DB5DDE"/>
    <w:rsid w:val="00DC1B6E"/>
    <w:rsid w:val="00DC4353"/>
    <w:rsid w:val="00DC47C5"/>
    <w:rsid w:val="00DD2A82"/>
    <w:rsid w:val="00DE142A"/>
    <w:rsid w:val="00DE4BFF"/>
    <w:rsid w:val="00DE7D3D"/>
    <w:rsid w:val="00DF083E"/>
    <w:rsid w:val="00DF0CBD"/>
    <w:rsid w:val="00DF1528"/>
    <w:rsid w:val="00DF1677"/>
    <w:rsid w:val="00DF2EB7"/>
    <w:rsid w:val="00DF4294"/>
    <w:rsid w:val="00DF5CDE"/>
    <w:rsid w:val="00DF6D5A"/>
    <w:rsid w:val="00DF6D5E"/>
    <w:rsid w:val="00E038D0"/>
    <w:rsid w:val="00E05DEB"/>
    <w:rsid w:val="00E05EC0"/>
    <w:rsid w:val="00E103B4"/>
    <w:rsid w:val="00E22501"/>
    <w:rsid w:val="00E24B5A"/>
    <w:rsid w:val="00E25C7E"/>
    <w:rsid w:val="00E26F2F"/>
    <w:rsid w:val="00E27D60"/>
    <w:rsid w:val="00E32095"/>
    <w:rsid w:val="00E34A52"/>
    <w:rsid w:val="00E355AB"/>
    <w:rsid w:val="00E36B0A"/>
    <w:rsid w:val="00E407A6"/>
    <w:rsid w:val="00E40AF6"/>
    <w:rsid w:val="00E4194C"/>
    <w:rsid w:val="00E426F7"/>
    <w:rsid w:val="00E46273"/>
    <w:rsid w:val="00E472D3"/>
    <w:rsid w:val="00E54D78"/>
    <w:rsid w:val="00E5521F"/>
    <w:rsid w:val="00E56E9F"/>
    <w:rsid w:val="00E6094E"/>
    <w:rsid w:val="00E63877"/>
    <w:rsid w:val="00E670F3"/>
    <w:rsid w:val="00E847B9"/>
    <w:rsid w:val="00E85B56"/>
    <w:rsid w:val="00E87ED2"/>
    <w:rsid w:val="00E93B95"/>
    <w:rsid w:val="00E94851"/>
    <w:rsid w:val="00E94BE2"/>
    <w:rsid w:val="00E95465"/>
    <w:rsid w:val="00E97A68"/>
    <w:rsid w:val="00EA0F2C"/>
    <w:rsid w:val="00EA4C31"/>
    <w:rsid w:val="00EB04F5"/>
    <w:rsid w:val="00EB1177"/>
    <w:rsid w:val="00EB17E0"/>
    <w:rsid w:val="00EB1B30"/>
    <w:rsid w:val="00EC2321"/>
    <w:rsid w:val="00EC2DA8"/>
    <w:rsid w:val="00EC4239"/>
    <w:rsid w:val="00EC5D16"/>
    <w:rsid w:val="00EC6FF0"/>
    <w:rsid w:val="00ED4F22"/>
    <w:rsid w:val="00ED6270"/>
    <w:rsid w:val="00EE090F"/>
    <w:rsid w:val="00EE104B"/>
    <w:rsid w:val="00EE21C6"/>
    <w:rsid w:val="00EF5B95"/>
    <w:rsid w:val="00F016DB"/>
    <w:rsid w:val="00F042CA"/>
    <w:rsid w:val="00F06D3A"/>
    <w:rsid w:val="00F23EC9"/>
    <w:rsid w:val="00F23F0E"/>
    <w:rsid w:val="00F26798"/>
    <w:rsid w:val="00F27D52"/>
    <w:rsid w:val="00F315F8"/>
    <w:rsid w:val="00F31AD9"/>
    <w:rsid w:val="00F31C73"/>
    <w:rsid w:val="00F36518"/>
    <w:rsid w:val="00F36769"/>
    <w:rsid w:val="00F36923"/>
    <w:rsid w:val="00F3766E"/>
    <w:rsid w:val="00F40094"/>
    <w:rsid w:val="00F41A6B"/>
    <w:rsid w:val="00F447F7"/>
    <w:rsid w:val="00F4524B"/>
    <w:rsid w:val="00F55FB7"/>
    <w:rsid w:val="00F56991"/>
    <w:rsid w:val="00F663E7"/>
    <w:rsid w:val="00F67FFB"/>
    <w:rsid w:val="00F71223"/>
    <w:rsid w:val="00F72B6B"/>
    <w:rsid w:val="00F76385"/>
    <w:rsid w:val="00F8253E"/>
    <w:rsid w:val="00F831A4"/>
    <w:rsid w:val="00F832BF"/>
    <w:rsid w:val="00F83E5E"/>
    <w:rsid w:val="00F85FEA"/>
    <w:rsid w:val="00F934E3"/>
    <w:rsid w:val="00F9473F"/>
    <w:rsid w:val="00F97C4C"/>
    <w:rsid w:val="00FA02BC"/>
    <w:rsid w:val="00FA23EC"/>
    <w:rsid w:val="00FA4F8C"/>
    <w:rsid w:val="00FB063E"/>
    <w:rsid w:val="00FB1884"/>
    <w:rsid w:val="00FB2310"/>
    <w:rsid w:val="00FB51B6"/>
    <w:rsid w:val="00FB6058"/>
    <w:rsid w:val="00FC2999"/>
    <w:rsid w:val="00FD1BA3"/>
    <w:rsid w:val="00FD22CA"/>
    <w:rsid w:val="00FD25AE"/>
    <w:rsid w:val="00FE1EA6"/>
    <w:rsid w:val="00FE6A36"/>
    <w:rsid w:val="00FF0F50"/>
    <w:rsid w:val="00FF261B"/>
    <w:rsid w:val="00FF4D30"/>
    <w:rsid w:val="00FF514B"/>
    <w:rsid w:val="00FF5388"/>
    <w:rsid w:val="00FF7845"/>
    <w:rsid w:val="0F282A3B"/>
    <w:rsid w:val="15FD16D4"/>
    <w:rsid w:val="1F9E1DC8"/>
    <w:rsid w:val="457C3DA0"/>
    <w:rsid w:val="52CC638A"/>
    <w:rsid w:val="5C76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ED8BA"/>
  <w15:docId w15:val="{6A488536-2C41-46BE-B858-1B970AD5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paragraph" w:styleId="a8">
    <w:name w:val="header"/>
    <w:basedOn w:val="a"/>
    <w:link w:val="a9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9058"/>
      </w:tabs>
      <w:spacing w:after="360" w:line="276" w:lineRule="auto"/>
      <w:jc w:val="left"/>
    </w:pPr>
    <w:rPr>
      <w:b/>
      <w:kern w:val="0"/>
      <w:sz w:val="44"/>
      <w:szCs w:val="44"/>
      <w:lang w:val="zh-CN" w:eastAsia="en-US" w:bidi="en-US"/>
    </w:rPr>
  </w:style>
  <w:style w:type="paragraph" w:styleId="aa">
    <w:name w:val="Subtitle"/>
    <w:basedOn w:val="a"/>
    <w:next w:val="a"/>
    <w:link w:val="ab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c">
    <w:name w:val="Title"/>
    <w:basedOn w:val="a"/>
    <w:next w:val="a"/>
    <w:link w:val="ad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标题 字符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Pr>
      <w:sz w:val="22"/>
      <w:szCs w:val="22"/>
      <w:lang w:eastAsia="en-US" w:bidi="en-US"/>
    </w:rPr>
  </w:style>
  <w:style w:type="paragraph" w:styleId="af1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f2">
    <w:name w:val="Quote"/>
    <w:basedOn w:val="a"/>
    <w:next w:val="a"/>
    <w:link w:val="af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f3">
    <w:name w:val="引用 字符"/>
    <w:basedOn w:val="a0"/>
    <w:link w:val="af2"/>
    <w:uiPriority w:val="29"/>
    <w:qFormat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af5">
    <w:name w:val="明显引用 字符"/>
    <w:basedOn w:val="a0"/>
    <w:link w:val="af4"/>
    <w:uiPriority w:val="30"/>
    <w:rPr>
      <w:b/>
      <w:bCs/>
      <w:i/>
      <w:iCs/>
      <w:color w:val="4F81BD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110">
    <w:name w:val="标题 11"/>
    <w:basedOn w:val="a"/>
    <w:uiPriority w:val="1"/>
    <w:qFormat/>
    <w:pPr>
      <w:widowControl/>
      <w:autoSpaceDE w:val="0"/>
      <w:autoSpaceDN w:val="0"/>
      <w:adjustRightInd w:val="0"/>
      <w:spacing w:after="200" w:line="276" w:lineRule="auto"/>
      <w:ind w:left="117"/>
      <w:jc w:val="left"/>
      <w:outlineLvl w:val="0"/>
    </w:pPr>
    <w:rPr>
      <w:rFonts w:ascii="宋体" w:hAnsi="Times New Roman" w:cs="宋体"/>
      <w:b/>
      <w:bCs/>
      <w:kern w:val="0"/>
      <w:sz w:val="28"/>
      <w:szCs w:val="28"/>
      <w:lang w:eastAsia="en-US" w:bidi="en-US"/>
    </w:rPr>
  </w:style>
  <w:style w:type="paragraph" w:customStyle="1" w:styleId="21">
    <w:name w:val="标题 21"/>
    <w:basedOn w:val="a"/>
    <w:uiPriority w:val="1"/>
    <w:qFormat/>
    <w:pPr>
      <w:widowControl/>
      <w:autoSpaceDE w:val="0"/>
      <w:autoSpaceDN w:val="0"/>
      <w:adjustRightInd w:val="0"/>
      <w:spacing w:after="200" w:line="276" w:lineRule="auto"/>
      <w:ind w:left="142"/>
      <w:jc w:val="left"/>
      <w:outlineLvl w:val="1"/>
    </w:pPr>
    <w:rPr>
      <w:rFonts w:ascii="Microsoft JhengHei" w:eastAsia="Microsoft JhengHei" w:hAnsi="Times New Roman" w:cs="Microsoft JhengHei"/>
      <w:b/>
      <w:bCs/>
      <w:kern w:val="0"/>
      <w:sz w:val="24"/>
      <w:szCs w:val="24"/>
      <w:lang w:eastAsia="en-US" w:bidi="en-US"/>
    </w:rPr>
  </w:style>
  <w:style w:type="paragraph" w:customStyle="1" w:styleId="IPO">
    <w:name w:val="IPO正文"/>
    <w:basedOn w:val="a"/>
    <w:link w:val="IPOChar"/>
    <w:qFormat/>
    <w:pPr>
      <w:widowControl/>
      <w:spacing w:afterLines="50" w:line="360" w:lineRule="auto"/>
      <w:ind w:firstLineChars="200" w:firstLine="480"/>
      <w:jc w:val="left"/>
    </w:pPr>
    <w:rPr>
      <w:rFonts w:ascii="宋体" w:eastAsia="Arial" w:hAnsi="宋体"/>
      <w:color w:val="000000"/>
      <w:kern w:val="0"/>
      <w:sz w:val="24"/>
      <w:szCs w:val="20"/>
      <w:lang w:eastAsia="en-US" w:bidi="en-US"/>
    </w:rPr>
  </w:style>
  <w:style w:type="character" w:customStyle="1" w:styleId="IPOChar">
    <w:name w:val="IPO正文 Char"/>
    <w:link w:val="IPO"/>
    <w:qFormat/>
    <w:rPr>
      <w:rFonts w:ascii="宋体" w:eastAsia="Arial" w:hAnsi="宋体"/>
      <w:color w:val="000000"/>
      <w:sz w:val="24"/>
      <w:szCs w:val="2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8548-3DF9-4E57-BE8B-17841704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fenqie-001</dc:creator>
  <cp:lastModifiedBy>璇 赵</cp:lastModifiedBy>
  <cp:revision>43</cp:revision>
  <cp:lastPrinted>2023-10-17T07:40:00Z</cp:lastPrinted>
  <dcterms:created xsi:type="dcterms:W3CDTF">2024-02-28T07:10:00Z</dcterms:created>
  <dcterms:modified xsi:type="dcterms:W3CDTF">2024-09-24T08:04:00Z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264230FDEB9643B0B1A2C91A96A0BC55_13</vt:lpwstr>
  </property>
</Properties>
</file>