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C9166">
      <w:pPr>
        <w:spacing w:before="156" w:beforeLines="50" w:line="560" w:lineRule="exact"/>
        <w:jc w:val="center"/>
        <w:rPr>
          <w:rFonts w:ascii="黑体" w:hAnsi="黑体" w:eastAsia="黑体"/>
          <w:b/>
          <w:sz w:val="36"/>
          <w:szCs w:val="36"/>
        </w:rPr>
      </w:pPr>
      <w:r>
        <w:rPr>
          <w:rFonts w:hint="eastAsia" w:ascii="黑体" w:hAnsi="黑体" w:eastAsia="黑体"/>
          <w:b/>
          <w:sz w:val="36"/>
          <w:szCs w:val="36"/>
        </w:rPr>
        <w:t>广东富信科技股份有限公司</w:t>
      </w:r>
    </w:p>
    <w:p w14:paraId="187EFBC4">
      <w:pPr>
        <w:jc w:val="center"/>
        <w:rPr>
          <w:rFonts w:ascii="黑体" w:hAnsi="黑体" w:eastAsia="黑体"/>
          <w:b/>
          <w:sz w:val="36"/>
          <w:szCs w:val="36"/>
        </w:rPr>
      </w:pPr>
      <w:r>
        <w:rPr>
          <w:rFonts w:hint="eastAsia" w:ascii="黑体" w:hAnsi="黑体" w:eastAsia="黑体"/>
          <w:b/>
          <w:sz w:val="36"/>
          <w:szCs w:val="36"/>
        </w:rPr>
        <w:t>投资者关系活动记录表</w:t>
      </w:r>
    </w:p>
    <w:p w14:paraId="059FED42">
      <w:pPr>
        <w:jc w:val="both"/>
        <w:rPr>
          <w:rFonts w:hint="default" w:ascii="Times New Roman" w:hAnsi="Times New Roman" w:eastAsia="黑体"/>
          <w:bCs/>
          <w:sz w:val="36"/>
          <w:szCs w:val="36"/>
          <w:lang w:val="en-US" w:eastAsia="zh-CN"/>
        </w:rPr>
      </w:pPr>
      <w:r>
        <w:rPr>
          <w:rFonts w:hint="eastAsia" w:ascii="黑体" w:hAnsi="黑体" w:eastAsia="黑体"/>
          <w:bCs/>
          <w:sz w:val="28"/>
          <w:szCs w:val="28"/>
        </w:rPr>
        <w:t>股票简称：富信科技</w:t>
      </w:r>
      <w:r>
        <w:rPr>
          <w:rFonts w:hint="eastAsia" w:ascii="黑体" w:hAnsi="黑体" w:eastAsia="黑体"/>
          <w:bCs/>
          <w:sz w:val="28"/>
          <w:szCs w:val="28"/>
          <w:lang w:val="en-US" w:eastAsia="zh-CN"/>
        </w:rPr>
        <w:t xml:space="preserve">   </w:t>
      </w:r>
      <w:r>
        <w:rPr>
          <w:rFonts w:hint="eastAsia" w:ascii="黑体" w:hAnsi="黑体" w:eastAsia="黑体"/>
          <w:bCs/>
          <w:sz w:val="28"/>
          <w:szCs w:val="28"/>
        </w:rPr>
        <w:t>证券代码：</w:t>
      </w:r>
      <w:r>
        <w:rPr>
          <w:rFonts w:hint="eastAsia" w:ascii="Times New Roman" w:hAnsi="Times New Roman" w:eastAsia="黑体"/>
          <w:bCs/>
          <w:sz w:val="28"/>
          <w:szCs w:val="28"/>
        </w:rPr>
        <w:t>68866</w:t>
      </w:r>
      <w:r>
        <w:rPr>
          <w:rFonts w:hint="eastAsia" w:ascii="Times New Roman" w:hAnsi="Times New Roman" w:eastAsia="黑体"/>
          <w:bCs/>
          <w:sz w:val="28"/>
          <w:szCs w:val="28"/>
          <w:lang w:val="en-US" w:eastAsia="zh-CN"/>
        </w:rPr>
        <w:t>2</w:t>
      </w:r>
      <w:r>
        <w:rPr>
          <w:rFonts w:hint="eastAsia" w:eastAsia="黑体"/>
          <w:bCs/>
          <w:sz w:val="28"/>
          <w:szCs w:val="28"/>
          <w:lang w:val="en-US" w:eastAsia="zh-CN"/>
        </w:rPr>
        <w:t xml:space="preserve">   </w:t>
      </w:r>
      <w:r>
        <w:rPr>
          <w:rFonts w:hint="eastAsia" w:ascii="黑体" w:hAnsi="黑体" w:eastAsia="黑体"/>
          <w:bCs/>
          <w:sz w:val="28"/>
          <w:szCs w:val="28"/>
        </w:rPr>
        <w:t>记录表编号：</w:t>
      </w:r>
      <w:r>
        <w:rPr>
          <w:rFonts w:hint="eastAsia" w:ascii="Times New Roman" w:hAnsi="Times New Roman" w:eastAsia="黑体"/>
          <w:bCs/>
          <w:sz w:val="28"/>
          <w:szCs w:val="28"/>
        </w:rPr>
        <w:t>202</w:t>
      </w:r>
      <w:r>
        <w:rPr>
          <w:rFonts w:hint="eastAsia" w:ascii="Times New Roman" w:hAnsi="Times New Roman" w:eastAsia="黑体"/>
          <w:bCs/>
          <w:sz w:val="28"/>
          <w:szCs w:val="28"/>
          <w:lang w:val="en-US" w:eastAsia="zh-CN"/>
        </w:rPr>
        <w:t>4</w:t>
      </w:r>
      <w:r>
        <w:rPr>
          <w:rFonts w:hint="eastAsia" w:ascii="黑体" w:hAnsi="黑体" w:eastAsia="黑体"/>
          <w:bCs/>
          <w:sz w:val="28"/>
          <w:szCs w:val="28"/>
        </w:rPr>
        <w:t>-</w:t>
      </w:r>
      <w:r>
        <w:rPr>
          <w:rFonts w:hint="eastAsia" w:ascii="Times New Roman" w:hAnsi="Times New Roman" w:eastAsia="黑体"/>
          <w:bCs/>
          <w:sz w:val="28"/>
          <w:szCs w:val="28"/>
        </w:rPr>
        <w:t>0</w:t>
      </w:r>
      <w:r>
        <w:rPr>
          <w:rFonts w:hint="eastAsia" w:ascii="Times New Roman" w:hAnsi="Times New Roman" w:eastAsia="黑体"/>
          <w:bCs/>
          <w:sz w:val="28"/>
          <w:szCs w:val="28"/>
          <w:lang w:val="en-US" w:eastAsia="zh-CN"/>
        </w:rPr>
        <w:t>07</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6554"/>
      </w:tblGrid>
      <w:tr w14:paraId="1AD3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1965" w:type="dxa"/>
            <w:shd w:val="clear" w:color="auto" w:fill="auto"/>
            <w:vAlign w:val="center"/>
          </w:tcPr>
          <w:p w14:paraId="2466764D">
            <w:pPr>
              <w:keepNext w:val="0"/>
              <w:keepLines w:val="0"/>
              <w:pageBreakBefore w:val="0"/>
              <w:widowControl w:val="0"/>
              <w:kinsoku/>
              <w:wordWrap/>
              <w:overflowPunct/>
              <w:topLinePunct w:val="0"/>
              <w:autoSpaceDE/>
              <w:autoSpaceDN/>
              <w:bidi w:val="0"/>
              <w:adjustRightInd/>
              <w:snapToGrid/>
              <w:spacing w:line="240" w:lineRule="auto"/>
              <w:ind w:right="-119" w:rightChars="0"/>
              <w:jc w:val="center"/>
              <w:textAlignment w:val="auto"/>
              <w:rPr>
                <w:rFonts w:ascii="宋体" w:hAnsi="宋体" w:cs="宋体"/>
                <w:sz w:val="24"/>
                <w:szCs w:val="24"/>
              </w:rPr>
            </w:pPr>
            <w:r>
              <w:rPr>
                <w:rFonts w:hint="eastAsia" w:ascii="宋体" w:hAnsi="宋体" w:cs="宋体"/>
                <w:sz w:val="24"/>
                <w:szCs w:val="24"/>
              </w:rPr>
              <w:t>投资者关系活动类别</w:t>
            </w:r>
          </w:p>
        </w:tc>
        <w:tc>
          <w:tcPr>
            <w:tcW w:w="6554" w:type="dxa"/>
            <w:shd w:val="clear" w:color="auto" w:fill="auto"/>
            <w:vAlign w:val="center"/>
          </w:tcPr>
          <w:p w14:paraId="6F2D165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特定对象调研</w:t>
            </w:r>
            <w:r>
              <w:rPr>
                <w:rFonts w:hint="eastAsia" w:ascii="宋体" w:hAnsi="宋体" w:cs="宋体"/>
                <w:sz w:val="24"/>
                <w:szCs w:val="24"/>
                <w:lang w:val="en-US" w:eastAsia="zh-CN"/>
              </w:rPr>
              <w:t xml:space="preserve">       </w:t>
            </w:r>
            <w:r>
              <w:rPr>
                <w:rFonts w:hint="eastAsia" w:ascii="宋体" w:hAnsi="宋体" w:cs="宋体"/>
                <w:sz w:val="24"/>
                <w:szCs w:val="24"/>
                <w:lang w:eastAsia="zh-CN"/>
              </w:rPr>
              <w:t>□</w:t>
            </w:r>
            <w:r>
              <w:rPr>
                <w:rFonts w:hint="eastAsia" w:ascii="宋体" w:hAnsi="宋体" w:cs="宋体"/>
                <w:sz w:val="24"/>
                <w:szCs w:val="24"/>
              </w:rPr>
              <w:t>分析师会议</w:t>
            </w:r>
            <w:r>
              <w:rPr>
                <w:rFonts w:hint="eastAsia" w:ascii="宋体" w:hAnsi="宋体" w:cs="宋体"/>
                <w:sz w:val="24"/>
                <w:szCs w:val="24"/>
                <w:lang w:val="en-US" w:eastAsia="zh-CN"/>
              </w:rPr>
              <w:t xml:space="preserve">       </w:t>
            </w:r>
            <w:r>
              <w:rPr>
                <w:rFonts w:hint="eastAsia" w:ascii="宋体" w:hAnsi="宋体" w:cs="宋体"/>
                <w:sz w:val="24"/>
                <w:szCs w:val="24"/>
              </w:rPr>
              <w:sym w:font="Wingdings 2" w:char="00A3"/>
            </w:r>
            <w:r>
              <w:rPr>
                <w:rFonts w:hint="eastAsia" w:ascii="宋体" w:hAnsi="宋体" w:cs="宋体"/>
                <w:sz w:val="24"/>
                <w:szCs w:val="24"/>
              </w:rPr>
              <w:t>媒体采访</w:t>
            </w:r>
          </w:p>
          <w:p w14:paraId="0B3E47D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业绩说明会</w:t>
            </w:r>
            <w:r>
              <w:rPr>
                <w:rFonts w:hint="eastAsia" w:ascii="宋体" w:hAnsi="宋体" w:cs="宋体"/>
                <w:sz w:val="24"/>
                <w:szCs w:val="24"/>
                <w:lang w:val="en-US" w:eastAsia="zh-CN"/>
              </w:rPr>
              <w:t xml:space="preserve">         </w:t>
            </w:r>
            <w:r>
              <w:rPr>
                <w:rFonts w:hint="eastAsia" w:ascii="宋体" w:hAnsi="宋体" w:cs="宋体"/>
                <w:sz w:val="24"/>
                <w:szCs w:val="24"/>
              </w:rPr>
              <w:sym w:font="Wingdings 2" w:char="00A3"/>
            </w:r>
            <w:r>
              <w:rPr>
                <w:rFonts w:hint="eastAsia" w:ascii="宋体" w:hAnsi="宋体" w:cs="宋体"/>
                <w:sz w:val="24"/>
                <w:szCs w:val="24"/>
              </w:rPr>
              <w:t>新闻发布会</w:t>
            </w:r>
            <w:r>
              <w:rPr>
                <w:rFonts w:hint="eastAsia" w:ascii="宋体" w:hAnsi="宋体" w:cs="宋体"/>
                <w:sz w:val="24"/>
                <w:szCs w:val="24"/>
                <w:lang w:val="en-US" w:eastAsia="zh-CN"/>
              </w:rPr>
              <w:t xml:space="preserve">       </w:t>
            </w:r>
            <w:r>
              <w:rPr>
                <w:rFonts w:hint="eastAsia" w:ascii="宋体" w:hAnsi="宋体" w:cs="宋体"/>
                <w:sz w:val="24"/>
                <w:szCs w:val="24"/>
              </w:rPr>
              <w:sym w:font="Wingdings 2" w:char="0052"/>
            </w:r>
            <w:r>
              <w:rPr>
                <w:rFonts w:hint="eastAsia" w:ascii="宋体" w:hAnsi="宋体" w:cs="宋体"/>
                <w:sz w:val="24"/>
                <w:szCs w:val="24"/>
              </w:rPr>
              <w:t>现场参观</w:t>
            </w:r>
          </w:p>
          <w:p w14:paraId="61CC52A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sz w:val="24"/>
                <w:szCs w:val="24"/>
                <w:lang w:val="en-US" w:eastAsia="zh-CN"/>
              </w:rPr>
            </w:pPr>
            <w:r>
              <w:rPr>
                <w:rFonts w:hint="eastAsia" w:ascii="宋体" w:hAnsi="宋体" w:cs="宋体"/>
                <w:sz w:val="24"/>
                <w:szCs w:val="24"/>
              </w:rPr>
              <w:sym w:font="Wingdings 2" w:char="0052"/>
            </w:r>
            <w:r>
              <w:rPr>
                <w:rFonts w:hint="eastAsia" w:ascii="宋体" w:hAnsi="宋体" w:cs="宋体"/>
                <w:sz w:val="24"/>
                <w:szCs w:val="24"/>
              </w:rPr>
              <w:t>其他：</w:t>
            </w:r>
            <w:r>
              <w:rPr>
                <w:rFonts w:hint="eastAsia" w:ascii="宋体" w:hAnsi="宋体" w:cs="宋体"/>
                <w:sz w:val="24"/>
                <w:szCs w:val="24"/>
                <w:u w:val="single"/>
                <w:lang w:val="en-US" w:eastAsia="zh-CN"/>
              </w:rPr>
              <w:t>走进上市公司活动</w:t>
            </w:r>
          </w:p>
        </w:tc>
      </w:tr>
      <w:tr w14:paraId="579A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1965" w:type="dxa"/>
            <w:shd w:val="clear" w:color="auto" w:fill="auto"/>
            <w:vAlign w:val="center"/>
          </w:tcPr>
          <w:p w14:paraId="7A696C41">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sz w:val="24"/>
                <w:szCs w:val="24"/>
                <w:lang w:val="en-US" w:eastAsia="zh-CN"/>
              </w:rPr>
            </w:pPr>
            <w:r>
              <w:rPr>
                <w:rFonts w:hint="eastAsia"/>
                <w:sz w:val="24"/>
              </w:rPr>
              <w:t>参与单位名称及人员姓名</w:t>
            </w:r>
          </w:p>
        </w:tc>
        <w:tc>
          <w:tcPr>
            <w:tcW w:w="6554" w:type="dxa"/>
            <w:shd w:val="clear" w:color="auto" w:fill="auto"/>
            <w:vAlign w:val="center"/>
          </w:tcPr>
          <w:p w14:paraId="4B7FF6E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sz w:val="24"/>
                <w:szCs w:val="24"/>
                <w:lang w:val="en-US" w:eastAsia="zh-CN"/>
              </w:rPr>
            </w:pPr>
            <w:r>
              <w:rPr>
                <w:rFonts w:hint="eastAsia" w:ascii="宋体" w:hAnsi="宋体" w:cs="宋体"/>
                <w:sz w:val="24"/>
                <w:szCs w:val="24"/>
                <w:lang w:val="en-US" w:eastAsia="zh-CN"/>
              </w:rPr>
              <w:t>华泰</w:t>
            </w:r>
            <w:r>
              <w:rPr>
                <w:rFonts w:hint="default" w:ascii="宋体" w:hAnsi="宋体" w:eastAsia="宋体" w:cs="宋体"/>
                <w:sz w:val="24"/>
                <w:szCs w:val="24"/>
                <w:lang w:val="en-US" w:eastAsia="zh-CN"/>
              </w:rPr>
              <w:t>证券</w:t>
            </w:r>
            <w:r>
              <w:rPr>
                <w:rFonts w:hint="eastAsia" w:ascii="宋体" w:hAnsi="宋体" w:cs="宋体"/>
                <w:sz w:val="24"/>
                <w:szCs w:val="24"/>
                <w:lang w:val="en-US" w:eastAsia="zh-CN"/>
              </w:rPr>
              <w:t>股份有限公司、</w:t>
            </w:r>
            <w:r>
              <w:rPr>
                <w:rFonts w:hint="default" w:ascii="宋体" w:hAnsi="宋体" w:eastAsia="宋体" w:cs="宋体"/>
                <w:sz w:val="24"/>
                <w:szCs w:val="24"/>
                <w:lang w:val="en-US" w:eastAsia="zh-CN"/>
              </w:rPr>
              <w:t>佛山</w:t>
            </w:r>
            <w:r>
              <w:rPr>
                <w:rFonts w:hint="eastAsia" w:ascii="宋体" w:hAnsi="宋体" w:cs="宋体"/>
                <w:sz w:val="24"/>
                <w:szCs w:val="24"/>
                <w:lang w:val="en-US" w:eastAsia="zh-CN"/>
              </w:rPr>
              <w:t>市上市公司</w:t>
            </w:r>
            <w:r>
              <w:rPr>
                <w:rFonts w:hint="default" w:ascii="宋体" w:hAnsi="宋体" w:eastAsia="宋体" w:cs="宋体"/>
                <w:sz w:val="24"/>
                <w:szCs w:val="24"/>
                <w:lang w:val="en-US" w:eastAsia="zh-CN"/>
              </w:rPr>
              <w:t>协会</w:t>
            </w:r>
            <w:r>
              <w:rPr>
                <w:rFonts w:hint="eastAsia" w:ascii="宋体" w:hAnsi="宋体" w:cs="宋体"/>
                <w:sz w:val="24"/>
                <w:szCs w:val="24"/>
                <w:lang w:val="en-US" w:eastAsia="zh-CN"/>
              </w:rPr>
              <w:t>、佛山市证券期货协会、</w:t>
            </w:r>
            <w:r>
              <w:rPr>
                <w:rFonts w:hint="default" w:ascii="宋体" w:hAnsi="宋体" w:eastAsia="宋体" w:cs="宋体"/>
                <w:sz w:val="24"/>
                <w:szCs w:val="24"/>
                <w:lang w:val="en-US" w:eastAsia="zh-CN"/>
              </w:rPr>
              <w:t>广州起点投资有限公司</w:t>
            </w:r>
            <w:r>
              <w:rPr>
                <w:rFonts w:hint="eastAsia" w:ascii="宋体" w:hAnsi="宋体" w:cs="宋体"/>
                <w:sz w:val="24"/>
                <w:szCs w:val="24"/>
                <w:lang w:val="en-US" w:eastAsia="zh-CN"/>
              </w:rPr>
              <w:t>、</w:t>
            </w:r>
            <w:r>
              <w:rPr>
                <w:rFonts w:hint="default" w:ascii="宋体" w:hAnsi="宋体" w:eastAsia="宋体" w:cs="宋体"/>
                <w:sz w:val="24"/>
                <w:szCs w:val="24"/>
                <w:lang w:val="en-US" w:eastAsia="zh-CN"/>
              </w:rPr>
              <w:t>广东聚德富私募基金管理有限公司</w:t>
            </w:r>
            <w:r>
              <w:rPr>
                <w:rFonts w:hint="eastAsia" w:ascii="宋体" w:hAnsi="宋体" w:cs="宋体"/>
                <w:sz w:val="24"/>
                <w:szCs w:val="24"/>
                <w:lang w:val="en-US" w:eastAsia="zh-CN"/>
              </w:rPr>
              <w:t>、</w:t>
            </w:r>
            <w:r>
              <w:rPr>
                <w:rFonts w:hint="default" w:ascii="宋体" w:hAnsi="宋体" w:eastAsia="宋体" w:cs="宋体"/>
                <w:sz w:val="24"/>
                <w:szCs w:val="24"/>
                <w:lang w:val="en-US" w:eastAsia="zh-CN"/>
              </w:rPr>
              <w:t>广东万泽汇资产管理有限公司</w:t>
            </w:r>
            <w:r>
              <w:rPr>
                <w:rFonts w:hint="eastAsia" w:ascii="宋体" w:hAnsi="宋体" w:cs="宋体"/>
                <w:sz w:val="24"/>
                <w:szCs w:val="24"/>
                <w:lang w:val="en-US" w:eastAsia="zh-CN"/>
              </w:rPr>
              <w:t>、</w:t>
            </w:r>
            <w:r>
              <w:rPr>
                <w:rFonts w:hint="default" w:ascii="宋体" w:hAnsi="宋体" w:eastAsia="宋体" w:cs="宋体"/>
                <w:sz w:val="24"/>
                <w:szCs w:val="24"/>
                <w:lang w:val="en-US" w:eastAsia="zh-CN"/>
              </w:rPr>
              <w:t>广东凯鼎投资有限公司</w:t>
            </w:r>
            <w:r>
              <w:rPr>
                <w:rFonts w:hint="eastAsia" w:ascii="宋体" w:hAnsi="宋体" w:cs="宋体"/>
                <w:sz w:val="24"/>
                <w:szCs w:val="24"/>
                <w:lang w:val="en-US" w:eastAsia="zh-CN"/>
              </w:rPr>
              <w:t>、广州红猫资产管理有限公司、广东吉翱私募基金管理有限责任公司、广州鑫纪元私募基金管理有限公司、远东宏信有限公司、</w:t>
            </w:r>
            <w:r>
              <w:rPr>
                <w:rFonts w:hint="default" w:ascii="宋体" w:hAnsi="宋体" w:eastAsia="宋体" w:cs="宋体"/>
                <w:sz w:val="24"/>
                <w:szCs w:val="24"/>
                <w:lang w:val="en-US" w:eastAsia="zh-CN"/>
              </w:rPr>
              <w:t>广东禅控私募基金管理有限公司</w:t>
            </w:r>
            <w:r>
              <w:rPr>
                <w:rFonts w:hint="eastAsia" w:ascii="宋体" w:hAnsi="宋体" w:cs="宋体"/>
                <w:sz w:val="24"/>
                <w:szCs w:val="24"/>
                <w:lang w:val="en-US" w:eastAsia="zh-CN"/>
              </w:rPr>
              <w:t>、德高信控股集团有限公司、山东森为投资有限公司、壹渥投资（福州）有限公司、江苏盛世纪私募基金管理有限</w:t>
            </w:r>
            <w:bookmarkStart w:id="0" w:name="_GoBack"/>
            <w:bookmarkEnd w:id="0"/>
            <w:r>
              <w:rPr>
                <w:rFonts w:hint="eastAsia" w:ascii="宋体" w:hAnsi="宋体" w:cs="宋体"/>
                <w:sz w:val="24"/>
                <w:szCs w:val="24"/>
                <w:lang w:val="en-US" w:eastAsia="zh-CN"/>
              </w:rPr>
              <w:t>公司等机构</w:t>
            </w:r>
          </w:p>
        </w:tc>
      </w:tr>
      <w:tr w14:paraId="31AB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65" w:type="dxa"/>
            <w:shd w:val="clear" w:color="auto" w:fill="auto"/>
            <w:vAlign w:val="center"/>
          </w:tcPr>
          <w:p w14:paraId="0872C8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4"/>
                <w:szCs w:val="22"/>
                <w:lang w:val="en-US" w:eastAsia="zh-CN" w:bidi="ar-SA"/>
              </w:rPr>
            </w:pPr>
            <w:r>
              <w:rPr>
                <w:rFonts w:hint="eastAsia" w:cs="Times New Roman"/>
                <w:kern w:val="2"/>
                <w:sz w:val="24"/>
                <w:szCs w:val="22"/>
                <w:lang w:val="en-US" w:eastAsia="zh-CN" w:bidi="ar-SA"/>
              </w:rPr>
              <w:t>时间</w:t>
            </w:r>
          </w:p>
        </w:tc>
        <w:tc>
          <w:tcPr>
            <w:tcW w:w="6554" w:type="dxa"/>
            <w:shd w:val="clear" w:color="auto" w:fill="auto"/>
            <w:vAlign w:val="center"/>
          </w:tcPr>
          <w:p w14:paraId="7D71715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2"/>
                <w:sz w:val="24"/>
                <w:szCs w:val="22"/>
                <w:lang w:val="en-US" w:eastAsia="zh-CN" w:bidi="ar-SA"/>
              </w:rPr>
            </w:pPr>
            <w:r>
              <w:rPr>
                <w:rFonts w:hint="eastAsia" w:cs="Times New Roman"/>
                <w:kern w:val="2"/>
                <w:sz w:val="24"/>
                <w:szCs w:val="22"/>
                <w:lang w:val="en-US" w:eastAsia="zh-CN" w:bidi="ar-SA"/>
              </w:rPr>
              <w:t>2024年9月25日9:30-11:30</w:t>
            </w:r>
          </w:p>
        </w:tc>
      </w:tr>
      <w:tr w14:paraId="74D8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65" w:type="dxa"/>
            <w:shd w:val="clear" w:color="auto" w:fill="auto"/>
            <w:vAlign w:val="center"/>
          </w:tcPr>
          <w:p w14:paraId="767F50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kern w:val="2"/>
                <w:sz w:val="24"/>
                <w:szCs w:val="22"/>
                <w:lang w:val="en-US" w:eastAsia="zh-CN" w:bidi="ar-SA"/>
              </w:rPr>
            </w:pPr>
            <w:r>
              <w:rPr>
                <w:rFonts w:hint="eastAsia"/>
                <w:sz w:val="24"/>
              </w:rPr>
              <w:t>地点</w:t>
            </w:r>
          </w:p>
        </w:tc>
        <w:tc>
          <w:tcPr>
            <w:tcW w:w="6554" w:type="dxa"/>
            <w:shd w:val="clear" w:color="auto" w:fill="auto"/>
            <w:vAlign w:val="center"/>
          </w:tcPr>
          <w:p w14:paraId="31C56A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公司会议室</w:t>
            </w:r>
          </w:p>
        </w:tc>
      </w:tr>
      <w:tr w14:paraId="0621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1965" w:type="dxa"/>
            <w:shd w:val="clear" w:color="auto" w:fill="auto"/>
            <w:vAlign w:val="center"/>
          </w:tcPr>
          <w:p w14:paraId="31B90C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rPr>
            </w:pPr>
            <w:r>
              <w:rPr>
                <w:rFonts w:hint="eastAsia"/>
                <w:sz w:val="24"/>
              </w:rPr>
              <w:t>公司接待人员</w:t>
            </w:r>
          </w:p>
          <w:p w14:paraId="3542DE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rPr>
            </w:pPr>
            <w:r>
              <w:rPr>
                <w:rFonts w:hint="eastAsia"/>
                <w:sz w:val="24"/>
              </w:rPr>
              <w:t>姓名</w:t>
            </w:r>
          </w:p>
        </w:tc>
        <w:tc>
          <w:tcPr>
            <w:tcW w:w="6554" w:type="dxa"/>
            <w:shd w:val="clear" w:color="auto" w:fill="auto"/>
            <w:vAlign w:val="center"/>
          </w:tcPr>
          <w:p w14:paraId="7750A1D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sz w:val="24"/>
              </w:rPr>
            </w:pPr>
            <w:r>
              <w:rPr>
                <w:rFonts w:hint="eastAsia"/>
                <w:sz w:val="24"/>
              </w:rPr>
              <w:t>董事、副总经理</w:t>
            </w:r>
            <w:r>
              <w:rPr>
                <w:rFonts w:hint="eastAsia"/>
                <w:sz w:val="24"/>
                <w:lang w:eastAsia="zh-CN"/>
              </w:rPr>
              <w:t>：</w:t>
            </w:r>
            <w:r>
              <w:rPr>
                <w:rFonts w:hint="eastAsia"/>
                <w:sz w:val="24"/>
              </w:rPr>
              <w:t>洪云</w:t>
            </w:r>
          </w:p>
          <w:p w14:paraId="5615806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sz w:val="24"/>
              </w:rPr>
            </w:pPr>
            <w:r>
              <w:rPr>
                <w:rFonts w:hint="eastAsia"/>
                <w:sz w:val="24"/>
              </w:rPr>
              <w:t>财务总监</w:t>
            </w:r>
            <w:r>
              <w:rPr>
                <w:rFonts w:hint="eastAsia"/>
                <w:sz w:val="24"/>
                <w:lang w:eastAsia="zh-CN"/>
              </w:rPr>
              <w:t>：</w:t>
            </w:r>
            <w:r>
              <w:rPr>
                <w:rFonts w:hint="eastAsia"/>
                <w:sz w:val="24"/>
              </w:rPr>
              <w:t>刘淑华</w:t>
            </w:r>
          </w:p>
          <w:p w14:paraId="226099DB">
            <w:pPr>
              <w:keepNext w:val="0"/>
              <w:keepLines w:val="0"/>
              <w:pageBreakBefore w:val="0"/>
              <w:widowControl w:val="0"/>
              <w:numPr>
                <w:ilvl w:val="0"/>
                <w:numId w:val="1"/>
              </w:numPr>
              <w:tabs>
                <w:tab w:val="left" w:pos="3903"/>
              </w:tabs>
              <w:kinsoku/>
              <w:wordWrap/>
              <w:overflowPunct/>
              <w:topLinePunct w:val="0"/>
              <w:autoSpaceDE/>
              <w:autoSpaceDN/>
              <w:bidi w:val="0"/>
              <w:adjustRightInd/>
              <w:snapToGrid/>
              <w:spacing w:line="360" w:lineRule="auto"/>
              <w:ind w:left="0" w:leftChars="0" w:firstLine="0" w:firstLineChars="0"/>
              <w:jc w:val="left"/>
              <w:textAlignment w:val="auto"/>
              <w:rPr>
                <w:sz w:val="24"/>
              </w:rPr>
            </w:pPr>
            <w:r>
              <w:rPr>
                <w:rFonts w:hint="eastAsia"/>
                <w:sz w:val="24"/>
              </w:rPr>
              <w:t>董事会秘书</w:t>
            </w:r>
            <w:r>
              <w:rPr>
                <w:rFonts w:hint="eastAsia"/>
                <w:sz w:val="24"/>
                <w:lang w:eastAsia="zh-CN"/>
              </w:rPr>
              <w:t>：</w:t>
            </w:r>
            <w:r>
              <w:rPr>
                <w:rFonts w:hint="eastAsia"/>
                <w:sz w:val="24"/>
              </w:rPr>
              <w:t>田泉</w:t>
            </w:r>
            <w:r>
              <w:rPr>
                <w:rFonts w:hint="eastAsia"/>
                <w:sz w:val="24"/>
                <w:lang w:eastAsia="zh-CN"/>
              </w:rPr>
              <w:tab/>
            </w:r>
          </w:p>
          <w:p w14:paraId="2EAC83A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sz w:val="24"/>
              </w:rPr>
            </w:pPr>
            <w:r>
              <w:rPr>
                <w:rFonts w:hint="eastAsia"/>
                <w:sz w:val="24"/>
              </w:rPr>
              <w:t>证券事务代表：霍莹敏</w:t>
            </w:r>
          </w:p>
        </w:tc>
      </w:tr>
      <w:tr w14:paraId="7D9E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65" w:type="dxa"/>
            <w:shd w:val="clear" w:color="auto" w:fill="auto"/>
            <w:vAlign w:val="center"/>
          </w:tcPr>
          <w:p w14:paraId="170D021E">
            <w:pPr>
              <w:keepNext w:val="0"/>
              <w:keepLines w:val="0"/>
              <w:pageBreakBefore w:val="0"/>
              <w:widowControl w:val="0"/>
              <w:kinsoku/>
              <w:wordWrap/>
              <w:overflowPunct/>
              <w:topLinePunct w:val="0"/>
              <w:autoSpaceDE/>
              <w:autoSpaceDN/>
              <w:bidi w:val="0"/>
              <w:adjustRightInd/>
              <w:snapToGrid/>
              <w:spacing w:line="336" w:lineRule="auto"/>
              <w:jc w:val="center"/>
              <w:textAlignment w:val="auto"/>
              <w:rPr>
                <w:sz w:val="24"/>
                <w:szCs w:val="24"/>
              </w:rPr>
            </w:pPr>
            <w:r>
              <w:rPr>
                <w:sz w:val="24"/>
                <w:szCs w:val="24"/>
              </w:rPr>
              <w:t>投资者关系活动</w:t>
            </w:r>
          </w:p>
          <w:p w14:paraId="5C573630">
            <w:pPr>
              <w:keepNext w:val="0"/>
              <w:keepLines w:val="0"/>
              <w:pageBreakBefore w:val="0"/>
              <w:widowControl w:val="0"/>
              <w:kinsoku/>
              <w:wordWrap/>
              <w:overflowPunct/>
              <w:topLinePunct w:val="0"/>
              <w:autoSpaceDE/>
              <w:autoSpaceDN/>
              <w:bidi w:val="0"/>
              <w:adjustRightInd/>
              <w:snapToGrid/>
              <w:spacing w:line="336" w:lineRule="auto"/>
              <w:jc w:val="center"/>
              <w:textAlignment w:val="auto"/>
              <w:rPr>
                <w:sz w:val="28"/>
                <w:szCs w:val="24"/>
              </w:rPr>
            </w:pPr>
            <w:r>
              <w:rPr>
                <w:sz w:val="24"/>
                <w:szCs w:val="24"/>
              </w:rPr>
              <w:t>主要内容介绍</w:t>
            </w:r>
          </w:p>
        </w:tc>
        <w:tc>
          <w:tcPr>
            <w:tcW w:w="6554" w:type="dxa"/>
            <w:shd w:val="clear" w:color="auto" w:fill="auto"/>
          </w:tcPr>
          <w:p w14:paraId="1C6C3B8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b/>
                <w:bCs/>
                <w:sz w:val="24"/>
                <w:szCs w:val="24"/>
              </w:rPr>
            </w:pPr>
            <w:r>
              <w:rPr>
                <w:rFonts w:hint="eastAsia"/>
                <w:b/>
                <w:bCs/>
                <w:sz w:val="24"/>
                <w:szCs w:val="24"/>
              </w:rPr>
              <w:t>机构与高管问答交流</w:t>
            </w:r>
          </w:p>
          <w:p w14:paraId="0C2BB994">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hint="default" w:ascii="宋体" w:hAnsi="宋体"/>
                <w:b/>
                <w:sz w:val="24"/>
                <w:szCs w:val="24"/>
              </w:rPr>
            </w:pPr>
            <w:r>
              <w:rPr>
                <w:rFonts w:hint="eastAsia"/>
                <w:b/>
                <w:bCs/>
                <w:sz w:val="24"/>
              </w:rPr>
              <w:t>问</w:t>
            </w:r>
            <w:r>
              <w:rPr>
                <w:rFonts w:hint="eastAsia" w:ascii="Times New Roman" w:hAnsi="Times New Roman"/>
                <w:b/>
                <w:bCs/>
                <w:sz w:val="24"/>
                <w:lang w:val="en-US" w:eastAsia="zh-CN"/>
              </w:rPr>
              <w:t>1</w:t>
            </w:r>
            <w:r>
              <w:rPr>
                <w:rFonts w:hint="eastAsia" w:ascii="Times New Roman" w:hAnsi="Times New Roman"/>
                <w:b/>
                <w:bCs/>
                <w:sz w:val="24"/>
              </w:rPr>
              <w:t>：</w:t>
            </w:r>
            <w:r>
              <w:rPr>
                <w:rFonts w:hint="eastAsia"/>
                <w:b/>
                <w:bCs/>
                <w:sz w:val="24"/>
                <w:lang w:eastAsia="zh-CN"/>
              </w:rPr>
              <w:t>请问</w:t>
            </w:r>
            <w:r>
              <w:rPr>
                <w:rFonts w:hint="eastAsia" w:ascii="宋体" w:hAnsi="宋体"/>
                <w:b/>
                <w:sz w:val="24"/>
                <w:szCs w:val="24"/>
                <w:lang w:val="en-US" w:eastAsia="zh-CN"/>
              </w:rPr>
              <w:t>应用于</w:t>
            </w:r>
            <w:r>
              <w:rPr>
                <w:rFonts w:hint="default" w:ascii="Times New Roman" w:hAnsi="Times New Roman"/>
                <w:b/>
                <w:sz w:val="24"/>
                <w:szCs w:val="24"/>
              </w:rPr>
              <w:t>400/800</w:t>
            </w:r>
            <w:r>
              <w:rPr>
                <w:rFonts w:hint="eastAsia"/>
                <w:b/>
                <w:sz w:val="24"/>
                <w:szCs w:val="24"/>
                <w:lang w:val="en-US" w:eastAsia="zh-CN"/>
              </w:rPr>
              <w:t>G光模块的</w:t>
            </w:r>
            <w:r>
              <w:rPr>
                <w:rFonts w:hint="default" w:ascii="Times New Roman" w:hAnsi="Times New Roman" w:cs="Times New Roman"/>
                <w:b/>
                <w:bCs/>
                <w:sz w:val="24"/>
                <w:szCs w:val="24"/>
              </w:rPr>
              <w:t>Micro TEC</w:t>
            </w:r>
            <w:r>
              <w:rPr>
                <w:rFonts w:hint="default" w:ascii="宋体" w:hAnsi="宋体"/>
                <w:b/>
                <w:sz w:val="24"/>
                <w:szCs w:val="24"/>
              </w:rPr>
              <w:t>目前进展</w:t>
            </w:r>
            <w:r>
              <w:rPr>
                <w:rFonts w:hint="eastAsia" w:ascii="宋体" w:hAnsi="宋体"/>
                <w:b/>
                <w:sz w:val="24"/>
                <w:szCs w:val="24"/>
                <w:lang w:eastAsia="zh-CN"/>
              </w:rPr>
              <w:t>如何</w:t>
            </w:r>
            <w:r>
              <w:rPr>
                <w:rFonts w:hint="default" w:ascii="宋体" w:hAnsi="宋体"/>
                <w:b/>
                <w:sz w:val="24"/>
                <w:szCs w:val="24"/>
              </w:rPr>
              <w:t>？</w:t>
            </w:r>
          </w:p>
          <w:p w14:paraId="64275199">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b/>
                <w:bCs/>
                <w:sz w:val="24"/>
                <w:szCs w:val="24"/>
                <w:lang w:val="en-US" w:eastAsia="zh-CN"/>
              </w:rPr>
            </w:pPr>
            <w:r>
              <w:rPr>
                <w:rFonts w:hint="default"/>
                <w:b w:val="0"/>
                <w:bCs w:val="0"/>
                <w:sz w:val="24"/>
                <w:lang w:val="en-US" w:eastAsia="zh-CN"/>
              </w:rPr>
              <w:t>答：</w:t>
            </w:r>
            <w:r>
              <w:rPr>
                <w:rFonts w:hint="default" w:ascii="宋体" w:hAnsi="宋体"/>
                <w:sz w:val="24"/>
                <w:szCs w:val="24"/>
              </w:rPr>
              <w:t>应用于数通</w:t>
            </w:r>
            <w:r>
              <w:rPr>
                <w:rFonts w:hint="default" w:ascii="Times New Roman" w:hAnsi="Times New Roman" w:cs="Times New Roman"/>
                <w:sz w:val="24"/>
                <w:szCs w:val="24"/>
              </w:rPr>
              <w:t>400G/800G</w:t>
            </w:r>
            <w:r>
              <w:rPr>
                <w:rFonts w:hint="default" w:ascii="宋体" w:hAnsi="宋体"/>
                <w:sz w:val="24"/>
                <w:szCs w:val="24"/>
              </w:rPr>
              <w:t>高速率光模块的</w:t>
            </w:r>
            <w:r>
              <w:rPr>
                <w:rFonts w:hint="default" w:ascii="Times New Roman" w:hAnsi="Times New Roman" w:cs="Times New Roman"/>
                <w:sz w:val="24"/>
                <w:szCs w:val="24"/>
              </w:rPr>
              <w:t>Micro TEC</w:t>
            </w:r>
            <w:r>
              <w:rPr>
                <w:rFonts w:hint="default" w:ascii="宋体" w:hAnsi="宋体"/>
                <w:sz w:val="24"/>
                <w:szCs w:val="24"/>
              </w:rPr>
              <w:t>验证周期较长，一般需要</w:t>
            </w:r>
            <w:r>
              <w:rPr>
                <w:rFonts w:hint="default" w:ascii="Times New Roman" w:hAnsi="Times New Roman"/>
                <w:sz w:val="24"/>
                <w:szCs w:val="24"/>
              </w:rPr>
              <w:t>6个</w:t>
            </w:r>
            <w:r>
              <w:rPr>
                <w:rFonts w:hint="default" w:ascii="宋体" w:hAnsi="宋体"/>
                <w:sz w:val="24"/>
                <w:szCs w:val="24"/>
              </w:rPr>
              <w:t>月以上。公司目前已与多家光模块厂商积极开展项目开发，处于小批验证阶段，验证进度取决于下游光模块厂商供应链国产化的诉求，力争今年内通过验证。后续如有进展，相关信息会在定期报告和对外公告中及时披露。</w:t>
            </w:r>
          </w:p>
          <w:p w14:paraId="75F62E8E">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hint="eastAsia"/>
                <w:b/>
                <w:bCs/>
                <w:sz w:val="24"/>
                <w:lang w:val="en-US" w:eastAsia="zh-CN"/>
              </w:rPr>
            </w:pPr>
            <w:r>
              <w:rPr>
                <w:rFonts w:hint="eastAsia"/>
                <w:b/>
                <w:bCs/>
                <w:sz w:val="24"/>
              </w:rPr>
              <w:t>问</w:t>
            </w:r>
            <w:r>
              <w:rPr>
                <w:rFonts w:hint="eastAsia" w:ascii="Times New Roman" w:hAnsi="Times New Roman"/>
                <w:b/>
                <w:bCs/>
                <w:sz w:val="24"/>
                <w:lang w:val="en-US" w:eastAsia="zh-CN"/>
              </w:rPr>
              <w:t>2</w:t>
            </w:r>
            <w:r>
              <w:rPr>
                <w:rFonts w:hint="eastAsia" w:ascii="Times New Roman" w:hAnsi="Times New Roman"/>
                <w:b/>
                <w:bCs/>
                <w:sz w:val="24"/>
              </w:rPr>
              <w:t>：</w:t>
            </w:r>
            <w:r>
              <w:rPr>
                <w:rFonts w:hint="default" w:ascii="宋体" w:hAnsi="宋体"/>
                <w:b/>
                <w:sz w:val="24"/>
                <w:szCs w:val="24"/>
              </w:rPr>
              <w:t>公司</w:t>
            </w:r>
            <w:r>
              <w:rPr>
                <w:rFonts w:hint="eastAsia" w:ascii="宋体" w:hAnsi="宋体"/>
                <w:b/>
                <w:sz w:val="24"/>
                <w:szCs w:val="24"/>
                <w:lang w:val="en-US" w:eastAsia="zh-CN"/>
              </w:rPr>
              <w:t>2024年上半年的</w:t>
            </w:r>
            <w:r>
              <w:rPr>
                <w:rFonts w:hint="default" w:ascii="宋体" w:hAnsi="宋体"/>
                <w:b/>
                <w:sz w:val="24"/>
                <w:szCs w:val="24"/>
              </w:rPr>
              <w:t>应收款项</w:t>
            </w:r>
            <w:r>
              <w:rPr>
                <w:rFonts w:hint="eastAsia" w:ascii="宋体" w:hAnsi="宋体"/>
                <w:b/>
                <w:sz w:val="24"/>
                <w:szCs w:val="24"/>
                <w:lang w:eastAsia="zh-CN"/>
              </w:rPr>
              <w:t>增长幅度较大，请问公司</w:t>
            </w:r>
            <w:r>
              <w:rPr>
                <w:rFonts w:hint="default" w:ascii="宋体" w:hAnsi="宋体"/>
                <w:b/>
                <w:sz w:val="24"/>
                <w:szCs w:val="24"/>
              </w:rPr>
              <w:t>计提坏账</w:t>
            </w:r>
            <w:r>
              <w:rPr>
                <w:rFonts w:hint="eastAsia" w:ascii="宋体" w:hAnsi="宋体"/>
                <w:b/>
                <w:sz w:val="24"/>
                <w:szCs w:val="24"/>
                <w:lang w:eastAsia="zh-CN"/>
              </w:rPr>
              <w:t>依据</w:t>
            </w:r>
            <w:r>
              <w:rPr>
                <w:rFonts w:hint="default" w:ascii="宋体" w:hAnsi="宋体"/>
                <w:b/>
                <w:sz w:val="24"/>
                <w:szCs w:val="24"/>
              </w:rPr>
              <w:t>是什么，</w:t>
            </w:r>
            <w:r>
              <w:rPr>
                <w:rFonts w:hint="eastAsia" w:ascii="宋体" w:hAnsi="宋体"/>
                <w:b/>
                <w:sz w:val="24"/>
                <w:szCs w:val="24"/>
                <w:lang w:eastAsia="zh-CN"/>
              </w:rPr>
              <w:t>如何规避</w:t>
            </w:r>
            <w:r>
              <w:rPr>
                <w:rFonts w:hint="default" w:ascii="宋体" w:hAnsi="宋体"/>
                <w:b/>
                <w:sz w:val="24"/>
                <w:szCs w:val="24"/>
              </w:rPr>
              <w:t>坏账风险？</w:t>
            </w:r>
          </w:p>
          <w:p w14:paraId="1F5312CD">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b w:val="0"/>
                <w:bCs w:val="0"/>
                <w:sz w:val="24"/>
                <w:lang w:val="en-US" w:eastAsia="zh-CN"/>
              </w:rPr>
            </w:pPr>
            <w:r>
              <w:rPr>
                <w:rFonts w:hint="eastAsia"/>
                <w:b w:val="0"/>
                <w:bCs w:val="0"/>
                <w:sz w:val="24"/>
                <w:lang w:val="en-US" w:eastAsia="zh-CN"/>
              </w:rPr>
              <w:t>答：</w:t>
            </w:r>
            <w:r>
              <w:rPr>
                <w:rFonts w:hint="default" w:ascii="宋体" w:hAnsi="宋体"/>
                <w:sz w:val="24"/>
                <w:szCs w:val="24"/>
              </w:rPr>
              <w:t>公司根据企业会计准则，以单项或应收款项的账龄为信用风险特征划分组合，对应收账款预期信用损失进行测试及计提减值准备。公司</w:t>
            </w:r>
            <w:r>
              <w:rPr>
                <w:rFonts w:hint="default" w:ascii="Times New Roman" w:hAnsi="Times New Roman"/>
                <w:sz w:val="24"/>
                <w:szCs w:val="24"/>
              </w:rPr>
              <w:t>2024</w:t>
            </w:r>
            <w:r>
              <w:rPr>
                <w:rFonts w:hint="default" w:ascii="宋体" w:hAnsi="宋体"/>
                <w:sz w:val="24"/>
                <w:szCs w:val="24"/>
              </w:rPr>
              <w:t>年上半年应收账款随着销售规模的扩大而增加，在应收账款控制方面，公司在交易前对客户进行信用评估，建立信用档案，制定合理的信用政策来预防风险；同时加强合同管理，确保合同条款明确，对超过信用期限的应收账款进行特别关注，并采取适当的催收措施。</w:t>
            </w:r>
          </w:p>
          <w:p w14:paraId="182C006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sz w:val="24"/>
                <w:szCs w:val="24"/>
              </w:rPr>
            </w:pPr>
          </w:p>
          <w:p w14:paraId="5DC120D0">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hint="default" w:ascii="宋体" w:hAnsi="宋体"/>
                <w:b/>
                <w:sz w:val="24"/>
                <w:szCs w:val="24"/>
              </w:rPr>
            </w:pPr>
            <w:r>
              <w:rPr>
                <w:rFonts w:hint="eastAsia"/>
                <w:b/>
                <w:bCs/>
                <w:sz w:val="24"/>
              </w:rPr>
              <w:t>问</w:t>
            </w:r>
            <w:r>
              <w:rPr>
                <w:rFonts w:hint="eastAsia"/>
                <w:b/>
                <w:bCs/>
                <w:sz w:val="24"/>
                <w:lang w:val="en-US" w:eastAsia="zh-CN"/>
              </w:rPr>
              <w:t>3</w:t>
            </w:r>
            <w:r>
              <w:rPr>
                <w:rFonts w:hint="eastAsia" w:ascii="Times New Roman" w:hAnsi="Times New Roman"/>
                <w:b/>
                <w:bCs/>
                <w:sz w:val="24"/>
              </w:rPr>
              <w:t>：</w:t>
            </w:r>
            <w:r>
              <w:rPr>
                <w:rFonts w:hint="eastAsia"/>
                <w:b/>
                <w:bCs/>
                <w:sz w:val="24"/>
                <w:lang w:eastAsia="zh-CN"/>
              </w:rPr>
              <w:t>请问</w:t>
            </w:r>
            <w:r>
              <w:rPr>
                <w:rFonts w:hint="eastAsia"/>
                <w:b/>
                <w:bCs/>
                <w:sz w:val="24"/>
                <w:lang w:val="en-US" w:eastAsia="zh-CN"/>
              </w:rPr>
              <w:t>公司2024年上半年</w:t>
            </w:r>
            <w:r>
              <w:rPr>
                <w:rFonts w:hint="default" w:ascii="宋体" w:hAnsi="宋体"/>
                <w:b/>
                <w:sz w:val="24"/>
                <w:szCs w:val="24"/>
              </w:rPr>
              <w:t>海外业务市场情况</w:t>
            </w:r>
            <w:r>
              <w:rPr>
                <w:rFonts w:hint="eastAsia" w:ascii="宋体" w:hAnsi="宋体"/>
                <w:b/>
                <w:sz w:val="24"/>
                <w:szCs w:val="24"/>
                <w:lang w:val="en-US" w:eastAsia="zh-CN"/>
              </w:rPr>
              <w:t>如何</w:t>
            </w:r>
            <w:r>
              <w:rPr>
                <w:rFonts w:hint="default" w:ascii="宋体" w:hAnsi="宋体"/>
                <w:b/>
                <w:sz w:val="24"/>
                <w:szCs w:val="24"/>
              </w:rPr>
              <w:t>？</w:t>
            </w:r>
            <w:r>
              <w:rPr>
                <w:rFonts w:hint="eastAsia" w:ascii="宋体" w:hAnsi="宋体"/>
                <w:b/>
                <w:sz w:val="24"/>
                <w:szCs w:val="24"/>
                <w:lang w:val="en-US" w:eastAsia="zh-CN"/>
              </w:rPr>
              <w:t>对今年</w:t>
            </w:r>
            <w:r>
              <w:rPr>
                <w:rFonts w:hint="default" w:ascii="宋体" w:hAnsi="宋体"/>
                <w:b/>
                <w:sz w:val="24"/>
                <w:szCs w:val="24"/>
              </w:rPr>
              <w:t>下半年、明年</w:t>
            </w:r>
            <w:r>
              <w:rPr>
                <w:rFonts w:hint="eastAsia" w:ascii="宋体" w:hAnsi="宋体"/>
                <w:b/>
                <w:sz w:val="24"/>
                <w:szCs w:val="24"/>
                <w:lang w:val="en-US" w:eastAsia="zh-CN"/>
              </w:rPr>
              <w:t>有什么预期呢</w:t>
            </w:r>
            <w:r>
              <w:rPr>
                <w:rFonts w:hint="default" w:ascii="宋体" w:hAnsi="宋体"/>
                <w:b/>
                <w:sz w:val="24"/>
                <w:szCs w:val="24"/>
              </w:rPr>
              <w:t>？</w:t>
            </w:r>
          </w:p>
          <w:p w14:paraId="0374D52D">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宋体" w:hAnsi="宋体"/>
                <w:sz w:val="24"/>
                <w:szCs w:val="24"/>
              </w:rPr>
            </w:pPr>
            <w:r>
              <w:rPr>
                <w:rFonts w:hint="default"/>
                <w:b w:val="0"/>
                <w:bCs w:val="0"/>
                <w:sz w:val="24"/>
                <w:lang w:val="en-US" w:eastAsia="zh-CN"/>
              </w:rPr>
              <w:t>答：</w:t>
            </w:r>
            <w:r>
              <w:rPr>
                <w:rFonts w:hint="default" w:ascii="Times New Roman" w:hAnsi="Times New Roman"/>
                <w:sz w:val="24"/>
                <w:szCs w:val="24"/>
              </w:rPr>
              <w:t>2024</w:t>
            </w:r>
            <w:r>
              <w:rPr>
                <w:rFonts w:hint="default" w:ascii="宋体" w:hAnsi="宋体"/>
                <w:sz w:val="24"/>
                <w:szCs w:val="24"/>
              </w:rPr>
              <w:t>年上半年，公司海外业务的销售收入同比增长</w:t>
            </w:r>
            <w:r>
              <w:rPr>
                <w:rFonts w:hint="default" w:ascii="Times New Roman" w:hAnsi="Times New Roman"/>
                <w:sz w:val="24"/>
                <w:szCs w:val="24"/>
              </w:rPr>
              <w:t>11</w:t>
            </w:r>
            <w:r>
              <w:rPr>
                <w:rFonts w:hint="default" w:ascii="Times New Roman" w:hAnsi="Times New Roman" w:cs="Times New Roman"/>
                <w:sz w:val="24"/>
                <w:szCs w:val="24"/>
              </w:rPr>
              <w:t>.</w:t>
            </w:r>
            <w:r>
              <w:rPr>
                <w:rFonts w:hint="default" w:ascii="Times New Roman" w:hAnsi="Times New Roman"/>
                <w:sz w:val="24"/>
                <w:szCs w:val="24"/>
              </w:rPr>
              <w:t>54</w:t>
            </w:r>
            <w:r>
              <w:rPr>
                <w:rFonts w:hint="default" w:ascii="Times New Roman" w:hAnsi="Times New Roman" w:cs="Times New Roman"/>
                <w:sz w:val="24"/>
                <w:szCs w:val="24"/>
              </w:rPr>
              <w:t>%</w:t>
            </w:r>
            <w:r>
              <w:rPr>
                <w:rFonts w:hint="default" w:ascii="宋体" w:hAnsi="宋体"/>
                <w:sz w:val="24"/>
                <w:szCs w:val="24"/>
              </w:rPr>
              <w:t>。全球经济复苏面临诸多挑战，公司始终坚持开发海外市场，采取积极措施以适应新常态，并寻求增长机会。</w:t>
            </w:r>
          </w:p>
          <w:p w14:paraId="0C45CA0A">
            <w:pPr>
              <w:pStyle w:val="20"/>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sz w:val="24"/>
                <w:szCs w:val="24"/>
              </w:rPr>
            </w:pPr>
          </w:p>
          <w:p w14:paraId="3B04F876">
            <w:pPr>
              <w:pStyle w:val="2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b/>
                <w:sz w:val="24"/>
                <w:szCs w:val="24"/>
                <w:lang w:eastAsia="zh-CN"/>
              </w:rPr>
            </w:pPr>
            <w:r>
              <w:rPr>
                <w:rFonts w:hint="eastAsia"/>
                <w:b/>
                <w:bCs/>
                <w:sz w:val="24"/>
              </w:rPr>
              <w:t>问</w:t>
            </w:r>
            <w:r>
              <w:rPr>
                <w:rFonts w:hint="eastAsia" w:ascii="Times New Roman" w:hAnsi="Times New Roman"/>
                <w:b/>
                <w:bCs/>
                <w:sz w:val="24"/>
                <w:lang w:val="en-US" w:eastAsia="zh-CN"/>
              </w:rPr>
              <w:t>4</w:t>
            </w:r>
            <w:r>
              <w:rPr>
                <w:rFonts w:hint="eastAsia" w:ascii="Times New Roman" w:hAnsi="Times New Roman"/>
                <w:b/>
                <w:bCs/>
                <w:sz w:val="24"/>
              </w:rPr>
              <w:t>：</w:t>
            </w:r>
            <w:r>
              <w:rPr>
                <w:rFonts w:hint="eastAsia" w:ascii="宋体" w:hAnsi="宋体"/>
                <w:b/>
                <w:sz w:val="24"/>
                <w:szCs w:val="24"/>
                <w:lang w:val="en-US" w:eastAsia="zh-CN"/>
              </w:rPr>
              <w:t>请问公司在储能业务有何布局</w:t>
            </w:r>
            <w:r>
              <w:rPr>
                <w:rFonts w:hint="eastAsia" w:ascii="宋体" w:hAnsi="宋体"/>
                <w:b/>
                <w:sz w:val="24"/>
                <w:szCs w:val="24"/>
                <w:lang w:eastAsia="zh-CN"/>
              </w:rPr>
              <w:t>？</w:t>
            </w:r>
          </w:p>
          <w:p w14:paraId="78839762">
            <w:pPr>
              <w:pStyle w:val="2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b w:val="0"/>
                <w:bCs w:val="0"/>
                <w:sz w:val="24"/>
                <w:lang w:val="en-US" w:eastAsia="zh-CN"/>
              </w:rPr>
            </w:pPr>
            <w:r>
              <w:rPr>
                <w:rFonts w:hint="default"/>
                <w:b w:val="0"/>
                <w:bCs w:val="0"/>
                <w:sz w:val="24"/>
                <w:lang w:val="en-US" w:eastAsia="zh-CN"/>
              </w:rPr>
              <w:t>答：</w:t>
            </w:r>
            <w:r>
              <w:rPr>
                <w:rFonts w:hint="eastAsia"/>
                <w:b w:val="0"/>
                <w:bCs w:val="0"/>
                <w:sz w:val="24"/>
                <w:lang w:val="en-US" w:eastAsia="zh-CN"/>
              </w:rPr>
              <w:t>公司的</w:t>
            </w:r>
            <w:r>
              <w:rPr>
                <w:rFonts w:hint="default"/>
                <w:b w:val="0"/>
                <w:bCs w:val="0"/>
                <w:sz w:val="24"/>
                <w:lang w:val="en-US" w:eastAsia="zh-CN"/>
              </w:rPr>
              <w:t>储能液冷除湿系统</w:t>
            </w:r>
            <w:r>
              <w:rPr>
                <w:rFonts w:hint="eastAsia"/>
                <w:b w:val="0"/>
                <w:bCs w:val="0"/>
                <w:sz w:val="24"/>
                <w:lang w:val="en-US" w:eastAsia="zh-CN"/>
              </w:rPr>
              <w:t>可用于储能电池柜，半导体热电制冷技术制成的除湿机具有体积小、湿度控制精度高等优势，可以在储能柜中灵活放置并对指定空间进行针对性除湿，有效解决了因储能柜中的电池密度大、空间狭小导致风道狭窄空气流动差的问题，保证储能设备的运行安全。随着液冷技术在电化学储能热管理渗透率的快速提高，半导体制冷除湿机有望形成公司新的利润增长点。</w:t>
            </w:r>
          </w:p>
          <w:p w14:paraId="7092CBBD">
            <w:pPr>
              <w:pStyle w:val="2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80" w:firstLineChars="200"/>
              <w:textAlignment w:val="auto"/>
              <w:rPr>
                <w:rFonts w:hint="default"/>
                <w:b w:val="0"/>
                <w:bCs w:val="0"/>
                <w:sz w:val="24"/>
                <w:lang w:val="en-US" w:eastAsia="zh-CN"/>
              </w:rPr>
            </w:pPr>
          </w:p>
          <w:p w14:paraId="67D4BE1B">
            <w:pPr>
              <w:pStyle w:val="20"/>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2" w:firstLineChars="200"/>
              <w:textAlignment w:val="auto"/>
              <w:rPr>
                <w:rFonts w:hint="default"/>
                <w:b/>
                <w:bCs/>
                <w:sz w:val="24"/>
                <w:lang w:val="en-US" w:eastAsia="zh-CN"/>
              </w:rPr>
            </w:pPr>
            <w:r>
              <w:rPr>
                <w:rFonts w:hint="eastAsia"/>
                <w:b/>
                <w:bCs/>
                <w:sz w:val="24"/>
              </w:rPr>
              <w:t>问</w:t>
            </w:r>
            <w:r>
              <w:rPr>
                <w:rFonts w:hint="eastAsia" w:ascii="Times New Roman" w:hAnsi="Times New Roman"/>
                <w:b/>
                <w:bCs/>
                <w:sz w:val="24"/>
                <w:lang w:val="en-US" w:eastAsia="zh-CN"/>
              </w:rPr>
              <w:t>5</w:t>
            </w:r>
            <w:r>
              <w:rPr>
                <w:rFonts w:hint="eastAsia"/>
                <w:b/>
                <w:bCs/>
                <w:sz w:val="24"/>
              </w:rPr>
              <w:t>：请问目前市场上的温控解决方案与公司半导体热电制冷技术是什么关系？</w:t>
            </w:r>
          </w:p>
          <w:p w14:paraId="0B3C7A99">
            <w:pPr>
              <w:pStyle w:val="20"/>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rPr>
                <w:rFonts w:hint="default"/>
                <w:b w:val="0"/>
                <w:bCs w:val="0"/>
                <w:sz w:val="24"/>
                <w:lang w:val="en-US" w:eastAsia="zh-CN"/>
              </w:rPr>
            </w:pPr>
            <w:r>
              <w:rPr>
                <w:rFonts w:hint="default"/>
                <w:b w:val="0"/>
                <w:bCs w:val="0"/>
                <w:sz w:val="24"/>
                <w:lang w:val="en-US" w:eastAsia="zh-CN"/>
              </w:rPr>
              <w:t>答：目前市场上的主流的温控解决方案有压缩机制冷、水冷、液冷等，半导体热电制冷技术与其他温控解决方案在技术特点、主要应用场景方面都存在较大差异，可以形成有效的互补，无法完全相互替代。</w:t>
            </w:r>
          </w:p>
          <w:p w14:paraId="5E76F92B">
            <w:pPr>
              <w:pStyle w:val="20"/>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rPr>
                <w:rFonts w:hint="default"/>
                <w:b w:val="0"/>
                <w:bCs w:val="0"/>
                <w:sz w:val="24"/>
                <w:lang w:val="en-US" w:eastAsia="zh-CN"/>
              </w:rPr>
            </w:pPr>
            <w:r>
              <w:rPr>
                <w:rFonts w:hint="default"/>
                <w:b w:val="0"/>
                <w:bCs w:val="0"/>
                <w:sz w:val="24"/>
                <w:lang w:val="en-US" w:eastAsia="zh-CN"/>
              </w:rPr>
              <w:t>半导体热电制冷技术产品主要应用场景有：</w:t>
            </w:r>
          </w:p>
          <w:p w14:paraId="2B5329AF">
            <w:pPr>
              <w:pStyle w:val="20"/>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rPr>
                <w:rFonts w:hint="default"/>
                <w:b w:val="0"/>
                <w:bCs w:val="0"/>
                <w:sz w:val="24"/>
                <w:lang w:val="en-US" w:eastAsia="zh-CN"/>
              </w:rPr>
            </w:pPr>
            <w:r>
              <w:rPr>
                <w:rFonts w:hint="default"/>
                <w:b w:val="0"/>
                <w:bCs w:val="0"/>
                <w:sz w:val="24"/>
                <w:lang w:val="en-US" w:eastAsia="zh-CN"/>
              </w:rPr>
              <w:t>（</w:t>
            </w:r>
            <w:r>
              <w:rPr>
                <w:rFonts w:hint="default" w:ascii="Times New Roman" w:hAnsi="Times New Roman"/>
                <w:b w:val="0"/>
                <w:bCs w:val="0"/>
                <w:sz w:val="24"/>
                <w:lang w:val="en-US" w:eastAsia="zh-CN"/>
              </w:rPr>
              <w:t>1</w:t>
            </w:r>
            <w:r>
              <w:rPr>
                <w:rFonts w:hint="default"/>
                <w:b w:val="0"/>
                <w:bCs w:val="0"/>
                <w:sz w:val="24"/>
                <w:lang w:val="en-US" w:eastAsia="zh-CN"/>
              </w:rPr>
              <w:t>）对尺寸、便携性、静音性要求较高的小容积、低冷量制冷场景，如消费电子领域的啤酒机、恒温酒柜；</w:t>
            </w:r>
          </w:p>
          <w:p w14:paraId="43FAEE0E">
            <w:pPr>
              <w:pStyle w:val="20"/>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rPr>
                <w:rFonts w:hint="default"/>
                <w:b w:val="0"/>
                <w:bCs w:val="0"/>
                <w:sz w:val="24"/>
                <w:lang w:val="en-US" w:eastAsia="zh-CN"/>
              </w:rPr>
            </w:pPr>
            <w:r>
              <w:rPr>
                <w:rFonts w:hint="default"/>
                <w:b w:val="0"/>
                <w:bCs w:val="0"/>
                <w:sz w:val="24"/>
                <w:lang w:val="en-US" w:eastAsia="zh-CN"/>
              </w:rPr>
              <w:t>（</w:t>
            </w:r>
            <w:r>
              <w:rPr>
                <w:rFonts w:hint="default" w:ascii="Times New Roman" w:hAnsi="Times New Roman"/>
                <w:b w:val="0"/>
                <w:bCs w:val="0"/>
                <w:sz w:val="24"/>
                <w:lang w:val="en-US" w:eastAsia="zh-CN"/>
              </w:rPr>
              <w:t>2</w:t>
            </w:r>
            <w:r>
              <w:rPr>
                <w:rFonts w:hint="default"/>
                <w:b w:val="0"/>
                <w:bCs w:val="0"/>
                <w:sz w:val="24"/>
                <w:lang w:val="en-US" w:eastAsia="zh-CN"/>
              </w:rPr>
              <w:t>）对微型化局部需要精准控温的场景，如通信领域的光模块；</w:t>
            </w:r>
          </w:p>
          <w:p w14:paraId="7C3437D7">
            <w:pPr>
              <w:pStyle w:val="20"/>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rPr>
                <w:rFonts w:hint="default"/>
                <w:b/>
                <w:bCs/>
                <w:sz w:val="24"/>
                <w:lang w:val="en-US" w:eastAsia="zh-CN"/>
              </w:rPr>
            </w:pPr>
            <w:r>
              <w:rPr>
                <w:rFonts w:hint="default"/>
                <w:b w:val="0"/>
                <w:bCs w:val="0"/>
                <w:sz w:val="24"/>
                <w:lang w:val="en-US" w:eastAsia="zh-CN"/>
              </w:rPr>
              <w:t>（</w:t>
            </w:r>
            <w:r>
              <w:rPr>
                <w:rFonts w:hint="default" w:ascii="Times New Roman" w:hAnsi="Times New Roman"/>
                <w:b w:val="0"/>
                <w:bCs w:val="0"/>
                <w:sz w:val="24"/>
                <w:lang w:val="en-US" w:eastAsia="zh-CN"/>
              </w:rPr>
              <w:t>3</w:t>
            </w:r>
            <w:r>
              <w:rPr>
                <w:rFonts w:hint="default"/>
                <w:b w:val="0"/>
                <w:bCs w:val="0"/>
                <w:sz w:val="24"/>
                <w:lang w:val="en-US" w:eastAsia="zh-CN"/>
              </w:rPr>
              <w:t>）对环境适应性要求较高的场景，如汽车领域的恒温座椅。</w:t>
            </w:r>
          </w:p>
        </w:tc>
      </w:tr>
      <w:tr w14:paraId="5FD7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5" w:type="dxa"/>
            <w:shd w:val="clear" w:color="auto" w:fill="auto"/>
            <w:vAlign w:val="center"/>
          </w:tcPr>
          <w:p w14:paraId="3747F6FB">
            <w:pPr>
              <w:keepNext w:val="0"/>
              <w:keepLines w:val="0"/>
              <w:pageBreakBefore w:val="0"/>
              <w:widowControl w:val="0"/>
              <w:kinsoku/>
              <w:wordWrap/>
              <w:overflowPunct/>
              <w:topLinePunct w:val="0"/>
              <w:autoSpaceDE/>
              <w:autoSpaceDN/>
              <w:bidi w:val="0"/>
              <w:adjustRightInd/>
              <w:snapToGrid/>
              <w:spacing w:line="336" w:lineRule="auto"/>
              <w:jc w:val="center"/>
              <w:textAlignment w:val="auto"/>
              <w:rPr>
                <w:sz w:val="24"/>
                <w:szCs w:val="24"/>
              </w:rPr>
            </w:pPr>
            <w:r>
              <w:rPr>
                <w:rFonts w:hint="eastAsia"/>
                <w:sz w:val="24"/>
                <w:szCs w:val="24"/>
              </w:rPr>
              <w:t>关于本次活动是否涉及应当披露重大信息的说明</w:t>
            </w:r>
          </w:p>
        </w:tc>
        <w:tc>
          <w:tcPr>
            <w:tcW w:w="6554" w:type="dxa"/>
            <w:shd w:val="clear" w:color="auto" w:fill="auto"/>
            <w:vAlign w:val="center"/>
          </w:tcPr>
          <w:p w14:paraId="19F310B7">
            <w:pPr>
              <w:spacing w:line="420" w:lineRule="auto"/>
              <w:rPr>
                <w:rFonts w:hint="eastAsia" w:ascii="宋体" w:hAnsi="宋体" w:eastAsia="宋体" w:cs="宋体"/>
                <w:kern w:val="2"/>
                <w:sz w:val="24"/>
                <w:szCs w:val="24"/>
                <w:lang w:val="en-US" w:eastAsia="zh-CN" w:bidi="ar-SA"/>
              </w:rPr>
            </w:pPr>
            <w:r>
              <w:rPr>
                <w:rFonts w:hint="eastAsia" w:ascii="宋体" w:hAnsi="宋体" w:cs="宋体"/>
                <w:sz w:val="24"/>
                <w:szCs w:val="24"/>
              </w:rPr>
              <w:t>本次活动不涉及应当披露重大信息。</w:t>
            </w:r>
          </w:p>
        </w:tc>
      </w:tr>
      <w:tr w14:paraId="0ACEF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5" w:type="dxa"/>
            <w:shd w:val="clear" w:color="auto" w:fill="auto"/>
            <w:vAlign w:val="center"/>
          </w:tcPr>
          <w:p w14:paraId="282E7B9F">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sz w:val="24"/>
                <w:szCs w:val="24"/>
              </w:rPr>
            </w:pPr>
            <w:r>
              <w:rPr>
                <w:rFonts w:hint="eastAsia"/>
                <w:sz w:val="24"/>
                <w:szCs w:val="24"/>
              </w:rPr>
              <w:t>附件清单（如有）</w:t>
            </w:r>
          </w:p>
        </w:tc>
        <w:tc>
          <w:tcPr>
            <w:tcW w:w="6554" w:type="dxa"/>
            <w:shd w:val="clear" w:color="auto" w:fill="auto"/>
            <w:vAlign w:val="center"/>
          </w:tcPr>
          <w:p w14:paraId="798336F0">
            <w:pPr>
              <w:spacing w:line="420" w:lineRule="auto"/>
              <w:rPr>
                <w:rFonts w:hint="default" w:ascii="宋体" w:hAnsi="宋体" w:cs="宋体"/>
                <w:sz w:val="24"/>
                <w:szCs w:val="24"/>
                <w:lang w:val="en-US" w:eastAsia="zh-CN"/>
              </w:rPr>
            </w:pPr>
            <w:r>
              <w:rPr>
                <w:rFonts w:hint="eastAsia" w:ascii="宋体" w:hAnsi="宋体" w:cs="宋体"/>
                <w:sz w:val="24"/>
                <w:szCs w:val="24"/>
                <w:lang w:val="en-US" w:eastAsia="zh-CN"/>
              </w:rPr>
              <w:t>无</w:t>
            </w:r>
          </w:p>
        </w:tc>
      </w:tr>
    </w:tbl>
    <w:p w14:paraId="3C797B6F">
      <w:pPr>
        <w:rPr>
          <w:rFonts w:ascii="宋体" w:hAnsi="宋体" w:eastAsia="宋体" w:cs="宋体"/>
          <w:sz w:val="24"/>
          <w:szCs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1F3C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3F6DE5">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3F6DE5">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B1C1C1"/>
    <w:multiLevelType w:val="singleLevel"/>
    <w:tmpl w:val="F4B1C1C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iYzIzN2JlNGFkY2IxMzdmNGI1NDVkZGIwNTE0OTkifQ=="/>
  </w:docVars>
  <w:rsids>
    <w:rsidRoot w:val="0D623A3C"/>
    <w:rsid w:val="00004523"/>
    <w:rsid w:val="000A32AF"/>
    <w:rsid w:val="000D339A"/>
    <w:rsid w:val="00187DF5"/>
    <w:rsid w:val="001B3D62"/>
    <w:rsid w:val="001C2693"/>
    <w:rsid w:val="001E7FBE"/>
    <w:rsid w:val="001F5D47"/>
    <w:rsid w:val="002B52CE"/>
    <w:rsid w:val="00390313"/>
    <w:rsid w:val="003C2896"/>
    <w:rsid w:val="003D54C0"/>
    <w:rsid w:val="003D7C5B"/>
    <w:rsid w:val="004279AD"/>
    <w:rsid w:val="00461FEE"/>
    <w:rsid w:val="004D2A44"/>
    <w:rsid w:val="005073FE"/>
    <w:rsid w:val="00546D00"/>
    <w:rsid w:val="005B6034"/>
    <w:rsid w:val="005C1496"/>
    <w:rsid w:val="006B5FB7"/>
    <w:rsid w:val="007B18E6"/>
    <w:rsid w:val="007F24E0"/>
    <w:rsid w:val="008179E4"/>
    <w:rsid w:val="008C179E"/>
    <w:rsid w:val="008D37ED"/>
    <w:rsid w:val="008E55F3"/>
    <w:rsid w:val="00943239"/>
    <w:rsid w:val="009E5201"/>
    <w:rsid w:val="00AC2AAF"/>
    <w:rsid w:val="00AE239B"/>
    <w:rsid w:val="00B7446C"/>
    <w:rsid w:val="00BC2932"/>
    <w:rsid w:val="00C0285B"/>
    <w:rsid w:val="00CA5950"/>
    <w:rsid w:val="00CC5A02"/>
    <w:rsid w:val="00CF2FA1"/>
    <w:rsid w:val="00CF7DA9"/>
    <w:rsid w:val="00DA7328"/>
    <w:rsid w:val="00DE1875"/>
    <w:rsid w:val="00E2230D"/>
    <w:rsid w:val="00E83BDD"/>
    <w:rsid w:val="00F13D0F"/>
    <w:rsid w:val="00F25294"/>
    <w:rsid w:val="00F26744"/>
    <w:rsid w:val="00FC6431"/>
    <w:rsid w:val="00FC6BE7"/>
    <w:rsid w:val="01A13F72"/>
    <w:rsid w:val="02021EF1"/>
    <w:rsid w:val="025200BB"/>
    <w:rsid w:val="02B71916"/>
    <w:rsid w:val="02DE0813"/>
    <w:rsid w:val="03083A13"/>
    <w:rsid w:val="038E382F"/>
    <w:rsid w:val="03F2376B"/>
    <w:rsid w:val="057C1DE8"/>
    <w:rsid w:val="05F86A14"/>
    <w:rsid w:val="060101C2"/>
    <w:rsid w:val="0637082E"/>
    <w:rsid w:val="06EB3415"/>
    <w:rsid w:val="07794BE0"/>
    <w:rsid w:val="08D61E31"/>
    <w:rsid w:val="090265D3"/>
    <w:rsid w:val="0AE278DF"/>
    <w:rsid w:val="0AE82483"/>
    <w:rsid w:val="0B064C50"/>
    <w:rsid w:val="0C143188"/>
    <w:rsid w:val="0C69708C"/>
    <w:rsid w:val="0D623A3C"/>
    <w:rsid w:val="0F45463C"/>
    <w:rsid w:val="0FE95C54"/>
    <w:rsid w:val="120748A8"/>
    <w:rsid w:val="12854FB1"/>
    <w:rsid w:val="12C22EFD"/>
    <w:rsid w:val="1360023A"/>
    <w:rsid w:val="13A25347"/>
    <w:rsid w:val="142B4483"/>
    <w:rsid w:val="14DA74C7"/>
    <w:rsid w:val="163316F6"/>
    <w:rsid w:val="16866692"/>
    <w:rsid w:val="16C46248"/>
    <w:rsid w:val="171710E1"/>
    <w:rsid w:val="17CF478D"/>
    <w:rsid w:val="18B96776"/>
    <w:rsid w:val="19077C90"/>
    <w:rsid w:val="1939040B"/>
    <w:rsid w:val="19913E8A"/>
    <w:rsid w:val="1B0911B7"/>
    <w:rsid w:val="1C2D6849"/>
    <w:rsid w:val="1CAB745E"/>
    <w:rsid w:val="1D8E4C34"/>
    <w:rsid w:val="1DC046F7"/>
    <w:rsid w:val="1E140543"/>
    <w:rsid w:val="1E344476"/>
    <w:rsid w:val="1E5608D4"/>
    <w:rsid w:val="1E644FC5"/>
    <w:rsid w:val="1F096BF8"/>
    <w:rsid w:val="200D12BD"/>
    <w:rsid w:val="222E6327"/>
    <w:rsid w:val="22C34341"/>
    <w:rsid w:val="24CF18F1"/>
    <w:rsid w:val="25530418"/>
    <w:rsid w:val="2575499C"/>
    <w:rsid w:val="25D23805"/>
    <w:rsid w:val="262315AA"/>
    <w:rsid w:val="26DE7617"/>
    <w:rsid w:val="27173753"/>
    <w:rsid w:val="274525D1"/>
    <w:rsid w:val="27CB43C4"/>
    <w:rsid w:val="28114B4B"/>
    <w:rsid w:val="28862099"/>
    <w:rsid w:val="2A1D289F"/>
    <w:rsid w:val="2B1C03C7"/>
    <w:rsid w:val="2B396FAB"/>
    <w:rsid w:val="2B59373E"/>
    <w:rsid w:val="2BA501A3"/>
    <w:rsid w:val="2C4B1109"/>
    <w:rsid w:val="2C713B40"/>
    <w:rsid w:val="2CD25190"/>
    <w:rsid w:val="2CF21D21"/>
    <w:rsid w:val="2D4B3F9E"/>
    <w:rsid w:val="2E5474DF"/>
    <w:rsid w:val="2F48037D"/>
    <w:rsid w:val="305943CA"/>
    <w:rsid w:val="317F1D7B"/>
    <w:rsid w:val="32CD04AE"/>
    <w:rsid w:val="33793447"/>
    <w:rsid w:val="35695C3A"/>
    <w:rsid w:val="35D8572E"/>
    <w:rsid w:val="37AA3513"/>
    <w:rsid w:val="37B7532F"/>
    <w:rsid w:val="3B145D3D"/>
    <w:rsid w:val="3BC23BCA"/>
    <w:rsid w:val="3C6222D7"/>
    <w:rsid w:val="3CCB40C7"/>
    <w:rsid w:val="3CED01FD"/>
    <w:rsid w:val="3DD00EDC"/>
    <w:rsid w:val="3E593FC8"/>
    <w:rsid w:val="3E6E73FF"/>
    <w:rsid w:val="3FF94223"/>
    <w:rsid w:val="406570FC"/>
    <w:rsid w:val="44CE413C"/>
    <w:rsid w:val="44D25413"/>
    <w:rsid w:val="44EF162F"/>
    <w:rsid w:val="451A005D"/>
    <w:rsid w:val="46681216"/>
    <w:rsid w:val="467E591A"/>
    <w:rsid w:val="479257F0"/>
    <w:rsid w:val="48D76DDC"/>
    <w:rsid w:val="48DC03EE"/>
    <w:rsid w:val="492601EA"/>
    <w:rsid w:val="49D946ED"/>
    <w:rsid w:val="4A7411C0"/>
    <w:rsid w:val="4E7625DE"/>
    <w:rsid w:val="503474FB"/>
    <w:rsid w:val="50F73284"/>
    <w:rsid w:val="51862E05"/>
    <w:rsid w:val="519E3AA7"/>
    <w:rsid w:val="51BC52BB"/>
    <w:rsid w:val="520A0EDE"/>
    <w:rsid w:val="546E7103"/>
    <w:rsid w:val="5485246A"/>
    <w:rsid w:val="55741347"/>
    <w:rsid w:val="571D00F9"/>
    <w:rsid w:val="573963A5"/>
    <w:rsid w:val="574373D6"/>
    <w:rsid w:val="57F56069"/>
    <w:rsid w:val="58003366"/>
    <w:rsid w:val="596515D2"/>
    <w:rsid w:val="59E05C77"/>
    <w:rsid w:val="5A5827B0"/>
    <w:rsid w:val="5AE17829"/>
    <w:rsid w:val="5B5D6CE1"/>
    <w:rsid w:val="5BAF4E87"/>
    <w:rsid w:val="5C424DFA"/>
    <w:rsid w:val="5C472575"/>
    <w:rsid w:val="5D3D71D0"/>
    <w:rsid w:val="600318C5"/>
    <w:rsid w:val="60BC0C56"/>
    <w:rsid w:val="62021293"/>
    <w:rsid w:val="62534DD5"/>
    <w:rsid w:val="62ED582F"/>
    <w:rsid w:val="62FB30A8"/>
    <w:rsid w:val="631C05CE"/>
    <w:rsid w:val="63546E5A"/>
    <w:rsid w:val="63C97FCE"/>
    <w:rsid w:val="648B75D4"/>
    <w:rsid w:val="65495F30"/>
    <w:rsid w:val="665D7B63"/>
    <w:rsid w:val="66AD1638"/>
    <w:rsid w:val="682B60FA"/>
    <w:rsid w:val="69111FC6"/>
    <w:rsid w:val="6B1A60F6"/>
    <w:rsid w:val="6B9D3554"/>
    <w:rsid w:val="6BE27577"/>
    <w:rsid w:val="6C116790"/>
    <w:rsid w:val="6CCF72A4"/>
    <w:rsid w:val="6CF902E5"/>
    <w:rsid w:val="6D011D39"/>
    <w:rsid w:val="6F115A8B"/>
    <w:rsid w:val="70187CCC"/>
    <w:rsid w:val="706F5AF6"/>
    <w:rsid w:val="707D334E"/>
    <w:rsid w:val="714F4CEB"/>
    <w:rsid w:val="719A4166"/>
    <w:rsid w:val="747B3DCF"/>
    <w:rsid w:val="756931C2"/>
    <w:rsid w:val="75731E4D"/>
    <w:rsid w:val="76391AC6"/>
    <w:rsid w:val="763F4F79"/>
    <w:rsid w:val="7681654E"/>
    <w:rsid w:val="76B966B7"/>
    <w:rsid w:val="77CB499F"/>
    <w:rsid w:val="78630EF4"/>
    <w:rsid w:val="78AB6B96"/>
    <w:rsid w:val="78EB7B6E"/>
    <w:rsid w:val="790D3C49"/>
    <w:rsid w:val="7A240F33"/>
    <w:rsid w:val="7B33118E"/>
    <w:rsid w:val="7C9C2DAE"/>
    <w:rsid w:val="7D3A6542"/>
    <w:rsid w:val="7DDB4DC4"/>
    <w:rsid w:val="7E24473F"/>
    <w:rsid w:val="7E6B607B"/>
    <w:rsid w:val="7FE94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0"/>
    <w:pPr>
      <w:jc w:val="left"/>
    </w:pPr>
  </w:style>
  <w:style w:type="paragraph" w:styleId="3">
    <w:name w:val="Balloon Text"/>
    <w:basedOn w:val="1"/>
    <w:link w:val="17"/>
    <w:qFormat/>
    <w:uiPriority w:val="0"/>
    <w:rPr>
      <w:sz w:val="18"/>
      <w:szCs w:val="18"/>
    </w:rPr>
  </w:style>
  <w:style w:type="paragraph" w:styleId="4">
    <w:name w:val="footer"/>
    <w:basedOn w:val="1"/>
    <w:link w:val="14"/>
    <w:unhideWhenUsed/>
    <w:qFormat/>
    <w:uiPriority w:val="0"/>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0"/>
    <w:rPr>
      <w:i/>
    </w:rPr>
  </w:style>
  <w:style w:type="character" w:styleId="11">
    <w:name w:val="annotation reference"/>
    <w:basedOn w:val="9"/>
    <w:semiHidden/>
    <w:unhideWhenUsed/>
    <w:qFormat/>
    <w:uiPriority w:val="0"/>
    <w:rPr>
      <w:sz w:val="21"/>
      <w:szCs w:val="21"/>
    </w:rPr>
  </w:style>
  <w:style w:type="paragraph" w:customStyle="1" w:styleId="12">
    <w:name w:val="005正文"/>
    <w:basedOn w:val="1"/>
    <w:qFormat/>
    <w:uiPriority w:val="0"/>
    <w:pPr>
      <w:adjustRightInd w:val="0"/>
      <w:snapToGrid w:val="0"/>
      <w:spacing w:beforeLines="50" w:line="360" w:lineRule="auto"/>
      <w:ind w:firstLine="200" w:firstLineChars="200"/>
    </w:pPr>
    <w:rPr>
      <w:sz w:val="24"/>
    </w:rPr>
  </w:style>
  <w:style w:type="character" w:customStyle="1" w:styleId="13">
    <w:name w:val="页眉 字符"/>
    <w:basedOn w:val="9"/>
    <w:link w:val="5"/>
    <w:qFormat/>
    <w:uiPriority w:val="0"/>
    <w:rPr>
      <w:kern w:val="2"/>
      <w:sz w:val="18"/>
      <w:szCs w:val="18"/>
    </w:rPr>
  </w:style>
  <w:style w:type="character" w:customStyle="1" w:styleId="14">
    <w:name w:val="页脚 字符"/>
    <w:basedOn w:val="9"/>
    <w:link w:val="4"/>
    <w:qFormat/>
    <w:uiPriority w:val="0"/>
    <w:rPr>
      <w:kern w:val="2"/>
      <w:sz w:val="18"/>
      <w:szCs w:val="18"/>
    </w:rPr>
  </w:style>
  <w:style w:type="character" w:customStyle="1" w:styleId="15">
    <w:name w:val="批注文字 字符"/>
    <w:basedOn w:val="9"/>
    <w:link w:val="2"/>
    <w:semiHidden/>
    <w:qFormat/>
    <w:uiPriority w:val="0"/>
    <w:rPr>
      <w:kern w:val="2"/>
      <w:sz w:val="21"/>
      <w:szCs w:val="22"/>
    </w:rPr>
  </w:style>
  <w:style w:type="character" w:customStyle="1" w:styleId="16">
    <w:name w:val="批注主题 字符"/>
    <w:basedOn w:val="15"/>
    <w:link w:val="6"/>
    <w:semiHidden/>
    <w:qFormat/>
    <w:uiPriority w:val="0"/>
    <w:rPr>
      <w:b/>
      <w:bCs/>
      <w:kern w:val="2"/>
      <w:sz w:val="21"/>
      <w:szCs w:val="22"/>
    </w:rPr>
  </w:style>
  <w:style w:type="character" w:customStyle="1" w:styleId="17">
    <w:name w:val="批注框文本 字符"/>
    <w:basedOn w:val="9"/>
    <w:link w:val="3"/>
    <w:qFormat/>
    <w:uiPriority w:val="0"/>
    <w:rPr>
      <w:kern w:val="2"/>
      <w:sz w:val="18"/>
      <w:szCs w:val="18"/>
    </w:rPr>
  </w:style>
  <w:style w:type="paragraph" w:styleId="18">
    <w:name w:val="List Paragraph"/>
    <w:basedOn w:val="1"/>
    <w:qFormat/>
    <w:uiPriority w:val="99"/>
    <w:pPr>
      <w:ind w:firstLine="420" w:firstLineChars="200"/>
    </w:pPr>
  </w:style>
  <w:style w:type="paragraph" w:customStyle="1" w:styleId="19">
    <w:name w:val="Revision"/>
    <w:hidden/>
    <w:semiHidden/>
    <w:qFormat/>
    <w:uiPriority w:val="99"/>
    <w:rPr>
      <w:rFonts w:ascii="Times New Roman" w:hAnsi="Times New Roman" w:eastAsia="宋体" w:cs="Times New Roman"/>
      <w:kern w:val="2"/>
      <w:sz w:val="21"/>
      <w:szCs w:val="22"/>
      <w:lang w:val="en-US" w:eastAsia="zh-CN" w:bidi="ar-SA"/>
    </w:rPr>
  </w:style>
  <w:style w:type="paragraph" w:customStyle="1" w:styleId="20">
    <w:name w:val="_Style 6"/>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1340</Words>
  <Characters>1409</Characters>
  <Lines>14</Lines>
  <Paragraphs>4</Paragraphs>
  <TotalTime>6</TotalTime>
  <ScaleCrop>false</ScaleCrop>
  <LinksUpToDate>false</LinksUpToDate>
  <CharactersWithSpaces>1448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2022-01-06T04:03:00Z</dcterms:created>
  <dc:creator>huoym</dc:creator>
  <cp:lastModifiedBy>YM</cp:lastModifiedBy>
  <cp:lastPrinted>2021-04-27T07:46:00Z</cp:lastPrinted>
  <dcterms:modified xsi:type="dcterms:W3CDTF">2024-09-26T09:46:29Z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2F6E7136A69A406FB59AB59A178AF936_13</vt:lpwstr>
  </property>
</Properties>
</file>