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DA73" w14:textId="77777777" w:rsidR="001C5186" w:rsidRDefault="00F42701">
      <w:pPr>
        <w:spacing w:beforeLines="50" w:before="156" w:afterLines="50" w:after="156" w:line="400" w:lineRule="exact"/>
        <w:rPr>
          <w:rFonts w:ascii="宋体" w:eastAsia="宋体" w:hAnsi="宋体" w:cs="Times New Roman" w:hint="eastAsia"/>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Default="001C5186">
      <w:pPr>
        <w:spacing w:beforeLines="50" w:before="156" w:afterLines="50" w:after="156" w:line="400" w:lineRule="exact"/>
        <w:rPr>
          <w:rFonts w:ascii="宋体" w:eastAsia="宋体" w:hAnsi="宋体" w:cs="Times New Roman" w:hint="eastAsia"/>
          <w:b/>
          <w:bCs/>
          <w:iCs/>
          <w:color w:val="000000"/>
          <w:sz w:val="32"/>
          <w:szCs w:val="32"/>
        </w:rPr>
      </w:pPr>
    </w:p>
    <w:p w14:paraId="32D5D5F8" w14:textId="77777777" w:rsidR="001C5186" w:rsidRDefault="00F42701">
      <w:pPr>
        <w:spacing w:beforeLines="50" w:before="156" w:afterLines="50" w:after="156" w:line="400" w:lineRule="exact"/>
        <w:jc w:val="center"/>
        <w:rPr>
          <w:rFonts w:ascii="宋体" w:eastAsia="宋体" w:hAnsi="宋体" w:cs="Times New Roman" w:hint="eastAsia"/>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pPr>
        <w:spacing w:beforeLines="50" w:before="156" w:afterLines="50" w:after="156" w:line="400" w:lineRule="exact"/>
        <w:jc w:val="center"/>
        <w:rPr>
          <w:rFonts w:ascii="宋体" w:eastAsia="宋体" w:hAnsi="宋体" w:cs="Times New Roman" w:hint="eastAsia"/>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008174FE" w:rsidR="001C5186" w:rsidRDefault="00F42701">
      <w:pPr>
        <w:spacing w:line="400" w:lineRule="exact"/>
        <w:rPr>
          <w:rFonts w:ascii="宋体" w:eastAsia="宋体" w:hAnsi="宋体" w:cs="Times New Roman" w:hint="eastAsia"/>
          <w:bCs/>
          <w:iCs/>
          <w:color w:val="000000"/>
          <w:sz w:val="24"/>
        </w:rPr>
      </w:pPr>
      <w:r>
        <w:rPr>
          <w:rFonts w:ascii="宋体" w:eastAsia="宋体" w:hAnsi="宋体" w:cs="Times New Roman" w:hint="eastAsia"/>
          <w:bCs/>
          <w:iCs/>
          <w:color w:val="000000"/>
          <w:sz w:val="24"/>
        </w:rPr>
        <w:t xml:space="preserve">                                                     编号：202</w:t>
      </w:r>
      <w:r>
        <w:rPr>
          <w:rFonts w:ascii="宋体" w:eastAsia="宋体" w:hAnsi="宋体" w:cs="Times New Roman"/>
          <w:bCs/>
          <w:iCs/>
          <w:color w:val="000000"/>
          <w:sz w:val="24"/>
        </w:rPr>
        <w:t>4</w:t>
      </w:r>
      <w:r>
        <w:rPr>
          <w:rFonts w:ascii="宋体" w:eastAsia="宋体" w:hAnsi="宋体" w:cs="Times New Roman" w:hint="eastAsia"/>
          <w:bCs/>
          <w:iCs/>
          <w:color w:val="000000"/>
          <w:sz w:val="24"/>
        </w:rPr>
        <w:t>-</w:t>
      </w:r>
      <w:r>
        <w:rPr>
          <w:rFonts w:ascii="宋体" w:eastAsia="宋体" w:hAnsi="宋体" w:cs="Times New Roman"/>
          <w:bCs/>
          <w:iCs/>
          <w:color w:val="000000"/>
          <w:sz w:val="24"/>
        </w:rPr>
        <w:t>0</w:t>
      </w:r>
      <w:r w:rsidR="009E31A5">
        <w:rPr>
          <w:rFonts w:ascii="宋体" w:eastAsia="宋体" w:hAnsi="宋体" w:cs="Times New Roman" w:hint="eastAsia"/>
          <w:bCs/>
          <w:iCs/>
          <w:color w:val="000000"/>
          <w:sz w:val="24"/>
        </w:rPr>
        <w:t>9</w:t>
      </w:r>
      <w:r>
        <w:rPr>
          <w:rFonts w:ascii="宋体" w:eastAsia="宋体" w:hAnsi="宋体" w:cs="Times New Roman" w:hint="eastAsia"/>
          <w:bCs/>
          <w:iCs/>
          <w:color w:val="000000"/>
          <w:sz w:val="24"/>
        </w:rPr>
        <w:t>-0</w:t>
      </w:r>
      <w:r>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4CC686"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w:t>
            </w:r>
          </w:p>
          <w:p w14:paraId="3968DF4B"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B0735" w14:textId="76E944C4" w:rsidR="001C5186" w:rsidRDefault="00FD07F2">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0A12125A" w:rsidR="001C5186" w:rsidRDefault="00F42701">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8137EF">
              <w:rPr>
                <w:rFonts w:ascii="宋体" w:eastAsia="宋体" w:hAnsi="宋体" w:cs="宋体"/>
                <w:kern w:val="0"/>
                <w:sz w:val="24"/>
                <w:szCs w:val="24"/>
              </w:rPr>
              <w:sym w:font="Wingdings" w:char="F0FE"/>
            </w:r>
            <w:r>
              <w:rPr>
                <w:rFonts w:ascii="宋体" w:eastAsia="宋体" w:hAnsi="宋体" w:cs="Times New Roman" w:hint="eastAsia"/>
                <w:sz w:val="24"/>
                <w:szCs w:val="24"/>
              </w:rPr>
              <w:t>业绩说明会</w:t>
            </w:r>
          </w:p>
          <w:p w14:paraId="592809B3" w14:textId="77777777" w:rsidR="001C5186" w:rsidRDefault="00F42701">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070DFAAF" w:rsidR="001C5186" w:rsidRDefault="00BA0AC5">
            <w:pPr>
              <w:tabs>
                <w:tab w:val="left" w:pos="3045"/>
                <w:tab w:val="center" w:pos="3199"/>
              </w:tabs>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8137EF">
              <w:rPr>
                <w:rFonts w:ascii="宋体" w:eastAsia="宋体" w:hAnsi="宋体" w:cs="Times New Roman" w:hint="eastAsia"/>
                <w:bCs/>
                <w:iCs/>
                <w:color w:val="000000"/>
                <w:sz w:val="24"/>
                <w:szCs w:val="24"/>
              </w:rPr>
              <w:t xml:space="preserve"> </w:t>
            </w:r>
            <w:r w:rsidR="00F42701">
              <w:rPr>
                <w:rFonts w:ascii="宋体" w:eastAsia="宋体" w:hAnsi="宋体" w:cs="Times New Roman"/>
                <w:bCs/>
                <w:iCs/>
                <w:color w:val="000000"/>
                <w:sz w:val="24"/>
                <w:szCs w:val="24"/>
              </w:rPr>
              <w:t xml:space="preserve"> </w:t>
            </w:r>
            <w:r w:rsidR="00F42701">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其他 </w:t>
            </w:r>
            <w:r w:rsidR="00F42701">
              <w:rPr>
                <w:rFonts w:ascii="宋体" w:eastAsia="宋体" w:hAnsi="宋体" w:cs="Times New Roman" w:hint="eastAsia"/>
                <w:sz w:val="24"/>
                <w:szCs w:val="24"/>
                <w:u w:val="single"/>
              </w:rPr>
              <w:t xml:space="preserve"> 证券公司策略会</w:t>
            </w:r>
            <w:r>
              <w:rPr>
                <w:rFonts w:ascii="宋体" w:eastAsia="宋体" w:hAnsi="宋体" w:cs="Times New Roman" w:hint="eastAsia"/>
                <w:sz w:val="24"/>
                <w:szCs w:val="24"/>
                <w:u w:val="single"/>
              </w:rPr>
              <w:t>、线上交流会</w:t>
            </w:r>
            <w:r w:rsidR="00F42701">
              <w:rPr>
                <w:rFonts w:ascii="宋体" w:eastAsia="宋体" w:hAnsi="宋体" w:cs="Times New Roman"/>
                <w:sz w:val="24"/>
                <w:szCs w:val="24"/>
                <w:u w:val="single"/>
              </w:rPr>
              <w:t xml:space="preserve"> </w:t>
            </w:r>
          </w:p>
        </w:tc>
      </w:tr>
      <w:tr w:rsidR="007240E2" w14:paraId="3BFE4C7B" w14:textId="77777777">
        <w:trPr>
          <w:trHeight w:val="1259"/>
          <w:jc w:val="center"/>
        </w:trPr>
        <w:tc>
          <w:tcPr>
            <w:tcW w:w="1560" w:type="dxa"/>
            <w:tcBorders>
              <w:left w:val="single" w:sz="4" w:space="0" w:color="auto"/>
              <w:bottom w:val="single" w:sz="4" w:space="0" w:color="auto"/>
              <w:right w:val="single" w:sz="4" w:space="0" w:color="auto"/>
            </w:tcBorders>
            <w:shd w:val="clear" w:color="auto" w:fill="auto"/>
            <w:vAlign w:val="center"/>
          </w:tcPr>
          <w:p w14:paraId="51556706" w14:textId="77777777" w:rsidR="007240E2" w:rsidRDefault="007240E2" w:rsidP="007240E2">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F245F" w14:textId="77777777" w:rsidR="008137EF" w:rsidRDefault="008137EF" w:rsidP="008137EF">
            <w:pPr>
              <w:widowControl/>
              <w:jc w:val="left"/>
              <w:rPr>
                <w:rFonts w:ascii="等线" w:eastAsia="等线" w:hAnsi="等线" w:hint="eastAsia"/>
                <w:color w:val="000000"/>
                <w:kern w:val="0"/>
                <w:sz w:val="22"/>
              </w:rPr>
            </w:pPr>
            <w:r>
              <w:rPr>
                <w:rFonts w:ascii="等线" w:eastAsia="等线" w:hAnsi="等线" w:hint="eastAsia"/>
                <w:color w:val="000000"/>
                <w:sz w:val="22"/>
              </w:rPr>
              <w:t>东吴证券、广发证券、东方证券、国盛证券、国投证券、中信证券、野村东方、兴业证券、德</w:t>
            </w:r>
            <w:proofErr w:type="gramStart"/>
            <w:r>
              <w:rPr>
                <w:rFonts w:ascii="等线" w:eastAsia="等线" w:hAnsi="等线" w:hint="eastAsia"/>
                <w:color w:val="000000"/>
                <w:sz w:val="22"/>
              </w:rPr>
              <w:t>邦</w:t>
            </w:r>
            <w:proofErr w:type="gramEnd"/>
            <w:r>
              <w:rPr>
                <w:rFonts w:ascii="等线" w:eastAsia="等线" w:hAnsi="等线" w:hint="eastAsia"/>
                <w:color w:val="000000"/>
                <w:sz w:val="22"/>
              </w:rPr>
              <w:t>证券、东北证券、Point72、碧云资本、博远基金、呈瑞投资、冲积资产、大朴资产、德邦基金、东方阿尔法、东海基金、东海资管、东海自营、东吴基金、东吴人寿、东吴资管、富荣基金、格林基金、</w:t>
            </w:r>
            <w:proofErr w:type="gramStart"/>
            <w:r>
              <w:rPr>
                <w:rFonts w:ascii="等线" w:eastAsia="等线" w:hAnsi="等线" w:hint="eastAsia"/>
                <w:color w:val="000000"/>
                <w:sz w:val="22"/>
              </w:rPr>
              <w:t>观富资产</w:t>
            </w:r>
            <w:proofErr w:type="gramEnd"/>
            <w:r>
              <w:rPr>
                <w:rFonts w:ascii="等线" w:eastAsia="等线" w:hAnsi="等线" w:hint="eastAsia"/>
                <w:color w:val="000000"/>
                <w:sz w:val="22"/>
              </w:rPr>
              <w:t>、观合资产、国海富兰克林、国海证券、国华兴益、国君资管、国泰基金、国泰君安、国信证券、恒生前海、红筹投资、红杉资本、华安证券、华宝基金、华</w:t>
            </w:r>
            <w:proofErr w:type="gramStart"/>
            <w:r>
              <w:rPr>
                <w:rFonts w:ascii="等线" w:eastAsia="等线" w:hAnsi="等线" w:hint="eastAsia"/>
                <w:color w:val="000000"/>
                <w:sz w:val="22"/>
              </w:rPr>
              <w:t>创资管</w:t>
            </w:r>
            <w:proofErr w:type="gramEnd"/>
            <w:r>
              <w:rPr>
                <w:rFonts w:ascii="等线" w:eastAsia="等线" w:hAnsi="等线" w:hint="eastAsia"/>
                <w:color w:val="000000"/>
                <w:sz w:val="22"/>
              </w:rPr>
              <w:t>、华金证券、华泰证券、华泰资管、华鑫证券、汇</w:t>
            </w:r>
            <w:proofErr w:type="gramStart"/>
            <w:r>
              <w:rPr>
                <w:rFonts w:ascii="等线" w:eastAsia="等线" w:hAnsi="等线" w:hint="eastAsia"/>
                <w:color w:val="000000"/>
                <w:sz w:val="22"/>
              </w:rPr>
              <w:t>丰晋信、汇添富</w:t>
            </w:r>
            <w:proofErr w:type="gramEnd"/>
            <w:r>
              <w:rPr>
                <w:rFonts w:ascii="等线" w:eastAsia="等线" w:hAnsi="等线" w:hint="eastAsia"/>
                <w:color w:val="000000"/>
                <w:sz w:val="22"/>
              </w:rPr>
              <w:t>、嘉实基金、金鹰基金、金元顺安、</w:t>
            </w:r>
            <w:proofErr w:type="gramStart"/>
            <w:r>
              <w:rPr>
                <w:rFonts w:ascii="等线" w:eastAsia="等线" w:hAnsi="等线" w:hint="eastAsia"/>
                <w:color w:val="000000"/>
                <w:sz w:val="22"/>
              </w:rPr>
              <w:t>泾</w:t>
            </w:r>
            <w:proofErr w:type="gramEnd"/>
            <w:r>
              <w:rPr>
                <w:rFonts w:ascii="等线" w:eastAsia="等线" w:hAnsi="等线" w:hint="eastAsia"/>
                <w:color w:val="000000"/>
                <w:sz w:val="22"/>
              </w:rPr>
              <w:t>溪投资、景顺长城、</w:t>
            </w:r>
            <w:proofErr w:type="gramStart"/>
            <w:r>
              <w:rPr>
                <w:rFonts w:ascii="等线" w:eastAsia="等线" w:hAnsi="等线" w:hint="eastAsia"/>
                <w:color w:val="000000"/>
                <w:sz w:val="22"/>
              </w:rPr>
              <w:t>玖鹏投资</w:t>
            </w:r>
            <w:proofErr w:type="gramEnd"/>
            <w:r>
              <w:rPr>
                <w:rFonts w:ascii="等线" w:eastAsia="等线" w:hAnsi="等线" w:hint="eastAsia"/>
                <w:color w:val="000000"/>
                <w:sz w:val="22"/>
              </w:rPr>
              <w:t>、</w:t>
            </w:r>
            <w:proofErr w:type="gramStart"/>
            <w:r>
              <w:rPr>
                <w:rFonts w:ascii="等线" w:eastAsia="等线" w:hAnsi="等线" w:hint="eastAsia"/>
                <w:color w:val="000000"/>
                <w:sz w:val="22"/>
              </w:rPr>
              <w:t>聚鸣投资</w:t>
            </w:r>
            <w:proofErr w:type="gramEnd"/>
            <w:r>
              <w:rPr>
                <w:rFonts w:ascii="等线" w:eastAsia="等线" w:hAnsi="等线" w:hint="eastAsia"/>
                <w:color w:val="000000"/>
                <w:sz w:val="22"/>
              </w:rPr>
              <w:t>、</w:t>
            </w:r>
            <w:proofErr w:type="gramStart"/>
            <w:r>
              <w:rPr>
                <w:rFonts w:ascii="等线" w:eastAsia="等线" w:hAnsi="等线" w:hint="eastAsia"/>
                <w:color w:val="000000"/>
                <w:sz w:val="22"/>
              </w:rPr>
              <w:t>开思基金</w:t>
            </w:r>
            <w:proofErr w:type="gramEnd"/>
            <w:r>
              <w:rPr>
                <w:rFonts w:ascii="等线" w:eastAsia="等线" w:hAnsi="等线" w:hint="eastAsia"/>
                <w:color w:val="000000"/>
                <w:sz w:val="22"/>
              </w:rPr>
              <w:t>、</w:t>
            </w:r>
            <w:proofErr w:type="gramStart"/>
            <w:r>
              <w:rPr>
                <w:rFonts w:ascii="等线" w:eastAsia="等线" w:hAnsi="等线" w:hint="eastAsia"/>
                <w:color w:val="000000"/>
                <w:sz w:val="22"/>
              </w:rPr>
              <w:t>翎</w:t>
            </w:r>
            <w:proofErr w:type="gramEnd"/>
            <w:r>
              <w:rPr>
                <w:rFonts w:ascii="等线" w:eastAsia="等线" w:hAnsi="等线" w:hint="eastAsia"/>
                <w:color w:val="000000"/>
                <w:sz w:val="22"/>
              </w:rPr>
              <w:t>展资本、龙航资产、民生加银、摩根资产、鹏华基金、平安基金、平安资管、青</w:t>
            </w:r>
            <w:proofErr w:type="gramStart"/>
            <w:r>
              <w:rPr>
                <w:rFonts w:ascii="等线" w:eastAsia="等线" w:hAnsi="等线" w:hint="eastAsia"/>
                <w:color w:val="000000"/>
                <w:sz w:val="22"/>
              </w:rPr>
              <w:t>榕</w:t>
            </w:r>
            <w:proofErr w:type="gramEnd"/>
            <w:r>
              <w:rPr>
                <w:rFonts w:ascii="等线" w:eastAsia="等线" w:hAnsi="等线" w:hint="eastAsia"/>
                <w:color w:val="000000"/>
                <w:sz w:val="22"/>
              </w:rPr>
              <w:t>资产、</w:t>
            </w:r>
            <w:proofErr w:type="gramStart"/>
            <w:r>
              <w:rPr>
                <w:rFonts w:ascii="等线" w:eastAsia="等线" w:hAnsi="等线" w:hint="eastAsia"/>
                <w:color w:val="000000"/>
                <w:sz w:val="22"/>
              </w:rPr>
              <w:t>盟洋投资</w:t>
            </w:r>
            <w:proofErr w:type="gramEnd"/>
            <w:r>
              <w:rPr>
                <w:rFonts w:ascii="等线" w:eastAsia="等线" w:hAnsi="等线" w:hint="eastAsia"/>
                <w:color w:val="000000"/>
                <w:sz w:val="22"/>
              </w:rPr>
              <w:t>、上海证券、尚诚资产、</w:t>
            </w:r>
            <w:proofErr w:type="gramStart"/>
            <w:r>
              <w:rPr>
                <w:rFonts w:ascii="等线" w:eastAsia="等线" w:hAnsi="等线" w:hint="eastAsia"/>
                <w:color w:val="000000"/>
                <w:sz w:val="22"/>
              </w:rPr>
              <w:t>世</w:t>
            </w:r>
            <w:proofErr w:type="gramEnd"/>
            <w:r>
              <w:rPr>
                <w:rFonts w:ascii="等线" w:eastAsia="等线" w:hAnsi="等线" w:hint="eastAsia"/>
                <w:color w:val="000000"/>
                <w:sz w:val="22"/>
              </w:rPr>
              <w:t>真投资、太平洋证券、泰康基金、万和自营、万家基金、西南证券、</w:t>
            </w:r>
            <w:proofErr w:type="gramStart"/>
            <w:r>
              <w:rPr>
                <w:rFonts w:ascii="等线" w:eastAsia="等线" w:hAnsi="等线" w:hint="eastAsia"/>
                <w:color w:val="000000"/>
                <w:sz w:val="22"/>
              </w:rPr>
              <w:t>禧</w:t>
            </w:r>
            <w:proofErr w:type="gramEnd"/>
            <w:r>
              <w:rPr>
                <w:rFonts w:ascii="等线" w:eastAsia="等线" w:hAnsi="等线" w:hint="eastAsia"/>
                <w:color w:val="000000"/>
                <w:sz w:val="22"/>
              </w:rPr>
              <w:t>弘投资、新华资产、</w:t>
            </w:r>
            <w:proofErr w:type="gramStart"/>
            <w:r>
              <w:rPr>
                <w:rFonts w:ascii="等线" w:eastAsia="等线" w:hAnsi="等线" w:hint="eastAsia"/>
                <w:color w:val="000000"/>
                <w:sz w:val="22"/>
              </w:rPr>
              <w:t>信达澳亚</w:t>
            </w:r>
            <w:proofErr w:type="gramEnd"/>
            <w:r>
              <w:rPr>
                <w:rFonts w:ascii="等线" w:eastAsia="等线" w:hAnsi="等线" w:hint="eastAsia"/>
                <w:color w:val="000000"/>
                <w:sz w:val="22"/>
              </w:rPr>
              <w:t>、信达证券、兴银理财、</w:t>
            </w:r>
            <w:proofErr w:type="gramStart"/>
            <w:r>
              <w:rPr>
                <w:rFonts w:ascii="等线" w:eastAsia="等线" w:hAnsi="等线" w:hint="eastAsia"/>
                <w:color w:val="000000"/>
                <w:sz w:val="22"/>
              </w:rPr>
              <w:t>雪石资产</w:t>
            </w:r>
            <w:proofErr w:type="gramEnd"/>
            <w:r>
              <w:rPr>
                <w:rFonts w:ascii="等线" w:eastAsia="等线" w:hAnsi="等线" w:hint="eastAsia"/>
                <w:color w:val="000000"/>
                <w:sz w:val="22"/>
              </w:rPr>
              <w:t>、壹玖资产、易米基金、</w:t>
            </w:r>
            <w:proofErr w:type="gramStart"/>
            <w:r>
              <w:rPr>
                <w:rFonts w:ascii="等线" w:eastAsia="等线" w:hAnsi="等线" w:hint="eastAsia"/>
                <w:color w:val="000000"/>
                <w:sz w:val="22"/>
              </w:rPr>
              <w:t>翼虎投资</w:t>
            </w:r>
            <w:proofErr w:type="gramEnd"/>
            <w:r>
              <w:rPr>
                <w:rFonts w:ascii="等线" w:eastAsia="等线" w:hAnsi="等线" w:hint="eastAsia"/>
                <w:color w:val="000000"/>
                <w:sz w:val="22"/>
              </w:rPr>
              <w:t>、银河证券、远信投资、长城证券、招商基金、</w:t>
            </w:r>
            <w:proofErr w:type="gramStart"/>
            <w:r>
              <w:rPr>
                <w:rFonts w:ascii="等线" w:eastAsia="等线" w:hAnsi="等线" w:hint="eastAsia"/>
                <w:color w:val="000000"/>
                <w:sz w:val="22"/>
              </w:rPr>
              <w:t>浙商自营</w:t>
            </w:r>
            <w:proofErr w:type="gramEnd"/>
            <w:r>
              <w:rPr>
                <w:rFonts w:ascii="等线" w:eastAsia="等线" w:hAnsi="等线" w:hint="eastAsia"/>
                <w:color w:val="000000"/>
                <w:sz w:val="22"/>
              </w:rPr>
              <w:t>、</w:t>
            </w:r>
            <w:proofErr w:type="gramStart"/>
            <w:r>
              <w:rPr>
                <w:rFonts w:ascii="等线" w:eastAsia="等线" w:hAnsi="等线" w:hint="eastAsia"/>
                <w:color w:val="000000"/>
                <w:sz w:val="22"/>
              </w:rPr>
              <w:t>正心谷资本</w:t>
            </w:r>
            <w:proofErr w:type="gramEnd"/>
            <w:r>
              <w:rPr>
                <w:rFonts w:ascii="等线" w:eastAsia="等线" w:hAnsi="等线" w:hint="eastAsia"/>
                <w:color w:val="000000"/>
                <w:sz w:val="22"/>
              </w:rPr>
              <w:t>、中航基金、中加基金、</w:t>
            </w:r>
            <w:proofErr w:type="gramStart"/>
            <w:r>
              <w:rPr>
                <w:rFonts w:ascii="等线" w:eastAsia="等线" w:hAnsi="等线" w:hint="eastAsia"/>
                <w:color w:val="000000"/>
                <w:sz w:val="22"/>
              </w:rPr>
              <w:t>中融基金</w:t>
            </w:r>
            <w:proofErr w:type="gramEnd"/>
            <w:r>
              <w:rPr>
                <w:rFonts w:ascii="等线" w:eastAsia="等线" w:hAnsi="等线" w:hint="eastAsia"/>
                <w:color w:val="000000"/>
                <w:sz w:val="22"/>
              </w:rPr>
              <w:t>、</w:t>
            </w:r>
            <w:proofErr w:type="gramStart"/>
            <w:r>
              <w:rPr>
                <w:rFonts w:ascii="等线" w:eastAsia="等线" w:hAnsi="等线" w:hint="eastAsia"/>
                <w:color w:val="000000"/>
                <w:sz w:val="22"/>
              </w:rPr>
              <w:t>中融信托</w:t>
            </w:r>
            <w:proofErr w:type="gramEnd"/>
            <w:r>
              <w:rPr>
                <w:rFonts w:ascii="等线" w:eastAsia="等线" w:hAnsi="等线" w:hint="eastAsia"/>
                <w:color w:val="000000"/>
                <w:sz w:val="22"/>
              </w:rPr>
              <w:t>、中天国富、中信建投、中信资管、中</w:t>
            </w:r>
            <w:proofErr w:type="gramStart"/>
            <w:r>
              <w:rPr>
                <w:rFonts w:ascii="等线" w:eastAsia="等线" w:hAnsi="等线" w:hint="eastAsia"/>
                <w:color w:val="000000"/>
                <w:sz w:val="22"/>
              </w:rPr>
              <w:t>银资管</w:t>
            </w:r>
            <w:proofErr w:type="gramEnd"/>
            <w:r>
              <w:rPr>
                <w:rFonts w:ascii="等线" w:eastAsia="等线" w:hAnsi="等线" w:hint="eastAsia"/>
                <w:color w:val="000000"/>
                <w:sz w:val="22"/>
              </w:rPr>
              <w:t>、中邮证券、国联证券、中银基金、银华基金、诺德基金、</w:t>
            </w:r>
            <w:proofErr w:type="gramStart"/>
            <w:r>
              <w:rPr>
                <w:rFonts w:ascii="等线" w:eastAsia="等线" w:hAnsi="等线" w:hint="eastAsia"/>
                <w:color w:val="000000"/>
                <w:sz w:val="22"/>
              </w:rPr>
              <w:t>创金合</w:t>
            </w:r>
            <w:proofErr w:type="gramEnd"/>
            <w:r>
              <w:rPr>
                <w:rFonts w:ascii="等线" w:eastAsia="等线" w:hAnsi="等线" w:hint="eastAsia"/>
                <w:color w:val="000000"/>
                <w:sz w:val="22"/>
              </w:rPr>
              <w:t>信、财通基金、方正证券、鲍尔赛嘉、</w:t>
            </w:r>
            <w:proofErr w:type="gramStart"/>
            <w:r>
              <w:rPr>
                <w:rFonts w:ascii="等线" w:eastAsia="等线" w:hAnsi="等线" w:hint="eastAsia"/>
                <w:color w:val="000000"/>
                <w:sz w:val="22"/>
              </w:rPr>
              <w:t>世</w:t>
            </w:r>
            <w:proofErr w:type="gramEnd"/>
            <w:r>
              <w:rPr>
                <w:rFonts w:ascii="等线" w:eastAsia="等线" w:hAnsi="等线" w:hint="eastAsia"/>
                <w:color w:val="000000"/>
                <w:sz w:val="22"/>
              </w:rPr>
              <w:t>诚投资、上</w:t>
            </w:r>
            <w:proofErr w:type="gramStart"/>
            <w:r>
              <w:rPr>
                <w:rFonts w:ascii="等线" w:eastAsia="等线" w:hAnsi="等线" w:hint="eastAsia"/>
                <w:color w:val="000000"/>
                <w:sz w:val="22"/>
              </w:rPr>
              <w:t>证资管</w:t>
            </w:r>
            <w:proofErr w:type="gramEnd"/>
            <w:r>
              <w:rPr>
                <w:rFonts w:ascii="等线" w:eastAsia="等线" w:hAnsi="等线" w:hint="eastAsia"/>
                <w:color w:val="000000"/>
                <w:sz w:val="22"/>
              </w:rPr>
              <w:t>、长城基金、华夏基金、天风证券、华商基金、方御投资、朱雀基金、智晶私募、中欧基金、</w:t>
            </w:r>
            <w:proofErr w:type="gramStart"/>
            <w:r>
              <w:rPr>
                <w:rFonts w:ascii="等线" w:eastAsia="等线" w:hAnsi="等线" w:hint="eastAsia"/>
                <w:color w:val="000000"/>
                <w:sz w:val="22"/>
              </w:rPr>
              <w:t>工银瑞信</w:t>
            </w:r>
            <w:proofErr w:type="gramEnd"/>
            <w:r>
              <w:rPr>
                <w:rFonts w:ascii="等线" w:eastAsia="等线" w:hAnsi="等线" w:hint="eastAsia"/>
                <w:color w:val="000000"/>
                <w:sz w:val="22"/>
              </w:rPr>
              <w:t>、富国基金、</w:t>
            </w:r>
            <w:proofErr w:type="gramStart"/>
            <w:r>
              <w:rPr>
                <w:rFonts w:ascii="等线" w:eastAsia="等线" w:hAnsi="等线" w:hint="eastAsia"/>
                <w:color w:val="000000"/>
                <w:sz w:val="22"/>
              </w:rPr>
              <w:t>泰信基金</w:t>
            </w:r>
            <w:proofErr w:type="gramEnd"/>
            <w:r>
              <w:rPr>
                <w:rFonts w:ascii="等线" w:eastAsia="等线" w:hAnsi="等线" w:hint="eastAsia"/>
                <w:color w:val="000000"/>
                <w:sz w:val="22"/>
              </w:rPr>
              <w:t>、海</w:t>
            </w:r>
            <w:proofErr w:type="gramStart"/>
            <w:r>
              <w:rPr>
                <w:rFonts w:ascii="等线" w:eastAsia="等线" w:hAnsi="等线" w:hint="eastAsia"/>
                <w:color w:val="000000"/>
                <w:sz w:val="22"/>
              </w:rPr>
              <w:t>通资管、光证资管</w:t>
            </w:r>
            <w:proofErr w:type="gramEnd"/>
            <w:r>
              <w:rPr>
                <w:rFonts w:ascii="等线" w:eastAsia="等线" w:hAnsi="等线" w:hint="eastAsia"/>
                <w:color w:val="000000"/>
                <w:sz w:val="22"/>
              </w:rPr>
              <w:t>、富安达基金、大家资产、兴业基金、广发自营、</w:t>
            </w:r>
            <w:proofErr w:type="gramStart"/>
            <w:r>
              <w:rPr>
                <w:rFonts w:ascii="等线" w:eastAsia="等线" w:hAnsi="等线" w:hint="eastAsia"/>
                <w:color w:val="000000"/>
                <w:sz w:val="22"/>
              </w:rPr>
              <w:t>峰境基金</w:t>
            </w:r>
            <w:proofErr w:type="gramEnd"/>
            <w:r>
              <w:rPr>
                <w:rFonts w:ascii="等线" w:eastAsia="等线" w:hAnsi="等线" w:hint="eastAsia"/>
                <w:color w:val="000000"/>
                <w:sz w:val="22"/>
              </w:rPr>
              <w:t>、</w:t>
            </w:r>
            <w:proofErr w:type="gramStart"/>
            <w:r>
              <w:rPr>
                <w:rFonts w:ascii="等线" w:eastAsia="等线" w:hAnsi="等线" w:hint="eastAsia"/>
                <w:color w:val="000000"/>
                <w:sz w:val="22"/>
              </w:rPr>
              <w:t>远策投资</w:t>
            </w:r>
            <w:proofErr w:type="gramEnd"/>
            <w:r>
              <w:rPr>
                <w:rFonts w:ascii="等线" w:eastAsia="等线" w:hAnsi="等线" w:hint="eastAsia"/>
                <w:color w:val="000000"/>
                <w:sz w:val="22"/>
              </w:rPr>
              <w:t>、中欧瑞博、博时基金、中海基金、东方基金、相聚资本、诺安基金、华夏未来、国联基金、</w:t>
            </w:r>
            <w:proofErr w:type="gramStart"/>
            <w:r>
              <w:rPr>
                <w:rFonts w:ascii="等线" w:eastAsia="等线" w:hAnsi="等线" w:hint="eastAsia"/>
                <w:color w:val="000000"/>
                <w:sz w:val="22"/>
              </w:rPr>
              <w:t>天弘基金</w:t>
            </w:r>
            <w:proofErr w:type="gramEnd"/>
            <w:r>
              <w:rPr>
                <w:rFonts w:ascii="等线" w:eastAsia="等线" w:hAnsi="等线" w:hint="eastAsia"/>
                <w:color w:val="000000"/>
                <w:sz w:val="22"/>
              </w:rPr>
              <w:t>、Exome资管、长城财富资管、</w:t>
            </w:r>
            <w:proofErr w:type="gramStart"/>
            <w:r>
              <w:rPr>
                <w:rFonts w:ascii="等线" w:eastAsia="等线" w:hAnsi="等线" w:hint="eastAsia"/>
                <w:color w:val="000000"/>
                <w:sz w:val="22"/>
              </w:rPr>
              <w:t>泓德基金</w:t>
            </w:r>
            <w:proofErr w:type="gramEnd"/>
            <w:r>
              <w:rPr>
                <w:rFonts w:ascii="等线" w:eastAsia="等线" w:hAnsi="等线" w:hint="eastAsia"/>
                <w:color w:val="000000"/>
                <w:sz w:val="22"/>
              </w:rPr>
              <w:t>、新华基金、国寿安保、仁桥资本、</w:t>
            </w:r>
            <w:proofErr w:type="gramStart"/>
            <w:r>
              <w:rPr>
                <w:rFonts w:ascii="等线" w:eastAsia="等线" w:hAnsi="等线" w:hint="eastAsia"/>
                <w:color w:val="000000"/>
                <w:sz w:val="22"/>
              </w:rPr>
              <w:t>浙商基金</w:t>
            </w:r>
            <w:proofErr w:type="gramEnd"/>
            <w:r>
              <w:rPr>
                <w:rFonts w:ascii="等线" w:eastAsia="等线" w:hAnsi="等线" w:hint="eastAsia"/>
                <w:color w:val="000000"/>
                <w:sz w:val="22"/>
              </w:rPr>
              <w:t>、建信基金、涌泉资本、华富基金、华泰柏瑞、交银施罗德、中信保诚</w:t>
            </w:r>
          </w:p>
          <w:p w14:paraId="545E2D57" w14:textId="6E8CEAA1" w:rsidR="008137EF" w:rsidRPr="008137EF" w:rsidRDefault="008137EF" w:rsidP="00BA0AC5">
            <w:pPr>
              <w:widowControl/>
              <w:jc w:val="left"/>
              <w:rPr>
                <w:rFonts w:ascii="宋体" w:eastAsia="宋体" w:hAnsi="宋体" w:cs="宋体" w:hint="eastAsia"/>
                <w:b/>
                <w:bCs/>
                <w:kern w:val="0"/>
                <w:sz w:val="24"/>
                <w:szCs w:val="24"/>
              </w:rPr>
            </w:pPr>
          </w:p>
        </w:tc>
      </w:tr>
      <w:tr w:rsidR="001C518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C8D769"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时间</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CB0FC" w14:textId="0D7743BE" w:rsidR="001C5186" w:rsidRPr="002D3F5B" w:rsidRDefault="008137EF" w:rsidP="002D3F5B">
            <w:pPr>
              <w:spacing w:line="480" w:lineRule="atLeast"/>
              <w:jc w:val="left"/>
              <w:rPr>
                <w:rFonts w:ascii="宋体" w:eastAsia="宋体" w:hAnsi="宋体" w:cs="Times New Roman" w:hint="eastAsia"/>
                <w:b/>
                <w:bCs/>
                <w:iCs/>
                <w:color w:val="000000"/>
                <w:sz w:val="24"/>
                <w:szCs w:val="24"/>
              </w:rPr>
            </w:pPr>
            <w:r>
              <w:rPr>
                <w:rFonts w:ascii="宋体" w:eastAsia="宋体" w:hAnsi="宋体" w:cs="Times New Roman" w:hint="eastAsia"/>
                <w:bCs/>
                <w:iCs/>
                <w:color w:val="000000"/>
                <w:sz w:val="24"/>
                <w:szCs w:val="24"/>
              </w:rPr>
              <w:t>9</w:t>
            </w:r>
            <w:r w:rsidR="00401AE1">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2</w:t>
            </w:r>
            <w:r w:rsidR="00401AE1">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401AE1">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3</w:t>
            </w:r>
            <w:r w:rsidR="00401AE1">
              <w:rPr>
                <w:rFonts w:ascii="宋体" w:eastAsia="宋体" w:hAnsi="宋体" w:cs="Times New Roman" w:hint="eastAsia"/>
                <w:bCs/>
                <w:iCs/>
                <w:color w:val="000000"/>
                <w:sz w:val="24"/>
                <w:szCs w:val="24"/>
              </w:rPr>
              <w:t>日</w:t>
            </w:r>
            <w:r w:rsidR="00FD07F2">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4</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5</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BA0AC5">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6</w:t>
            </w:r>
            <w:r w:rsidR="00BA0AC5">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0</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2</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月1</w:t>
            </w:r>
            <w:r w:rsidR="00BA0AC5">
              <w:rPr>
                <w:rFonts w:ascii="宋体" w:eastAsia="宋体" w:hAnsi="宋体" w:cs="Times New Roman" w:hint="eastAsia"/>
                <w:bCs/>
                <w:iCs/>
                <w:color w:val="000000"/>
                <w:sz w:val="24"/>
                <w:szCs w:val="24"/>
              </w:rPr>
              <w:t>8</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w:t>
            </w:r>
            <w:r w:rsidR="00182D6A">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20</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、9月23日、9月25日</w:t>
            </w:r>
            <w:r w:rsidR="00B80996">
              <w:rPr>
                <w:rFonts w:ascii="宋体" w:eastAsia="宋体" w:hAnsi="宋体" w:cs="Times New Roman" w:hint="eastAsia"/>
                <w:bCs/>
                <w:iCs/>
                <w:color w:val="000000"/>
                <w:sz w:val="24"/>
                <w:szCs w:val="24"/>
              </w:rPr>
              <w:t>、9月</w:t>
            </w:r>
            <w:r w:rsidR="00B80996">
              <w:rPr>
                <w:rFonts w:ascii="宋体" w:eastAsia="宋体" w:hAnsi="宋体" w:cs="Times New Roman" w:hint="eastAsia"/>
                <w:bCs/>
                <w:iCs/>
                <w:color w:val="000000"/>
                <w:sz w:val="24"/>
                <w:szCs w:val="24"/>
              </w:rPr>
              <w:lastRenderedPageBreak/>
              <w:t>26日</w:t>
            </w:r>
          </w:p>
        </w:tc>
      </w:tr>
      <w:tr w:rsidR="001C5186" w14:paraId="3B56306F"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98EBB"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地点</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59086" w14:textId="6C118156" w:rsidR="001C5186" w:rsidRDefault="002A3289">
            <w:pPr>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公司会议室、</w:t>
            </w:r>
            <w:r w:rsidR="00F42701">
              <w:rPr>
                <w:rFonts w:ascii="宋体" w:eastAsia="宋体" w:hAnsi="宋体" w:cs="Times New Roman" w:hint="eastAsia"/>
                <w:bCs/>
                <w:iCs/>
                <w:color w:val="000000"/>
                <w:sz w:val="24"/>
                <w:szCs w:val="24"/>
              </w:rPr>
              <w:t>券商策略会现场等</w:t>
            </w:r>
          </w:p>
        </w:tc>
      </w:tr>
      <w:tr w:rsidR="008C1D59" w14:paraId="71E992C7" w14:textId="77777777" w:rsidTr="008137EF">
        <w:trPr>
          <w:trHeight w:val="315"/>
          <w:jc w:val="center"/>
        </w:trPr>
        <w:tc>
          <w:tcPr>
            <w:tcW w:w="1560" w:type="dxa"/>
            <w:vMerge w:val="restart"/>
            <w:tcBorders>
              <w:top w:val="single" w:sz="4" w:space="0" w:color="auto"/>
              <w:left w:val="single" w:sz="4" w:space="0" w:color="auto"/>
              <w:right w:val="single" w:sz="4" w:space="0" w:color="auto"/>
            </w:tcBorders>
            <w:shd w:val="clear" w:color="auto" w:fill="auto"/>
            <w:vAlign w:val="center"/>
          </w:tcPr>
          <w:p w14:paraId="748CDE4C"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参会人员</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B3910DB" w14:textId="0DAC0A8F" w:rsidR="001C5186" w:rsidRDefault="00F42701" w:rsidP="002D3F5B">
            <w:pPr>
              <w:spacing w:line="480" w:lineRule="atLeast"/>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董事、高级副总裁、董事会秘书</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487627" w14:textId="77777777" w:rsidR="001C5186" w:rsidRDefault="00F42701">
            <w:pPr>
              <w:spacing w:line="480" w:lineRule="atLeast"/>
              <w:ind w:firstLineChars="100" w:firstLine="24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胡会国</w:t>
            </w:r>
          </w:p>
        </w:tc>
      </w:tr>
      <w:tr w:rsidR="008137EF" w14:paraId="5094A0B2" w14:textId="77777777" w:rsidTr="008137EF">
        <w:trPr>
          <w:trHeight w:val="315"/>
          <w:jc w:val="center"/>
        </w:trPr>
        <w:tc>
          <w:tcPr>
            <w:tcW w:w="1560" w:type="dxa"/>
            <w:vMerge/>
            <w:tcBorders>
              <w:top w:val="single" w:sz="4" w:space="0" w:color="auto"/>
              <w:left w:val="single" w:sz="4" w:space="0" w:color="auto"/>
              <w:right w:val="single" w:sz="4" w:space="0" w:color="auto"/>
            </w:tcBorders>
            <w:shd w:val="clear" w:color="auto" w:fill="auto"/>
            <w:vAlign w:val="center"/>
          </w:tcPr>
          <w:p w14:paraId="3F6F9516" w14:textId="77777777" w:rsidR="008137EF" w:rsidRDefault="008137EF">
            <w:pPr>
              <w:jc w:val="center"/>
              <w:rPr>
                <w:rFonts w:ascii="宋体" w:eastAsia="宋体" w:hAnsi="宋体" w:cs="Times New Roman" w:hint="eastAsia"/>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6B7354D" w14:textId="3F4711C3" w:rsidR="008137EF" w:rsidRDefault="008137EF" w:rsidP="002D3F5B">
            <w:pPr>
              <w:spacing w:line="480" w:lineRule="atLeast"/>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CFO、副总裁</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848950" w14:textId="063BE026" w:rsidR="008137EF" w:rsidRDefault="008137EF">
            <w:pPr>
              <w:spacing w:line="480" w:lineRule="atLeast"/>
              <w:ind w:firstLineChars="100" w:firstLine="24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华俊（9月2日参会）</w:t>
            </w:r>
          </w:p>
        </w:tc>
      </w:tr>
      <w:tr w:rsidR="008C1D59" w14:paraId="2DB938E0" w14:textId="77777777" w:rsidTr="008137EF">
        <w:trPr>
          <w:trHeight w:val="315"/>
          <w:jc w:val="center"/>
        </w:trPr>
        <w:tc>
          <w:tcPr>
            <w:tcW w:w="1560" w:type="dxa"/>
            <w:vMerge/>
            <w:tcBorders>
              <w:left w:val="single" w:sz="4" w:space="0" w:color="auto"/>
              <w:right w:val="single" w:sz="4" w:space="0" w:color="auto"/>
            </w:tcBorders>
            <w:shd w:val="clear" w:color="auto" w:fill="auto"/>
            <w:vAlign w:val="center"/>
          </w:tcPr>
          <w:p w14:paraId="28B0C99D" w14:textId="77777777" w:rsidR="001C5186" w:rsidRDefault="001C5186">
            <w:pPr>
              <w:jc w:val="center"/>
              <w:rPr>
                <w:rFonts w:ascii="宋体" w:eastAsia="宋体" w:hAnsi="宋体" w:cs="Times New Roman" w:hint="eastAsia"/>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133667A" w14:textId="77777777" w:rsidR="001C5186" w:rsidRDefault="00F42701">
            <w:pPr>
              <w:spacing w:line="480" w:lineRule="atLeast"/>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投资者关系副总监</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EF1303" w14:textId="77777777" w:rsidR="001C5186" w:rsidRDefault="00F42701">
            <w:pPr>
              <w:spacing w:line="480" w:lineRule="atLeast"/>
              <w:ind w:firstLineChars="100" w:firstLine="24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 xml:space="preserve">王 </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静</w:t>
            </w:r>
          </w:p>
        </w:tc>
      </w:tr>
      <w:tr w:rsidR="001C5186"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C7BA99" w14:textId="77777777" w:rsidR="001C5186" w:rsidRDefault="00F42701">
            <w:pPr>
              <w:spacing w:line="360" w:lineRule="auto"/>
              <w:jc w:val="center"/>
              <w:rPr>
                <w:rFonts w:ascii="宋体" w:eastAsia="宋体" w:hAnsi="宋体" w:cs="Times New Roman" w:hint="eastAsia"/>
                <w:bCs/>
                <w:iCs/>
                <w:sz w:val="24"/>
                <w:szCs w:val="24"/>
              </w:rPr>
            </w:pPr>
            <w:r>
              <w:rPr>
                <w:rFonts w:ascii="宋体" w:eastAsia="宋体" w:hAnsi="宋体"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ADE721"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问：Nectin-4 ADC国内临床入组进展和规划？</w:t>
            </w:r>
          </w:p>
          <w:p w14:paraId="2C88D71F" w14:textId="5BE4B581" w:rsidR="008137EF" w:rsidRPr="008137EF"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：今年以来，公司在Nectin-4 ADC项目（以下简称“282”）上取得了一系列重大进展。公司在3月份的SGO（美国妇科肿瘤学会）以及6月份的ASCO（美国临床肿瘤学会），分别以“聚焦全体会议口头报告”及“口头报告”的形式发布了有关临床进展数据。按照适应症情况，简要解读如下：</w:t>
            </w:r>
          </w:p>
          <w:p w14:paraId="18B19CF3" w14:textId="1CF6AB0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1）尿路上皮癌（UC）：公司之前公告的核心数据是62.2%的ORR，</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为8.8m，</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为14.2m。对</w:t>
            </w:r>
            <w:proofErr w:type="gramStart"/>
            <w:r w:rsidRPr="008137EF">
              <w:rPr>
                <w:rFonts w:ascii="宋体" w:eastAsia="宋体" w:hAnsi="宋体" w:hint="eastAsia"/>
                <w:sz w:val="24"/>
                <w:szCs w:val="24"/>
              </w:rPr>
              <w:t>标全球</w:t>
            </w:r>
            <w:proofErr w:type="gramEnd"/>
            <w:r w:rsidRPr="008137EF">
              <w:rPr>
                <w:rFonts w:ascii="宋体" w:eastAsia="宋体" w:hAnsi="宋体" w:hint="eastAsia"/>
                <w:sz w:val="24"/>
                <w:szCs w:val="24"/>
              </w:rPr>
              <w:t>最先获批的</w:t>
            </w:r>
            <w:proofErr w:type="spellStart"/>
            <w:r w:rsidRPr="008137EF">
              <w:rPr>
                <w:rFonts w:ascii="宋体" w:eastAsia="宋体" w:hAnsi="宋体" w:hint="eastAsia"/>
                <w:sz w:val="24"/>
                <w:szCs w:val="24"/>
              </w:rPr>
              <w:t>Seagen</w:t>
            </w:r>
            <w:proofErr w:type="spellEnd"/>
            <w:r w:rsidRPr="008137EF">
              <w:rPr>
                <w:rFonts w:ascii="宋体" w:eastAsia="宋体" w:hAnsi="宋体" w:hint="eastAsia"/>
                <w:sz w:val="24"/>
                <w:szCs w:val="24"/>
              </w:rPr>
              <w:t>的Nectin-4 ADC（</w:t>
            </w:r>
            <w:proofErr w:type="spellStart"/>
            <w:r w:rsidRPr="008137EF">
              <w:rPr>
                <w:rFonts w:ascii="宋体" w:eastAsia="宋体" w:hAnsi="宋体" w:hint="eastAsia"/>
                <w:sz w:val="24"/>
                <w:szCs w:val="24"/>
              </w:rPr>
              <w:t>Enfortumab</w:t>
            </w:r>
            <w:proofErr w:type="spellEnd"/>
            <w:r w:rsidRPr="008137EF">
              <w:rPr>
                <w:rFonts w:ascii="宋体" w:eastAsia="宋体" w:hAnsi="宋体" w:hint="eastAsia"/>
                <w:sz w:val="24"/>
                <w:szCs w:val="24"/>
              </w:rPr>
              <w:t xml:space="preserve"> </w:t>
            </w:r>
            <w:proofErr w:type="spellStart"/>
            <w:r w:rsidRPr="008137EF">
              <w:rPr>
                <w:rFonts w:ascii="宋体" w:eastAsia="宋体" w:hAnsi="宋体" w:hint="eastAsia"/>
                <w:sz w:val="24"/>
                <w:szCs w:val="24"/>
              </w:rPr>
              <w:t>Vedotin</w:t>
            </w:r>
            <w:proofErr w:type="spellEnd"/>
            <w:r w:rsidRPr="008137EF">
              <w:rPr>
                <w:rFonts w:ascii="宋体" w:eastAsia="宋体" w:hAnsi="宋体" w:hint="eastAsia"/>
                <w:sz w:val="24"/>
                <w:szCs w:val="24"/>
              </w:rPr>
              <w:t>，EV，商品名</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®），各项关键指标均有显著提升。在安全性方面，EV有值得重视的可能导致患者死亡的严重不良反应如皮肤毒（被FDA列为黑框警告）和外周神经毒，截</w:t>
            </w:r>
            <w:r w:rsidR="00923E91">
              <w:rPr>
                <w:rFonts w:ascii="宋体" w:eastAsia="宋体" w:hAnsi="宋体" w:hint="eastAsia"/>
                <w:sz w:val="24"/>
                <w:szCs w:val="24"/>
              </w:rPr>
              <w:t>至</w:t>
            </w:r>
            <w:r w:rsidRPr="008137EF">
              <w:rPr>
                <w:rFonts w:ascii="宋体" w:eastAsia="宋体" w:hAnsi="宋体" w:hint="eastAsia"/>
                <w:sz w:val="24"/>
                <w:szCs w:val="24"/>
              </w:rPr>
              <w:t>半年报披露日，282目标剂量下累计入组已经超过400例，研究结果显示出具有突出的抗肿瘤活性</w:t>
            </w:r>
            <w:r w:rsidR="007270EF">
              <w:rPr>
                <w:rFonts w:ascii="宋体" w:eastAsia="宋体" w:hAnsi="宋体" w:hint="eastAsia"/>
                <w:sz w:val="24"/>
                <w:szCs w:val="24"/>
              </w:rPr>
              <w:t>和</w:t>
            </w:r>
            <w:r w:rsidRPr="008137EF">
              <w:rPr>
                <w:rFonts w:ascii="宋体" w:eastAsia="宋体" w:hAnsi="宋体" w:hint="eastAsia"/>
                <w:sz w:val="24"/>
                <w:szCs w:val="24"/>
              </w:rPr>
              <w:t>较好的安全性。</w:t>
            </w:r>
          </w:p>
          <w:p w14:paraId="70DEE433"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目前，282在UC中已有多项临床研究同步开展。二线及以后单药疗法：282治疗经铂类化疗和PD-(L)1抑制剂治疗的局部晚期或转移性尿路上皮癌的III期临床研究目前正处于入组阶段；282在该适应症于2024年8月被国家药品监督管理局药品审评中心（CDE）纳入突破性治疗品种名单。一线疗法：282联合PD-1单抗一线治疗尿路上皮癌的III期临床研究目前正处于入组阶段。在UC上，公司282具备同类最优（BIC）潜质。</w:t>
            </w:r>
          </w:p>
          <w:p w14:paraId="4ACB75E3" w14:textId="6C8265EE"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2）宫颈癌（CC）：公司之前公告的核心数据是35.8%的ORR，</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为3.9个月，</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尚未达到。公司282的CC数据背后的患者基线情况为：53名可评估疗效的患者中，受试者</w:t>
            </w:r>
            <w:proofErr w:type="gramStart"/>
            <w:r w:rsidRPr="008137EF">
              <w:rPr>
                <w:rFonts w:ascii="宋体" w:eastAsia="宋体" w:hAnsi="宋体" w:hint="eastAsia"/>
                <w:sz w:val="24"/>
                <w:szCs w:val="24"/>
              </w:rPr>
              <w:t>既往均</w:t>
            </w:r>
            <w:proofErr w:type="gramEnd"/>
            <w:r w:rsidRPr="008137EF">
              <w:rPr>
                <w:rFonts w:ascii="宋体" w:eastAsia="宋体" w:hAnsi="宋体" w:hint="eastAsia"/>
                <w:sz w:val="24"/>
                <w:szCs w:val="24"/>
              </w:rPr>
              <w:t>接受过</w:t>
            </w:r>
            <w:proofErr w:type="gramStart"/>
            <w:r w:rsidRPr="008137EF">
              <w:rPr>
                <w:rFonts w:ascii="宋体" w:eastAsia="宋体" w:hAnsi="宋体" w:hint="eastAsia"/>
                <w:sz w:val="24"/>
                <w:szCs w:val="24"/>
              </w:rPr>
              <w:t>含铂双药</w:t>
            </w:r>
            <w:proofErr w:type="gramEnd"/>
            <w:r w:rsidRPr="008137EF">
              <w:rPr>
                <w:rFonts w:ascii="宋体" w:eastAsia="宋体" w:hAnsi="宋体" w:hint="eastAsia"/>
                <w:sz w:val="24"/>
                <w:szCs w:val="24"/>
              </w:rPr>
              <w:t>化疗，51%受试者既往接受</w:t>
            </w:r>
            <w:proofErr w:type="gramStart"/>
            <w:r w:rsidRPr="008137EF">
              <w:rPr>
                <w:rFonts w:ascii="宋体" w:eastAsia="宋体" w:hAnsi="宋体" w:hint="eastAsia"/>
                <w:sz w:val="24"/>
                <w:szCs w:val="24"/>
              </w:rPr>
              <w:t>过贝伐珠单</w:t>
            </w:r>
            <w:proofErr w:type="gramEnd"/>
            <w:r w:rsidRPr="008137EF">
              <w:rPr>
                <w:rFonts w:ascii="宋体" w:eastAsia="宋体" w:hAnsi="宋体" w:hint="eastAsia"/>
                <w:sz w:val="24"/>
                <w:szCs w:val="24"/>
              </w:rPr>
              <w:t>抗治疗，58%受试者既往接受过免疫检查点抑制剂治疗，公司认为在如此基线人群下的数据优势显著。对于二线及以后的单药疗法，282治疗含铂化疗失败的复发或转移性宫颈癌的III期临床研究目前处于入组阶段；同时，公司也在推进一线联合疗法临床研究的申报工作，目前已获得CDE受理。</w:t>
            </w:r>
          </w:p>
          <w:p w14:paraId="2C130F69" w14:textId="7013FB04"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3）食管癌（EC）：公司之前公告的核心数据是23.1%的ORR，</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为3.9个月，</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为8.2个月。中国临床肿瘤学会（CSCO）指南提示：PD-1单抗联</w:t>
            </w:r>
            <w:proofErr w:type="gramStart"/>
            <w:r w:rsidRPr="008137EF">
              <w:rPr>
                <w:rFonts w:ascii="宋体" w:eastAsia="宋体" w:hAnsi="宋体" w:hint="eastAsia"/>
                <w:sz w:val="24"/>
                <w:szCs w:val="24"/>
              </w:rPr>
              <w:t>合含铂</w:t>
            </w:r>
            <w:proofErr w:type="gramEnd"/>
            <w:r w:rsidRPr="008137EF">
              <w:rPr>
                <w:rFonts w:ascii="宋体" w:eastAsia="宋体" w:hAnsi="宋体" w:hint="eastAsia"/>
                <w:sz w:val="24"/>
                <w:szCs w:val="24"/>
              </w:rPr>
              <w:t>化疗为标准一线治疗。该标准疗法经</w:t>
            </w:r>
            <w:proofErr w:type="gramStart"/>
            <w:r w:rsidRPr="008137EF">
              <w:rPr>
                <w:rFonts w:ascii="宋体" w:eastAsia="宋体" w:hAnsi="宋体" w:hint="eastAsia"/>
                <w:sz w:val="24"/>
                <w:szCs w:val="24"/>
              </w:rPr>
              <w:t>治进展</w:t>
            </w:r>
            <w:proofErr w:type="gramEnd"/>
            <w:r w:rsidRPr="008137EF">
              <w:rPr>
                <w:rFonts w:ascii="宋体" w:eastAsia="宋体" w:hAnsi="宋体" w:hint="eastAsia"/>
                <w:sz w:val="24"/>
                <w:szCs w:val="24"/>
              </w:rPr>
              <w:t>后，尚无更多优选方案。公司282的EC数据背后的患者基线情况为：37例（n=39）接受过铂类化疗及免疫治疗，</w:t>
            </w:r>
            <w:proofErr w:type="gramStart"/>
            <w:r w:rsidRPr="008137EF">
              <w:rPr>
                <w:rFonts w:ascii="宋体" w:eastAsia="宋体" w:hAnsi="宋体" w:hint="eastAsia"/>
                <w:sz w:val="24"/>
                <w:szCs w:val="24"/>
              </w:rPr>
              <w:t>暨标准</w:t>
            </w:r>
            <w:proofErr w:type="gramEnd"/>
            <w:r w:rsidRPr="008137EF">
              <w:rPr>
                <w:rFonts w:ascii="宋体" w:eastAsia="宋体" w:hAnsi="宋体" w:hint="eastAsia"/>
                <w:sz w:val="24"/>
                <w:szCs w:val="24"/>
              </w:rPr>
              <w:t>疗法治疗失败患者。对于二线及以后的单药疗法，公司将继续评估</w:t>
            </w:r>
            <w:r w:rsidRPr="008137EF">
              <w:rPr>
                <w:rFonts w:ascii="宋体" w:eastAsia="宋体" w:hAnsi="宋体" w:hint="eastAsia"/>
                <w:sz w:val="24"/>
                <w:szCs w:val="24"/>
              </w:rPr>
              <w:lastRenderedPageBreak/>
              <w:t>II期食管癌队列的长期疗效数据；同时，公司也在推进一线联合疗法临床研究的申报工作，目前已获得CDE受理。</w:t>
            </w:r>
          </w:p>
          <w:p w14:paraId="72430AEE" w14:textId="77777777" w:rsid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4) 三阴性乳腺癌（TNBC）：公司之前公告的核心数据是50.0%的ORR，</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为5.9个月，</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尚未达到；其中，1例完全缓解（CR）患者已持续治疗20个月，仍持续完全缓解。TNBC目前缺少更有效的疗法，美国上市的Trop-2 ADC，据报道不良反应较为严重，特别是影响患者进食的严重的口腔黏膜炎。目前，一线治疗失败后的系统性治疗药物选择较为有限。</w:t>
            </w:r>
            <w:bookmarkStart w:id="0" w:name="OLE_LINK8"/>
            <w:r w:rsidRPr="008137EF">
              <w:rPr>
                <w:rFonts w:ascii="宋体" w:eastAsia="宋体" w:hAnsi="宋体" w:hint="eastAsia"/>
                <w:sz w:val="24"/>
                <w:szCs w:val="24"/>
              </w:rPr>
              <w:t>公司已正式启动一项II期临床研究，用以探索一线联合疗法以及二线及以后的单药疗法的初步疗效，目前正处于入组阶段。</w:t>
            </w:r>
          </w:p>
          <w:bookmarkEnd w:id="0"/>
          <w:p w14:paraId="567AC693" w14:textId="77777777" w:rsidR="007270EF" w:rsidRPr="008137EF" w:rsidRDefault="007270EF" w:rsidP="00C73D0C">
            <w:pPr>
              <w:widowControl/>
              <w:ind w:firstLineChars="200" w:firstLine="480"/>
              <w:jc w:val="left"/>
              <w:rPr>
                <w:rFonts w:ascii="宋体" w:eastAsia="宋体" w:hAnsi="宋体" w:hint="eastAsia"/>
                <w:sz w:val="24"/>
                <w:szCs w:val="24"/>
              </w:rPr>
            </w:pPr>
          </w:p>
          <w:p w14:paraId="7DF56DCA" w14:textId="77777777" w:rsidR="008137EF" w:rsidRPr="008137EF" w:rsidRDefault="008137EF" w:rsidP="00EC4E66">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综合上述适应症解读情况，汇总进展要点和展望如下：</w:t>
            </w:r>
          </w:p>
          <w:p w14:paraId="4B81E807"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1）</w:t>
            </w:r>
            <w:r w:rsidRPr="008137EF">
              <w:rPr>
                <w:rFonts w:ascii="宋体" w:eastAsia="宋体" w:hAnsi="宋体" w:hint="eastAsia"/>
                <w:sz w:val="24"/>
                <w:szCs w:val="24"/>
              </w:rPr>
              <w:tab/>
              <w:t>UC适应症：目前全球进度第二，具备BIC潜质；单药治疗目前在III期临床快速入组阶段；联合PD-1治疗进入III期临床阶段；此外，公司计划尽快开展联合PD-1治疗肌层浸润性尿路上皮癌（MIUC）的临床申请，以拓展至更早期的肿瘤患者，潜在受益人群更多（EV目前在III期临床阶段）；</w:t>
            </w:r>
          </w:p>
          <w:p w14:paraId="51AF21F1"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2）</w:t>
            </w:r>
            <w:r w:rsidRPr="008137EF">
              <w:rPr>
                <w:rFonts w:ascii="宋体" w:eastAsia="宋体" w:hAnsi="宋体" w:hint="eastAsia"/>
                <w:sz w:val="24"/>
                <w:szCs w:val="24"/>
              </w:rPr>
              <w:tab/>
              <w:t>CC适应症：全球同靶点药物首</w:t>
            </w:r>
            <w:proofErr w:type="gramStart"/>
            <w:r w:rsidRPr="008137EF">
              <w:rPr>
                <w:rFonts w:ascii="宋体" w:eastAsia="宋体" w:hAnsi="宋体" w:hint="eastAsia"/>
                <w:sz w:val="24"/>
                <w:szCs w:val="24"/>
              </w:rPr>
              <w:t>款进入</w:t>
            </w:r>
            <w:proofErr w:type="gramEnd"/>
            <w:r w:rsidRPr="008137EF">
              <w:rPr>
                <w:rFonts w:ascii="宋体" w:eastAsia="宋体" w:hAnsi="宋体" w:hint="eastAsia"/>
                <w:sz w:val="24"/>
                <w:szCs w:val="24"/>
              </w:rPr>
              <w:t>临床III期阶段；联合PD-1治疗的临床 IND已获受理；</w:t>
            </w:r>
          </w:p>
          <w:p w14:paraId="46B60CBE"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3）</w:t>
            </w:r>
            <w:r w:rsidRPr="008137EF">
              <w:rPr>
                <w:rFonts w:ascii="宋体" w:eastAsia="宋体" w:hAnsi="宋体" w:hint="eastAsia"/>
                <w:sz w:val="24"/>
                <w:szCs w:val="24"/>
              </w:rPr>
              <w:tab/>
              <w:t>EC、TNBC适应症：全球同靶点药物首款披露临床有效性安全性数据，具备同靶点药物全球第一的潜质；</w:t>
            </w:r>
          </w:p>
          <w:p w14:paraId="5113A7F8" w14:textId="77777777" w:rsid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4）</w:t>
            </w:r>
            <w:r w:rsidRPr="008137EF">
              <w:rPr>
                <w:rFonts w:ascii="宋体" w:eastAsia="宋体" w:hAnsi="宋体" w:hint="eastAsia"/>
                <w:sz w:val="24"/>
                <w:szCs w:val="24"/>
              </w:rPr>
              <w:tab/>
              <w:t>近几个月以来，先后获得了美国FDA授予的针对食管鳞癌（ESCC）和EC适应症的快速通道认定（FTD）和孤儿药认定（ODD）、CC适应症的FTD、以及近期TNBC适应症的FTD。UC适应症被CDE纳入突破性治疗品种名单。</w:t>
            </w:r>
          </w:p>
          <w:p w14:paraId="200066F1" w14:textId="77777777" w:rsidR="00E52835" w:rsidRPr="008137EF" w:rsidRDefault="00E52835" w:rsidP="008137EF">
            <w:pPr>
              <w:widowControl/>
              <w:jc w:val="left"/>
              <w:rPr>
                <w:rFonts w:ascii="宋体" w:eastAsia="宋体" w:hAnsi="宋体" w:hint="eastAsia"/>
                <w:sz w:val="24"/>
                <w:szCs w:val="24"/>
              </w:rPr>
            </w:pPr>
          </w:p>
          <w:p w14:paraId="7A1FB1DA" w14:textId="77777777" w:rsidR="008137EF" w:rsidRPr="00C73D0C" w:rsidRDefault="008137EF" w:rsidP="008137EF">
            <w:pPr>
              <w:widowControl/>
              <w:jc w:val="left"/>
              <w:rPr>
                <w:rFonts w:ascii="宋体" w:eastAsia="宋体" w:hAnsi="宋体" w:hint="eastAsia"/>
                <w:b/>
                <w:bCs/>
                <w:sz w:val="24"/>
                <w:szCs w:val="24"/>
              </w:rPr>
            </w:pPr>
            <w:r w:rsidRPr="00C73D0C">
              <w:rPr>
                <w:rFonts w:ascii="宋体" w:eastAsia="宋体" w:hAnsi="宋体" w:hint="eastAsia"/>
                <w:b/>
                <w:bCs/>
                <w:sz w:val="24"/>
                <w:szCs w:val="24"/>
              </w:rPr>
              <w:t>问：B7-H3 ADC后续临床数据读出计划？</w:t>
            </w:r>
          </w:p>
          <w:p w14:paraId="2CF6F374" w14:textId="77777777" w:rsidR="008137EF" w:rsidRPr="008137EF" w:rsidRDefault="008137EF" w:rsidP="008137EF">
            <w:pPr>
              <w:widowControl/>
              <w:jc w:val="left"/>
              <w:rPr>
                <w:rFonts w:ascii="宋体" w:eastAsia="宋体" w:hAnsi="宋体" w:hint="eastAsia"/>
                <w:sz w:val="24"/>
                <w:szCs w:val="24"/>
              </w:rPr>
            </w:pPr>
            <w:r w:rsidRPr="00C73D0C">
              <w:rPr>
                <w:rFonts w:ascii="宋体" w:eastAsia="宋体" w:hAnsi="宋体" w:hint="eastAsia"/>
                <w:b/>
                <w:bCs/>
                <w:sz w:val="24"/>
                <w:szCs w:val="24"/>
              </w:rPr>
              <w:t>答：</w:t>
            </w:r>
            <w:r w:rsidRPr="008137EF">
              <w:rPr>
                <w:rFonts w:ascii="宋体" w:eastAsia="宋体" w:hAnsi="宋体" w:hint="eastAsia"/>
                <w:sz w:val="24"/>
                <w:szCs w:val="24"/>
              </w:rPr>
              <w:t>B7-H3是一种属于B7家族的跨膜蛋白，在包括肺癌、前列腺癌和食管癌等多种肿瘤细胞中都存在过度表达，是一个很有潜力的靶点。目前，尚无靶向B7-H3靶点的</w:t>
            </w:r>
            <w:proofErr w:type="gramStart"/>
            <w:r w:rsidRPr="008137EF">
              <w:rPr>
                <w:rFonts w:ascii="宋体" w:eastAsia="宋体" w:hAnsi="宋体" w:hint="eastAsia"/>
                <w:sz w:val="24"/>
                <w:szCs w:val="24"/>
              </w:rPr>
              <w:t>药物获批用于</w:t>
            </w:r>
            <w:proofErr w:type="gramEnd"/>
            <w:r w:rsidRPr="008137EF">
              <w:rPr>
                <w:rFonts w:ascii="宋体" w:eastAsia="宋体" w:hAnsi="宋体" w:hint="eastAsia"/>
                <w:sz w:val="24"/>
                <w:szCs w:val="24"/>
              </w:rPr>
              <w:t>治疗肿瘤。</w:t>
            </w:r>
          </w:p>
          <w:p w14:paraId="18E67B57" w14:textId="61CA2A65" w:rsidR="008137EF" w:rsidRPr="008137EF" w:rsidRDefault="008137EF" w:rsidP="003151CD">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公司对</w:t>
            </w:r>
            <w:r w:rsidR="00E52835">
              <w:rPr>
                <w:rFonts w:ascii="宋体" w:eastAsia="宋体" w:hAnsi="宋体" w:hint="eastAsia"/>
                <w:sz w:val="24"/>
                <w:szCs w:val="24"/>
              </w:rPr>
              <w:t>靶向</w:t>
            </w:r>
            <w:r w:rsidRPr="008137EF">
              <w:rPr>
                <w:rFonts w:ascii="宋体" w:eastAsia="宋体" w:hAnsi="宋体" w:hint="eastAsia"/>
                <w:sz w:val="24"/>
                <w:szCs w:val="24"/>
              </w:rPr>
              <w:t>B7-H3 ADC（7MW3711）项目非常重视，2024年7月16日，</w:t>
            </w:r>
            <w:r w:rsidR="00E52835" w:rsidRPr="008137EF" w:rsidDel="00E52835">
              <w:rPr>
                <w:rFonts w:ascii="宋体" w:eastAsia="宋体" w:hAnsi="宋体" w:hint="eastAsia"/>
                <w:sz w:val="24"/>
                <w:szCs w:val="24"/>
              </w:rPr>
              <w:t xml:space="preserve"> </w:t>
            </w:r>
            <w:r w:rsidRPr="008137EF">
              <w:rPr>
                <w:rFonts w:ascii="宋体" w:eastAsia="宋体" w:hAnsi="宋体" w:hint="eastAsia"/>
                <w:sz w:val="24"/>
                <w:szCs w:val="24"/>
              </w:rPr>
              <w:t>7MW3711获美国食品药品监督管理局（FDA）授予孤儿</w:t>
            </w:r>
            <w:proofErr w:type="gramStart"/>
            <w:r w:rsidRPr="008137EF">
              <w:rPr>
                <w:rFonts w:ascii="宋体" w:eastAsia="宋体" w:hAnsi="宋体" w:hint="eastAsia"/>
                <w:sz w:val="24"/>
                <w:szCs w:val="24"/>
              </w:rPr>
              <w:t>药资格</w:t>
            </w:r>
            <w:proofErr w:type="gramEnd"/>
            <w:r w:rsidRPr="008137EF">
              <w:rPr>
                <w:rFonts w:ascii="宋体" w:eastAsia="宋体" w:hAnsi="宋体" w:hint="eastAsia"/>
                <w:sz w:val="24"/>
                <w:szCs w:val="24"/>
              </w:rPr>
              <w:t>认定，用于治疗小细胞肺癌。目前正在开展两项研究：一项名为“评估7MW3711单药或联合治疗在晚期实体瘤患者中的安全性、耐受性、药代动力学特征和初步疗效的I/Ⅱ期临床研究”，该研究以复旦大学肿瘤医院为牵头单位的国内多中心I/II期临床试验，进行剂量探索以及多个适应症的疗效探索，进度处于I/Ⅱ期临床研究入组阶段；另一项名为“评估7MW3711在晚期实体瘤患者中的安全性、耐受性、药代动力学特征和初步疗效的I/Ⅱ期临床研究”，该研究以上海胸科医院为牵头单位，目前处于I/Ⅱ期临床研究入组阶段。后续相关临床研究</w:t>
            </w:r>
            <w:proofErr w:type="gramStart"/>
            <w:r w:rsidRPr="008137EF">
              <w:rPr>
                <w:rFonts w:ascii="宋体" w:eastAsia="宋体" w:hAnsi="宋体" w:hint="eastAsia"/>
                <w:sz w:val="24"/>
                <w:szCs w:val="24"/>
              </w:rPr>
              <w:t>进展请</w:t>
            </w:r>
            <w:proofErr w:type="gramEnd"/>
            <w:r w:rsidRPr="008137EF">
              <w:rPr>
                <w:rFonts w:ascii="宋体" w:eastAsia="宋体" w:hAnsi="宋体" w:hint="eastAsia"/>
                <w:sz w:val="24"/>
                <w:szCs w:val="24"/>
              </w:rPr>
              <w:t>进一步关注公司合</w:t>
            </w:r>
            <w:proofErr w:type="gramStart"/>
            <w:r w:rsidRPr="008137EF">
              <w:rPr>
                <w:rFonts w:ascii="宋体" w:eastAsia="宋体" w:hAnsi="宋体" w:hint="eastAsia"/>
                <w:sz w:val="24"/>
                <w:szCs w:val="24"/>
              </w:rPr>
              <w:t>规</w:t>
            </w:r>
            <w:proofErr w:type="gramEnd"/>
            <w:r w:rsidRPr="008137EF">
              <w:rPr>
                <w:rFonts w:ascii="宋体" w:eastAsia="宋体" w:hAnsi="宋体" w:hint="eastAsia"/>
                <w:sz w:val="24"/>
                <w:szCs w:val="24"/>
              </w:rPr>
              <w:t>披露的公告。</w:t>
            </w:r>
          </w:p>
          <w:p w14:paraId="5D16760C" w14:textId="77777777" w:rsidR="008137EF" w:rsidRPr="008137EF" w:rsidRDefault="008137EF" w:rsidP="008137EF">
            <w:pPr>
              <w:widowControl/>
              <w:jc w:val="left"/>
              <w:rPr>
                <w:rFonts w:ascii="宋体" w:eastAsia="宋体" w:hAnsi="宋体" w:hint="eastAsia"/>
                <w:sz w:val="24"/>
                <w:szCs w:val="24"/>
              </w:rPr>
            </w:pPr>
          </w:p>
          <w:p w14:paraId="41BB821A"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问：Nectin-4 ADC海外临床进展，以及对外合作的展望?</w:t>
            </w:r>
          </w:p>
          <w:p w14:paraId="517AEDD2" w14:textId="7E6EAE31" w:rsidR="008137EF" w:rsidRPr="008137EF"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lastRenderedPageBreak/>
              <w:t>答</w:t>
            </w:r>
            <w:r w:rsidRPr="008137EF">
              <w:rPr>
                <w:rFonts w:ascii="宋体" w:eastAsia="宋体" w:hAnsi="宋体" w:hint="eastAsia"/>
                <w:sz w:val="24"/>
                <w:szCs w:val="24"/>
              </w:rPr>
              <w:t>：随着去年UC适应症及今年以来陆续拓展至其他适应症数据的披露，公司对282海外临床取得成功的信心越来越足。公司近几个月，在FDA顺利拿到诸多认定，一方面是FDA对282临床数据的认可</w:t>
            </w:r>
            <w:r w:rsidR="00923E91">
              <w:rPr>
                <w:rFonts w:ascii="宋体" w:eastAsia="宋体" w:hAnsi="宋体" w:hint="eastAsia"/>
                <w:sz w:val="24"/>
                <w:szCs w:val="24"/>
              </w:rPr>
              <w:t>，</w:t>
            </w:r>
            <w:r w:rsidRPr="008137EF">
              <w:rPr>
                <w:rFonts w:ascii="宋体" w:eastAsia="宋体" w:hAnsi="宋体" w:hint="eastAsia"/>
                <w:sz w:val="24"/>
                <w:szCs w:val="24"/>
              </w:rPr>
              <w:t>另一方面也提示美国在该些适应症的治疗新手段的稀缺（EC除了PD-1联合化疗的标准疗法、CC除了TF-ADC、TNBC除了Trop-2 ADC,均无其他更优选疗法）。另外肿瘤领域国内外人种差异相对较小，具体海外临床规划</w:t>
            </w:r>
            <w:r w:rsidR="0012600D">
              <w:rPr>
                <w:rFonts w:ascii="宋体" w:eastAsia="宋体" w:hAnsi="宋体" w:hint="eastAsia"/>
                <w:sz w:val="24"/>
                <w:szCs w:val="24"/>
              </w:rPr>
              <w:t>需</w:t>
            </w:r>
            <w:r w:rsidRPr="008137EF">
              <w:rPr>
                <w:rFonts w:ascii="宋体" w:eastAsia="宋体" w:hAnsi="宋体" w:hint="eastAsia"/>
                <w:sz w:val="24"/>
                <w:szCs w:val="24"/>
              </w:rPr>
              <w:t>根据实际临床和BD推进情况来定。</w:t>
            </w:r>
          </w:p>
          <w:p w14:paraId="1BCEE2EC" w14:textId="771D786C"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BD目前仍在持续推进中，特别是今年ASCO以来，随着四大适应症的陆续明确和数据披露，开启了282项目BD的黄金窗口期，进一步扩大了重点关注的领域：比如从去年或今年初的泌尿系统肿瘤领域，进一步拓展至消化系统肿瘤领域、妇科肿瘤领域、乳腺癌领域等重要方向。基于这些适应症方面的数据表现，加上未来IO+ADC的突出表现，使得282在该些肿瘤领域仍然是一款非常稀缺的品种，公司目前更有信心。</w:t>
            </w:r>
          </w:p>
          <w:p w14:paraId="6AE43300" w14:textId="226CD25C"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除了282项目的BD本身，也请关注</w:t>
            </w:r>
            <w:r w:rsidR="00CB5E03">
              <w:rPr>
                <w:rFonts w:ascii="宋体" w:eastAsia="宋体" w:hAnsi="宋体" w:hint="eastAsia"/>
                <w:sz w:val="24"/>
                <w:szCs w:val="24"/>
              </w:rPr>
              <w:t>公司</w:t>
            </w:r>
            <w:r w:rsidRPr="008137EF">
              <w:rPr>
                <w:rFonts w:ascii="宋体" w:eastAsia="宋体" w:hAnsi="宋体" w:hint="eastAsia"/>
                <w:sz w:val="24"/>
                <w:szCs w:val="24"/>
              </w:rPr>
              <w:t>研发平台及持续创新的能力，会有更多管线的BD机会。公司ADC平台有多款品种在临床阶段，未来1年内还有望新推出1-2款ADC品种进入临床。除此之外，</w:t>
            </w:r>
            <w:r w:rsidR="00CB5E03">
              <w:rPr>
                <w:rFonts w:ascii="宋体" w:eastAsia="宋体" w:hAnsi="宋体" w:hint="eastAsia"/>
                <w:sz w:val="24"/>
                <w:szCs w:val="24"/>
              </w:rPr>
              <w:t>公司拥有</w:t>
            </w:r>
            <w:proofErr w:type="gramStart"/>
            <w:r w:rsidRPr="008137EF">
              <w:rPr>
                <w:rFonts w:ascii="宋体" w:eastAsia="宋体" w:hAnsi="宋体" w:hint="eastAsia"/>
                <w:sz w:val="24"/>
                <w:szCs w:val="24"/>
              </w:rPr>
              <w:t>有</w:t>
            </w:r>
            <w:proofErr w:type="gramEnd"/>
            <w:r w:rsidRPr="008137EF">
              <w:rPr>
                <w:rFonts w:ascii="宋体" w:eastAsia="宋体" w:hAnsi="宋体" w:hint="eastAsia"/>
                <w:sz w:val="24"/>
                <w:szCs w:val="24"/>
              </w:rPr>
              <w:t>多</w:t>
            </w:r>
            <w:proofErr w:type="gramStart"/>
            <w:r w:rsidRPr="008137EF">
              <w:rPr>
                <w:rFonts w:ascii="宋体" w:eastAsia="宋体" w:hAnsi="宋体" w:hint="eastAsia"/>
                <w:sz w:val="24"/>
                <w:szCs w:val="24"/>
              </w:rPr>
              <w:t>款潜力</w:t>
            </w:r>
            <w:proofErr w:type="gramEnd"/>
            <w:r w:rsidRPr="008137EF">
              <w:rPr>
                <w:rFonts w:ascii="宋体" w:eastAsia="宋体" w:hAnsi="宋体" w:hint="eastAsia"/>
                <w:sz w:val="24"/>
                <w:szCs w:val="24"/>
              </w:rPr>
              <w:t>创新药品种如ST2</w:t>
            </w:r>
            <w:r w:rsidR="00F06D6A">
              <w:rPr>
                <w:rFonts w:ascii="宋体" w:eastAsia="宋体" w:hAnsi="宋体" w:hint="eastAsia"/>
                <w:sz w:val="24"/>
                <w:szCs w:val="24"/>
              </w:rPr>
              <w:t>、</w:t>
            </w:r>
            <w:r w:rsidRPr="008137EF">
              <w:rPr>
                <w:rFonts w:ascii="宋体" w:eastAsia="宋体" w:hAnsi="宋体" w:hint="eastAsia"/>
                <w:sz w:val="24"/>
                <w:szCs w:val="24"/>
              </w:rPr>
              <w:t>IL-11</w:t>
            </w:r>
            <w:r w:rsidR="00F06D6A">
              <w:rPr>
                <w:rFonts w:ascii="宋体" w:eastAsia="宋体" w:hAnsi="宋体" w:hint="eastAsia"/>
                <w:sz w:val="24"/>
                <w:szCs w:val="24"/>
              </w:rPr>
              <w:t>、</w:t>
            </w:r>
            <w:r w:rsidRPr="008137EF">
              <w:rPr>
                <w:rFonts w:ascii="宋体" w:eastAsia="宋体" w:hAnsi="宋体" w:hint="eastAsia"/>
                <w:sz w:val="24"/>
                <w:szCs w:val="24"/>
              </w:rPr>
              <w:t>TMPRSS6。相信公司未来在肿瘤领域包括IO+ADC联用，以及自免和其他领域的数据加持下，将</w:t>
            </w:r>
            <w:r w:rsidR="00923E91">
              <w:rPr>
                <w:rFonts w:ascii="宋体" w:eastAsia="宋体" w:hAnsi="宋体" w:hint="eastAsia"/>
                <w:sz w:val="24"/>
                <w:szCs w:val="24"/>
              </w:rPr>
              <w:t>具备更强的成长潜力</w:t>
            </w:r>
            <w:r w:rsidRPr="008137EF">
              <w:rPr>
                <w:rFonts w:ascii="宋体" w:eastAsia="宋体" w:hAnsi="宋体" w:hint="eastAsia"/>
                <w:sz w:val="24"/>
                <w:szCs w:val="24"/>
              </w:rPr>
              <w:t>，BD机会也将更多。</w:t>
            </w:r>
          </w:p>
          <w:p w14:paraId="4F857AD7" w14:textId="77777777" w:rsidR="008137EF" w:rsidRPr="008137EF" w:rsidRDefault="008137EF" w:rsidP="008137EF">
            <w:pPr>
              <w:widowControl/>
              <w:jc w:val="left"/>
              <w:rPr>
                <w:rFonts w:ascii="宋体" w:eastAsia="宋体" w:hAnsi="宋体" w:hint="eastAsia"/>
                <w:sz w:val="24"/>
                <w:szCs w:val="24"/>
              </w:rPr>
            </w:pPr>
          </w:p>
          <w:p w14:paraId="4EC65D0D"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w:t>
            </w:r>
            <w:proofErr w:type="spellStart"/>
            <w:r w:rsidRPr="008137EF">
              <w:rPr>
                <w:rFonts w:ascii="宋体" w:eastAsia="宋体" w:hAnsi="宋体" w:hint="eastAsia"/>
                <w:b/>
                <w:bCs/>
                <w:sz w:val="24"/>
                <w:szCs w:val="24"/>
              </w:rPr>
              <w:t>Padcev</w:t>
            </w:r>
            <w:proofErr w:type="spellEnd"/>
            <w:r w:rsidRPr="008137EF">
              <w:rPr>
                <w:rFonts w:ascii="宋体" w:eastAsia="宋体" w:hAnsi="宋体" w:hint="eastAsia"/>
                <w:b/>
                <w:bCs/>
                <w:sz w:val="24"/>
                <w:szCs w:val="24"/>
              </w:rPr>
              <w:t>已在国内获批，请问公司如何看待未来的市场竞争？</w:t>
            </w:r>
          </w:p>
          <w:p w14:paraId="2AEC987C" w14:textId="77522EAA" w:rsidR="008137EF" w:rsidRPr="008137EF"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在国内的获批对尿路上皮</w:t>
            </w:r>
            <w:proofErr w:type="gramStart"/>
            <w:r w:rsidRPr="008137EF">
              <w:rPr>
                <w:rFonts w:ascii="宋体" w:eastAsia="宋体" w:hAnsi="宋体" w:hint="eastAsia"/>
                <w:sz w:val="24"/>
                <w:szCs w:val="24"/>
              </w:rPr>
              <w:t>癌领域</w:t>
            </w:r>
            <w:proofErr w:type="gramEnd"/>
            <w:r w:rsidRPr="008137EF">
              <w:rPr>
                <w:rFonts w:ascii="宋体" w:eastAsia="宋体" w:hAnsi="宋体" w:hint="eastAsia"/>
                <w:sz w:val="24"/>
                <w:szCs w:val="24"/>
              </w:rPr>
              <w:t>所有药物都会产生影响，公司将积极应对Nectin-4 ADC的市场竞争。临床方面，公司正加速9MW2821单药治疗UC的III期临床试验入组，并加速UC一线适应症临床试验的推进。疗效方面，今年ASCO会议上更新了9MW2821多项适应症数据，展现</w:t>
            </w:r>
            <w:proofErr w:type="gramStart"/>
            <w:r w:rsidRPr="008137EF">
              <w:rPr>
                <w:rFonts w:ascii="宋体" w:eastAsia="宋体" w:hAnsi="宋体" w:hint="eastAsia"/>
                <w:sz w:val="24"/>
                <w:szCs w:val="24"/>
              </w:rPr>
              <w:t>出多瘤种的</w:t>
            </w:r>
            <w:proofErr w:type="gramEnd"/>
            <w:r w:rsidRPr="008137EF">
              <w:rPr>
                <w:rFonts w:ascii="宋体" w:eastAsia="宋体" w:hAnsi="宋体" w:hint="eastAsia"/>
                <w:sz w:val="24"/>
                <w:szCs w:val="24"/>
              </w:rPr>
              <w:t>治疗潜力：后线尿路上皮癌中的ORR为62.2%，</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为8.8m，</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为14.2m；后线食管癌中的ORR为23</w:t>
            </w:r>
            <w:r w:rsidR="00E52835">
              <w:rPr>
                <w:rFonts w:ascii="宋体" w:eastAsia="宋体" w:hAnsi="宋体" w:hint="eastAsia"/>
                <w:sz w:val="24"/>
                <w:szCs w:val="24"/>
              </w:rPr>
              <w:t>.1</w:t>
            </w:r>
            <w:r w:rsidRPr="008137EF">
              <w:rPr>
                <w:rFonts w:ascii="宋体" w:eastAsia="宋体" w:hAnsi="宋体" w:hint="eastAsia"/>
                <w:sz w:val="24"/>
                <w:szCs w:val="24"/>
              </w:rPr>
              <w:t>%，</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为3.9m，</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为8.2m；后线三阴性乳腺癌中的ORR为50</w:t>
            </w:r>
            <w:r w:rsidR="00E52835">
              <w:rPr>
                <w:rFonts w:ascii="宋体" w:eastAsia="宋体" w:hAnsi="宋体" w:hint="eastAsia"/>
                <w:sz w:val="24"/>
                <w:szCs w:val="24"/>
              </w:rPr>
              <w:t>.0</w:t>
            </w:r>
            <w:r w:rsidRPr="008137EF">
              <w:rPr>
                <w:rFonts w:ascii="宋体" w:eastAsia="宋体" w:hAnsi="宋体" w:hint="eastAsia"/>
                <w:sz w:val="24"/>
                <w:szCs w:val="24"/>
              </w:rPr>
              <w:t>%，</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为5.9m。本次ASCO大会上同时也披露了</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在后线食管癌和后线三阴性乳腺癌中的数据：</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在后线食管癌中的ORR为18.2%，</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为2.1m，</w:t>
            </w:r>
            <w:proofErr w:type="spellStart"/>
            <w:r w:rsidRPr="008137EF">
              <w:rPr>
                <w:rFonts w:ascii="宋体" w:eastAsia="宋体" w:hAnsi="宋体" w:hint="eastAsia"/>
                <w:sz w:val="24"/>
                <w:szCs w:val="24"/>
              </w:rPr>
              <w:t>mOS</w:t>
            </w:r>
            <w:proofErr w:type="spellEnd"/>
            <w:r w:rsidRPr="008137EF">
              <w:rPr>
                <w:rFonts w:ascii="宋体" w:eastAsia="宋体" w:hAnsi="宋体" w:hint="eastAsia"/>
                <w:sz w:val="24"/>
                <w:szCs w:val="24"/>
              </w:rPr>
              <w:t>为7.4m；后线三阴性乳腺癌中的ORR为19%，</w:t>
            </w:r>
            <w:proofErr w:type="spellStart"/>
            <w:r w:rsidRPr="008137EF">
              <w:rPr>
                <w:rFonts w:ascii="宋体" w:eastAsia="宋体" w:hAnsi="宋体" w:hint="eastAsia"/>
                <w:sz w:val="24"/>
                <w:szCs w:val="24"/>
              </w:rPr>
              <w:t>mPFS</w:t>
            </w:r>
            <w:proofErr w:type="spellEnd"/>
            <w:r w:rsidRPr="008137EF">
              <w:rPr>
                <w:rFonts w:ascii="宋体" w:eastAsia="宋体" w:hAnsi="宋体" w:hint="eastAsia"/>
                <w:sz w:val="24"/>
                <w:szCs w:val="24"/>
              </w:rPr>
              <w:t>为3.5m。9MW2821与</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在后线尿路上皮癌、食管癌和后线三阴性乳腺癌的非头对头比较中，各项关键指标均有显著提升。安全性方面，</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的皮肤毒性（SJS/TEN已被FDA列为黑框警告）及外周神经病变等不良反应目前缺乏有效的可控手段，是可能导致患者死亡的严重不良反应，而9MW2821在这些不良反应方面均显著优于</w:t>
            </w:r>
            <w:proofErr w:type="spellStart"/>
            <w:r w:rsidRPr="008137EF">
              <w:rPr>
                <w:rFonts w:ascii="宋体" w:eastAsia="宋体" w:hAnsi="宋体" w:hint="eastAsia"/>
                <w:sz w:val="24"/>
                <w:szCs w:val="24"/>
              </w:rPr>
              <w:t>Padcev</w:t>
            </w:r>
            <w:proofErr w:type="spellEnd"/>
            <w:r w:rsidRPr="008137EF">
              <w:rPr>
                <w:rFonts w:ascii="宋体" w:eastAsia="宋体" w:hAnsi="宋体" w:hint="eastAsia"/>
                <w:sz w:val="24"/>
                <w:szCs w:val="24"/>
              </w:rPr>
              <w:t>。</w:t>
            </w:r>
          </w:p>
          <w:p w14:paraId="51A2A1F1" w14:textId="77777777" w:rsidR="008137EF" w:rsidRPr="008137EF" w:rsidRDefault="008137EF" w:rsidP="008137EF">
            <w:pPr>
              <w:widowControl/>
              <w:jc w:val="left"/>
              <w:rPr>
                <w:rFonts w:ascii="宋体" w:eastAsia="宋体" w:hAnsi="宋体" w:hint="eastAsia"/>
                <w:sz w:val="24"/>
                <w:szCs w:val="24"/>
              </w:rPr>
            </w:pPr>
          </w:p>
          <w:p w14:paraId="672B6CAC"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问：长效升白药预计获批上市节奏，想了解一下目前的商业化规划情况？</w:t>
            </w:r>
          </w:p>
          <w:p w14:paraId="582828A6" w14:textId="77777777" w:rsidR="008137EF" w:rsidRPr="008137EF"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：8MW0511新药上市申请已于2023年12月获得国家药品监督管理局受理，目前正在</w:t>
            </w:r>
            <w:proofErr w:type="gramStart"/>
            <w:r w:rsidRPr="008137EF">
              <w:rPr>
                <w:rFonts w:ascii="宋体" w:eastAsia="宋体" w:hAnsi="宋体" w:hint="eastAsia"/>
                <w:sz w:val="24"/>
                <w:szCs w:val="24"/>
              </w:rPr>
              <w:t>审评审批</w:t>
            </w:r>
            <w:proofErr w:type="gramEnd"/>
            <w:r w:rsidRPr="008137EF">
              <w:rPr>
                <w:rFonts w:ascii="宋体" w:eastAsia="宋体" w:hAnsi="宋体" w:hint="eastAsia"/>
                <w:sz w:val="24"/>
                <w:szCs w:val="24"/>
              </w:rPr>
              <w:t>中，已完成药品注册现场核查及GMP符合性检查。有望在2025年获批上市。</w:t>
            </w:r>
          </w:p>
          <w:p w14:paraId="17AC5CAC"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lastRenderedPageBreak/>
              <w:t>该管线属于公司的创新管线，8MW0511项目本身具备多项优势：首先，白蛋白融合的G-CSF相比传统的PEG化长效G-CSF，其工艺和质量控制更加简单高效，并具备一定成本优势；其次，作为创新药，在核心医院的准入和定价方面具备一定优势。这些都将进一步提升其可商业化空间和价值。</w:t>
            </w:r>
          </w:p>
          <w:p w14:paraId="4A6BE955" w14:textId="379A0711"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8MW0511可以广泛应用于包括肺癌、乳腺癌、尿路上皮癌、宫颈癌、食管癌等各大肿瘤领域的患者，具备大品种潜质，与公司今年上市的适用于骨巨细胞瘤适应症的</w:t>
            </w:r>
            <w:proofErr w:type="gramStart"/>
            <w:r w:rsidRPr="008137EF">
              <w:rPr>
                <w:rFonts w:ascii="宋体" w:eastAsia="宋体" w:hAnsi="宋体" w:hint="eastAsia"/>
                <w:sz w:val="24"/>
                <w:szCs w:val="24"/>
              </w:rPr>
              <w:t>地舒单抗</w:t>
            </w:r>
            <w:proofErr w:type="gramEnd"/>
            <w:r w:rsidRPr="008137EF">
              <w:rPr>
                <w:rFonts w:ascii="宋体" w:eastAsia="宋体" w:hAnsi="宋体" w:hint="eastAsia"/>
                <w:sz w:val="24"/>
                <w:szCs w:val="24"/>
              </w:rPr>
              <w:t>（</w:t>
            </w:r>
            <w:proofErr w:type="gramStart"/>
            <w:r w:rsidRPr="008137EF">
              <w:rPr>
                <w:rFonts w:ascii="宋体" w:eastAsia="宋体" w:hAnsi="宋体" w:hint="eastAsia"/>
                <w:sz w:val="24"/>
                <w:szCs w:val="24"/>
              </w:rPr>
              <w:t>迈卫健</w:t>
            </w:r>
            <w:proofErr w:type="gramEnd"/>
            <w:r w:rsidRPr="008137EF">
              <w:rPr>
                <w:rFonts w:ascii="宋体" w:eastAsia="宋体" w:hAnsi="宋体" w:hint="eastAsia"/>
                <w:sz w:val="24"/>
                <w:szCs w:val="24"/>
              </w:rPr>
              <w:t>®）有很好的商业化协同效应，会为公司后续的肿瘤产品搭建一个非常全面的肿瘤客户库，</w:t>
            </w:r>
            <w:proofErr w:type="gramStart"/>
            <w:r w:rsidRPr="008137EF">
              <w:rPr>
                <w:rFonts w:ascii="宋体" w:eastAsia="宋体" w:hAnsi="宋体" w:hint="eastAsia"/>
                <w:sz w:val="24"/>
                <w:szCs w:val="24"/>
              </w:rPr>
              <w:t>且针对</w:t>
            </w:r>
            <w:proofErr w:type="gramEnd"/>
            <w:r w:rsidRPr="008137EF">
              <w:rPr>
                <w:rFonts w:ascii="宋体" w:eastAsia="宋体" w:hAnsi="宋体" w:hint="eastAsia"/>
                <w:sz w:val="24"/>
                <w:szCs w:val="24"/>
              </w:rPr>
              <w:t>未来将上市的ADC产品如Nectin-4 ADC等，可同步做好商业化体系布局，使得产品在上市后快速实现医院准入和销售增长。</w:t>
            </w:r>
          </w:p>
          <w:p w14:paraId="28E33A39" w14:textId="764F0025"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国内升白药市场需求巨大，其作为抗化疗副作用的必需品，升白药物的国内市场远未饱和。根据《中国G-CSF行业现状深度分析与未来投资调研报告（2022-2029年）》显示，长效升白药物预计在2025年达到102.70亿元的销售规模，在2030年将达到135.37亿元，市场前景乐观。8MW0511未来上市将进一步满足肿瘤患者的需求，为临床专家提供更多新的升</w:t>
            </w:r>
            <w:proofErr w:type="gramStart"/>
            <w:r w:rsidRPr="008137EF">
              <w:rPr>
                <w:rFonts w:ascii="宋体" w:eastAsia="宋体" w:hAnsi="宋体" w:hint="eastAsia"/>
                <w:sz w:val="24"/>
                <w:szCs w:val="24"/>
              </w:rPr>
              <w:t>白</w:t>
            </w:r>
            <w:r w:rsidR="00923E91">
              <w:rPr>
                <w:rFonts w:ascii="宋体" w:eastAsia="宋体" w:hAnsi="宋体" w:hint="eastAsia"/>
                <w:sz w:val="24"/>
                <w:szCs w:val="24"/>
              </w:rPr>
              <w:t>方案</w:t>
            </w:r>
            <w:proofErr w:type="gramEnd"/>
            <w:r w:rsidRPr="008137EF">
              <w:rPr>
                <w:rFonts w:ascii="宋体" w:eastAsia="宋体" w:hAnsi="宋体" w:hint="eastAsia"/>
                <w:sz w:val="24"/>
                <w:szCs w:val="24"/>
              </w:rPr>
              <w:t>选择，改善我国肿瘤化疗的治疗现状，为患者带来更好的临床获益。</w:t>
            </w:r>
          </w:p>
          <w:p w14:paraId="3C1D0288" w14:textId="77777777" w:rsidR="008137EF" w:rsidRPr="008137EF" w:rsidRDefault="008137EF" w:rsidP="008137EF">
            <w:pPr>
              <w:widowControl/>
              <w:jc w:val="left"/>
              <w:rPr>
                <w:rFonts w:ascii="宋体" w:eastAsia="宋体" w:hAnsi="宋体" w:hint="eastAsia"/>
                <w:sz w:val="24"/>
                <w:szCs w:val="24"/>
              </w:rPr>
            </w:pPr>
          </w:p>
          <w:p w14:paraId="3FF6E224" w14:textId="26D51F1A"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问：地舒单抗的</w:t>
            </w:r>
            <w:r w:rsidR="00EC4E66">
              <w:rPr>
                <w:rFonts w:ascii="宋体" w:eastAsia="宋体" w:hAnsi="宋体" w:hint="eastAsia"/>
                <w:b/>
                <w:bCs/>
                <w:sz w:val="24"/>
                <w:szCs w:val="24"/>
              </w:rPr>
              <w:t>入</w:t>
            </w:r>
            <w:r w:rsidRPr="008137EF">
              <w:rPr>
                <w:rFonts w:ascii="宋体" w:eastAsia="宋体" w:hAnsi="宋体" w:hint="eastAsia"/>
                <w:b/>
                <w:bCs/>
                <w:sz w:val="24"/>
                <w:szCs w:val="24"/>
              </w:rPr>
              <w:t>院情况？</w:t>
            </w:r>
          </w:p>
          <w:p w14:paraId="47B4A802" w14:textId="624C815D" w:rsidR="00C85A1B"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w:t>
            </w:r>
            <w:proofErr w:type="gramStart"/>
            <w:r w:rsidRPr="008137EF">
              <w:rPr>
                <w:rFonts w:ascii="宋体" w:eastAsia="宋体" w:hAnsi="宋体" w:hint="eastAsia"/>
                <w:sz w:val="24"/>
                <w:szCs w:val="24"/>
              </w:rPr>
              <w:t>迈利舒</w:t>
            </w:r>
            <w:proofErr w:type="gramEnd"/>
            <w:r w:rsidRPr="008137EF">
              <w:rPr>
                <w:rFonts w:ascii="宋体" w:eastAsia="宋体" w:hAnsi="宋体" w:hint="eastAsia"/>
                <w:sz w:val="24"/>
                <w:szCs w:val="24"/>
              </w:rPr>
              <w:t>®于2023年3月底获批上市，4月25日完成首批商业发货；</w:t>
            </w:r>
            <w:r w:rsidR="00C85A1B">
              <w:rPr>
                <w:rFonts w:ascii="宋体" w:eastAsia="宋体" w:hAnsi="宋体" w:hint="eastAsia"/>
                <w:sz w:val="24"/>
                <w:szCs w:val="24"/>
              </w:rPr>
              <w:t>2024上半年度</w:t>
            </w:r>
            <w:r w:rsidRPr="008137EF">
              <w:rPr>
                <w:rFonts w:ascii="宋体" w:eastAsia="宋体" w:hAnsi="宋体" w:hint="eastAsia"/>
                <w:sz w:val="24"/>
                <w:szCs w:val="24"/>
              </w:rPr>
              <w:t>，</w:t>
            </w:r>
            <w:proofErr w:type="gramStart"/>
            <w:r w:rsidRPr="008137EF">
              <w:rPr>
                <w:rFonts w:ascii="宋体" w:eastAsia="宋体" w:hAnsi="宋体" w:hint="eastAsia"/>
                <w:sz w:val="24"/>
                <w:szCs w:val="24"/>
              </w:rPr>
              <w:t>迈利舒</w:t>
            </w:r>
            <w:proofErr w:type="gramEnd"/>
            <w:r w:rsidRPr="008137EF">
              <w:rPr>
                <w:rFonts w:ascii="宋体" w:eastAsia="宋体" w:hAnsi="宋体" w:hint="eastAsia"/>
                <w:sz w:val="24"/>
                <w:szCs w:val="24"/>
              </w:rPr>
              <w:t>®新增发货116,994支，新增准入医院487家。截至</w:t>
            </w:r>
            <w:r w:rsidR="00C85A1B">
              <w:rPr>
                <w:rFonts w:ascii="宋体" w:eastAsia="宋体" w:hAnsi="宋体" w:hint="eastAsia"/>
                <w:sz w:val="24"/>
                <w:szCs w:val="24"/>
              </w:rPr>
              <w:t>2024年6月30日</w:t>
            </w:r>
            <w:r w:rsidRPr="008137EF">
              <w:rPr>
                <w:rFonts w:ascii="宋体" w:eastAsia="宋体" w:hAnsi="宋体" w:hint="eastAsia"/>
                <w:sz w:val="24"/>
                <w:szCs w:val="24"/>
              </w:rPr>
              <w:t>，</w:t>
            </w:r>
            <w:proofErr w:type="gramStart"/>
            <w:r w:rsidRPr="008137EF">
              <w:rPr>
                <w:rFonts w:ascii="宋体" w:eastAsia="宋体" w:hAnsi="宋体" w:hint="eastAsia"/>
                <w:sz w:val="24"/>
                <w:szCs w:val="24"/>
              </w:rPr>
              <w:t>迈利舒</w:t>
            </w:r>
            <w:proofErr w:type="gramEnd"/>
            <w:r w:rsidRPr="008137EF">
              <w:rPr>
                <w:rFonts w:ascii="宋体" w:eastAsia="宋体" w:hAnsi="宋体" w:hint="eastAsia"/>
                <w:sz w:val="24"/>
                <w:szCs w:val="24"/>
              </w:rPr>
              <w:t>®已累计完成发货201,468支；共计完成30省招标挂网，各省已完成</w:t>
            </w:r>
            <w:proofErr w:type="gramStart"/>
            <w:r w:rsidRPr="008137EF">
              <w:rPr>
                <w:rFonts w:ascii="宋体" w:eastAsia="宋体" w:hAnsi="宋体" w:hint="eastAsia"/>
                <w:sz w:val="24"/>
                <w:szCs w:val="24"/>
              </w:rPr>
              <w:t>医</w:t>
            </w:r>
            <w:proofErr w:type="gramEnd"/>
            <w:r w:rsidRPr="008137EF">
              <w:rPr>
                <w:rFonts w:ascii="宋体" w:eastAsia="宋体" w:hAnsi="宋体" w:hint="eastAsia"/>
                <w:sz w:val="24"/>
                <w:szCs w:val="24"/>
              </w:rPr>
              <w:t>保对接；累计准入医院1,092家，覆盖药店2,382家。</w:t>
            </w:r>
          </w:p>
          <w:p w14:paraId="7D4E4489" w14:textId="393452F6" w:rsidR="008137EF" w:rsidRPr="008137EF" w:rsidRDefault="00C85A1B" w:rsidP="00C73D0C">
            <w:pPr>
              <w:widowControl/>
              <w:ind w:firstLineChars="200" w:firstLine="480"/>
              <w:jc w:val="left"/>
              <w:rPr>
                <w:rFonts w:ascii="宋体" w:eastAsia="宋体" w:hAnsi="宋体" w:hint="eastAsia"/>
                <w:sz w:val="24"/>
                <w:szCs w:val="24"/>
              </w:rPr>
            </w:pPr>
            <w:r w:rsidRPr="00C85A1B">
              <w:rPr>
                <w:rFonts w:ascii="宋体" w:eastAsia="宋体" w:hAnsi="宋体" w:hint="eastAsia"/>
                <w:sz w:val="24"/>
                <w:szCs w:val="24"/>
              </w:rPr>
              <w:t>迈卫健®于2024年3月29日获批上市，5月14日完成首批商业发货。截至</w:t>
            </w:r>
            <w:r>
              <w:rPr>
                <w:rFonts w:ascii="宋体" w:eastAsia="宋体" w:hAnsi="宋体" w:hint="eastAsia"/>
                <w:sz w:val="24"/>
                <w:szCs w:val="24"/>
              </w:rPr>
              <w:t>2024年6月30日</w:t>
            </w:r>
            <w:r w:rsidRPr="00C85A1B">
              <w:rPr>
                <w:rFonts w:ascii="宋体" w:eastAsia="宋体" w:hAnsi="宋体" w:hint="eastAsia"/>
                <w:sz w:val="24"/>
                <w:szCs w:val="24"/>
              </w:rPr>
              <w:t>，</w:t>
            </w:r>
            <w:proofErr w:type="gramStart"/>
            <w:r w:rsidRPr="00C85A1B">
              <w:rPr>
                <w:rFonts w:ascii="宋体" w:eastAsia="宋体" w:hAnsi="宋体" w:hint="eastAsia"/>
                <w:sz w:val="24"/>
                <w:szCs w:val="24"/>
              </w:rPr>
              <w:t>迈卫健</w:t>
            </w:r>
            <w:proofErr w:type="gramEnd"/>
            <w:r w:rsidRPr="00C85A1B">
              <w:rPr>
                <w:rFonts w:ascii="宋体" w:eastAsia="宋体" w:hAnsi="宋体" w:hint="eastAsia"/>
                <w:sz w:val="24"/>
                <w:szCs w:val="24"/>
              </w:rPr>
              <w:t>®已累计完成发货9,940支；共计完成20省招标挂网，19省完成省级</w:t>
            </w:r>
            <w:proofErr w:type="gramStart"/>
            <w:r w:rsidRPr="00C85A1B">
              <w:rPr>
                <w:rFonts w:ascii="宋体" w:eastAsia="宋体" w:hAnsi="宋体" w:hint="eastAsia"/>
                <w:sz w:val="24"/>
                <w:szCs w:val="24"/>
              </w:rPr>
              <w:t>医</w:t>
            </w:r>
            <w:proofErr w:type="gramEnd"/>
            <w:r w:rsidRPr="00C85A1B">
              <w:rPr>
                <w:rFonts w:ascii="宋体" w:eastAsia="宋体" w:hAnsi="宋体" w:hint="eastAsia"/>
                <w:sz w:val="24"/>
                <w:szCs w:val="24"/>
              </w:rPr>
              <w:t>保对接；累计准入医院14家，覆盖药店522家。</w:t>
            </w:r>
          </w:p>
          <w:p w14:paraId="3EA82438" w14:textId="77777777" w:rsidR="008137EF" w:rsidRPr="008137EF" w:rsidRDefault="008137EF" w:rsidP="008137EF">
            <w:pPr>
              <w:widowControl/>
              <w:jc w:val="left"/>
              <w:rPr>
                <w:rFonts w:ascii="宋体" w:eastAsia="宋体" w:hAnsi="宋体" w:hint="eastAsia"/>
                <w:sz w:val="24"/>
                <w:szCs w:val="24"/>
              </w:rPr>
            </w:pPr>
          </w:p>
          <w:p w14:paraId="53825A46"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问：ST2单抗产品目前的临床进展如何？何时能看到初步的临床数据?</w:t>
            </w:r>
          </w:p>
          <w:p w14:paraId="4ACE18C7" w14:textId="77777777" w:rsidR="008137EF" w:rsidRPr="008137EF" w:rsidRDefault="008137EF" w:rsidP="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公司的ST2单抗（9MW1911）为国内同靶点进展最快的管线之一，正快速跟进慢性阻塞性肺疾病（COPD）临床开发，在COPD患者中初步体现了疗效，并在积极探索除COPD外的其他呼吸领域的开发可能。此外，另有多个疾病如心衰、肾病等，可溶性ST2累积可作为疾病标志物，为9MW1911未来开发此类适应症提供了科学依据及可能，同时亦体现靶向ST2的抗体相较于靶向IL33抗体独特优异之处。</w:t>
            </w:r>
          </w:p>
          <w:p w14:paraId="5F9972F7" w14:textId="2C0BB191" w:rsid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截至半年</w:t>
            </w:r>
            <w:r w:rsidR="00C85A1B">
              <w:rPr>
                <w:rFonts w:ascii="宋体" w:eastAsia="宋体" w:hAnsi="宋体" w:hint="eastAsia"/>
                <w:sz w:val="24"/>
                <w:szCs w:val="24"/>
              </w:rPr>
              <w:t>度</w:t>
            </w:r>
            <w:r w:rsidRPr="008137EF">
              <w:rPr>
                <w:rFonts w:ascii="宋体" w:eastAsia="宋体" w:hAnsi="宋体" w:hint="eastAsia"/>
                <w:sz w:val="24"/>
                <w:szCs w:val="24"/>
              </w:rPr>
              <w:t>报告披露日，9MW1911已完成首次人体试验，试验结果显示健康受试者注射方案规定剂量的9MW1911后，安全且耐受性良好。目前正在开展COPD适应症</w:t>
            </w:r>
            <w:proofErr w:type="spellStart"/>
            <w:r w:rsidRPr="008137EF">
              <w:rPr>
                <w:rFonts w:ascii="宋体" w:eastAsia="宋体" w:hAnsi="宋体" w:hint="eastAsia"/>
                <w:sz w:val="24"/>
                <w:szCs w:val="24"/>
              </w:rPr>
              <w:t>Ib</w:t>
            </w:r>
            <w:proofErr w:type="spellEnd"/>
            <w:r w:rsidRPr="008137EF">
              <w:rPr>
                <w:rFonts w:ascii="宋体" w:eastAsia="宋体" w:hAnsi="宋体" w:hint="eastAsia"/>
                <w:sz w:val="24"/>
                <w:szCs w:val="24"/>
              </w:rPr>
              <w:t>/</w:t>
            </w:r>
            <w:proofErr w:type="spellStart"/>
            <w:r w:rsidRPr="008137EF">
              <w:rPr>
                <w:rFonts w:ascii="宋体" w:eastAsia="宋体" w:hAnsi="宋体" w:hint="eastAsia"/>
                <w:sz w:val="24"/>
                <w:szCs w:val="24"/>
              </w:rPr>
              <w:t>IIa</w:t>
            </w:r>
            <w:proofErr w:type="spellEnd"/>
            <w:r w:rsidRPr="008137EF">
              <w:rPr>
                <w:rFonts w:ascii="宋体" w:eastAsia="宋体" w:hAnsi="宋体" w:hint="eastAsia"/>
                <w:sz w:val="24"/>
                <w:szCs w:val="24"/>
              </w:rPr>
              <w:t>期临床试验，现处于受试者入组阶段，阶段性研究结果提示，患者的AECOPD发生率有下</w:t>
            </w:r>
            <w:r w:rsidRPr="008137EF">
              <w:rPr>
                <w:rFonts w:ascii="宋体" w:eastAsia="宋体" w:hAnsi="宋体" w:hint="eastAsia"/>
                <w:sz w:val="24"/>
                <w:szCs w:val="24"/>
              </w:rPr>
              <w:lastRenderedPageBreak/>
              <w:t>降的趋势，初步提示了9MW1911品种的有效性，目前正在探索更大样本量患者更长观察周期的有效性和安全性。关于9MW1911的初步数据</w:t>
            </w:r>
            <w:proofErr w:type="gramStart"/>
            <w:r w:rsidRPr="008137EF">
              <w:rPr>
                <w:rFonts w:ascii="宋体" w:eastAsia="宋体" w:hAnsi="宋体" w:hint="eastAsia"/>
                <w:sz w:val="24"/>
                <w:szCs w:val="24"/>
              </w:rPr>
              <w:t>读出请</w:t>
            </w:r>
            <w:proofErr w:type="gramEnd"/>
            <w:r w:rsidRPr="008137EF">
              <w:rPr>
                <w:rFonts w:ascii="宋体" w:eastAsia="宋体" w:hAnsi="宋体" w:hint="eastAsia"/>
                <w:sz w:val="24"/>
                <w:szCs w:val="24"/>
              </w:rPr>
              <w:t>进一步关注公司后续合</w:t>
            </w:r>
            <w:proofErr w:type="gramStart"/>
            <w:r w:rsidRPr="008137EF">
              <w:rPr>
                <w:rFonts w:ascii="宋体" w:eastAsia="宋体" w:hAnsi="宋体" w:hint="eastAsia"/>
                <w:sz w:val="24"/>
                <w:szCs w:val="24"/>
              </w:rPr>
              <w:t>规</w:t>
            </w:r>
            <w:proofErr w:type="gramEnd"/>
            <w:r w:rsidRPr="008137EF">
              <w:rPr>
                <w:rFonts w:ascii="宋体" w:eastAsia="宋体" w:hAnsi="宋体" w:hint="eastAsia"/>
                <w:sz w:val="24"/>
                <w:szCs w:val="24"/>
              </w:rPr>
              <w:t>披露的公告。</w:t>
            </w:r>
          </w:p>
          <w:p w14:paraId="579E885A" w14:textId="77777777" w:rsidR="008137EF" w:rsidRPr="008137EF" w:rsidRDefault="008137EF" w:rsidP="008137EF">
            <w:pPr>
              <w:widowControl/>
              <w:jc w:val="left"/>
              <w:rPr>
                <w:rFonts w:ascii="宋体" w:eastAsia="宋体" w:hAnsi="宋体" w:hint="eastAsia"/>
                <w:sz w:val="24"/>
                <w:szCs w:val="24"/>
              </w:rPr>
            </w:pPr>
          </w:p>
          <w:p w14:paraId="1CDC646B" w14:textId="1BCED5B9"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问：未来两年的销售和研发费用预期。目前现金储备情况？</w:t>
            </w:r>
          </w:p>
          <w:p w14:paraId="4E052BEB" w14:textId="57A7C6EA" w:rsidR="008137EF" w:rsidRPr="008137EF" w:rsidRDefault="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sidRPr="008137EF">
              <w:rPr>
                <w:rFonts w:ascii="宋体" w:eastAsia="宋体" w:hAnsi="宋体" w:hint="eastAsia"/>
                <w:sz w:val="24"/>
                <w:szCs w:val="24"/>
              </w:rPr>
              <w:t>：目前整体现金处于良好的状态。截至</w:t>
            </w:r>
            <w:r w:rsidR="00C85A1B">
              <w:rPr>
                <w:rFonts w:ascii="宋体" w:eastAsia="宋体" w:hAnsi="宋体" w:hint="eastAsia"/>
                <w:sz w:val="24"/>
                <w:szCs w:val="24"/>
              </w:rPr>
              <w:t>2024年6月30日</w:t>
            </w:r>
            <w:r w:rsidRPr="008137EF">
              <w:rPr>
                <w:rFonts w:ascii="宋体" w:eastAsia="宋体" w:hAnsi="宋体" w:hint="eastAsia"/>
                <w:sz w:val="24"/>
                <w:szCs w:val="24"/>
              </w:rPr>
              <w:t>，公司现金和现金等价物为17.37亿元。公司在未来仍将坚持创新研发是公司长远发展的价值保障与核心战略。未来的研发投入要根据管线的具体情况来规划。整体来讲，公司主要考虑通过三个方面来合理规划研发投入：1）公司将进一步聚焦，控制进入开发阶段的分子数量，以期获得具备全球竞争优势的分子，并在临床阶段获得差异化价值，这是公司创新的理念；2）核心创新品种，未来趋势就是全球化开发，公司将致力于寻找具备全球化临床和医学能力及商业化能力的合作伙伴来共享创新成果、共同推动管线价值全球化，同时有望给公司带来正向现金收入；3）公司致力于在肿瘤和自身免疫性疾病领域发展商业化团队，其他领域如目前披露的管线中的眼科类、抗感染类、呼吸领域、罕见病领域等管线，会通过合作甚至转让的方式进行商业转化，一方面增加现金收入、另外一方面减少后续的研发投入。以上这些都是公司合理规划研发投入，进一步发挥自身优势、聚焦创新领域的长期举措。</w:t>
            </w:r>
          </w:p>
          <w:p w14:paraId="3772C86A" w14:textId="77777777"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销售费用方面，随着公司近两年以及未来预计不断有商业化品种落地，商业化团队的拓展及新产品的推广导致销售费用有所增加，但公司会持续优化资源分配和效率，将销售费用控制在合理的范围内，实现产品销售的可持续增长。管理费用方面，公司非常重视各项管理费用及成本控制，持续严格管</w:t>
            </w:r>
            <w:proofErr w:type="gramStart"/>
            <w:r w:rsidRPr="008137EF">
              <w:rPr>
                <w:rFonts w:ascii="宋体" w:eastAsia="宋体" w:hAnsi="宋体" w:hint="eastAsia"/>
                <w:sz w:val="24"/>
                <w:szCs w:val="24"/>
              </w:rPr>
              <w:t>控公司</w:t>
            </w:r>
            <w:proofErr w:type="gramEnd"/>
            <w:r w:rsidRPr="008137EF">
              <w:rPr>
                <w:rFonts w:ascii="宋体" w:eastAsia="宋体" w:hAnsi="宋体" w:hint="eastAsia"/>
                <w:sz w:val="24"/>
                <w:szCs w:val="24"/>
              </w:rPr>
              <w:t>及管理人员层面的费用及提高分配效率，不断提升公司规范运营和治理能力。总体而言，公司目前可动用资金处于良好状态，各项费用均控制在合理范围内，具备可持续性。</w:t>
            </w:r>
          </w:p>
          <w:p w14:paraId="497F4F84" w14:textId="77777777" w:rsidR="008137EF" w:rsidRPr="008137EF" w:rsidRDefault="008137EF" w:rsidP="008137EF">
            <w:pPr>
              <w:widowControl/>
              <w:jc w:val="left"/>
              <w:rPr>
                <w:rFonts w:ascii="宋体" w:eastAsia="宋体" w:hAnsi="宋体" w:hint="eastAsia"/>
                <w:sz w:val="24"/>
                <w:szCs w:val="24"/>
              </w:rPr>
            </w:pPr>
          </w:p>
          <w:p w14:paraId="341A5FF5" w14:textId="77777777" w:rsidR="008137EF" w:rsidRPr="008137EF" w:rsidRDefault="008137EF" w:rsidP="008137EF">
            <w:pPr>
              <w:widowControl/>
              <w:jc w:val="left"/>
              <w:rPr>
                <w:rFonts w:ascii="宋体" w:eastAsia="宋体" w:hAnsi="宋体" w:hint="eastAsia"/>
                <w:b/>
                <w:bCs/>
                <w:sz w:val="24"/>
                <w:szCs w:val="24"/>
              </w:rPr>
            </w:pPr>
            <w:r w:rsidRPr="008137EF">
              <w:rPr>
                <w:rFonts w:ascii="宋体" w:eastAsia="宋体" w:hAnsi="宋体" w:hint="eastAsia"/>
                <w:b/>
                <w:bCs/>
                <w:sz w:val="24"/>
                <w:szCs w:val="24"/>
              </w:rPr>
              <w:t>问：请介绍一下公司骨关节炎治疗领域的小分子药物1MW5011和目前临床进展。</w:t>
            </w:r>
          </w:p>
          <w:p w14:paraId="72E00E25" w14:textId="2A2681A4" w:rsidR="008137EF" w:rsidRPr="008137EF" w:rsidRDefault="008137EF">
            <w:pPr>
              <w:widowControl/>
              <w:jc w:val="left"/>
              <w:rPr>
                <w:rFonts w:ascii="宋体" w:eastAsia="宋体" w:hAnsi="宋体" w:hint="eastAsia"/>
                <w:sz w:val="24"/>
                <w:szCs w:val="24"/>
              </w:rPr>
            </w:pPr>
            <w:r w:rsidRPr="008137EF">
              <w:rPr>
                <w:rFonts w:ascii="宋体" w:eastAsia="宋体" w:hAnsi="宋体" w:hint="eastAsia"/>
                <w:b/>
                <w:bCs/>
                <w:sz w:val="24"/>
                <w:szCs w:val="24"/>
              </w:rPr>
              <w:t>答</w:t>
            </w:r>
            <w:r>
              <w:rPr>
                <w:rFonts w:ascii="宋体" w:eastAsia="宋体" w:hAnsi="宋体" w:hint="eastAsia"/>
                <w:sz w:val="24"/>
                <w:szCs w:val="24"/>
              </w:rPr>
              <w:t>：</w:t>
            </w:r>
            <w:r w:rsidRPr="008137EF">
              <w:rPr>
                <w:rFonts w:ascii="宋体" w:eastAsia="宋体" w:hAnsi="宋体" w:hint="eastAsia"/>
                <w:sz w:val="24"/>
                <w:szCs w:val="24"/>
              </w:rPr>
              <w:t>1MW5011（RP901）是骨关节炎（OA）治疗领域潜在First-in-class、具有自主知识产权的小分子药物。经口服进入人体之后，RP901在体内可以快速转化成N-丁酰基氨基葡萄糖，富集于关节腔内，通过提高关节软骨合成代谢及降低关节软骨分解代谢改善骨关节炎患者的软骨破坏，间接提高了N-丁酰基氨基葡萄糖的生物利用度，从而发挥对骨关节炎的治疗作用。临床前药效研究结果表明其具有明确的</w:t>
            </w:r>
            <w:proofErr w:type="gramStart"/>
            <w:r w:rsidRPr="008137EF">
              <w:rPr>
                <w:rFonts w:ascii="宋体" w:eastAsia="宋体" w:hAnsi="宋体" w:hint="eastAsia"/>
                <w:sz w:val="24"/>
                <w:szCs w:val="24"/>
              </w:rPr>
              <w:t>骨保护</w:t>
            </w:r>
            <w:proofErr w:type="gramEnd"/>
            <w:r w:rsidRPr="008137EF">
              <w:rPr>
                <w:rFonts w:ascii="宋体" w:eastAsia="宋体" w:hAnsi="宋体" w:hint="eastAsia"/>
                <w:sz w:val="24"/>
                <w:szCs w:val="24"/>
              </w:rPr>
              <w:t>和骨关节炎改善作用；临床前药代动力学研究结果表明RP901在大鼠和猴中具有较高的口服生物利用度，采用同位素标记手段研究表明RP901在骨关节靶器官有良好分布；临床前安全性及I期临床实验结果表明RP901具有良好的安全性。</w:t>
            </w:r>
          </w:p>
          <w:p w14:paraId="188BA0F9" w14:textId="5A86E489"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RP901于2021年2月3日获得国家药品监督管理局审评中心临床默示许可，2021年9月15日完成I期临床单次给药剂量递增研究，2022年11月25日完成食物影响及多次给药试验，2024年</w:t>
            </w:r>
            <w:r w:rsidRPr="008137EF">
              <w:rPr>
                <w:rFonts w:ascii="宋体" w:eastAsia="宋体" w:hAnsi="宋体" w:hint="eastAsia"/>
                <w:sz w:val="24"/>
                <w:szCs w:val="24"/>
              </w:rPr>
              <w:lastRenderedPageBreak/>
              <w:t>3月26日在临床试验公示平台登记RP901片治疗</w:t>
            </w:r>
            <w:proofErr w:type="gramStart"/>
            <w:r w:rsidRPr="008137EF">
              <w:rPr>
                <w:rFonts w:ascii="宋体" w:eastAsia="宋体" w:hAnsi="宋体" w:hint="eastAsia"/>
                <w:sz w:val="24"/>
                <w:szCs w:val="24"/>
              </w:rPr>
              <w:t>膝</w:t>
            </w:r>
            <w:proofErr w:type="gramEnd"/>
            <w:r w:rsidRPr="008137EF">
              <w:rPr>
                <w:rFonts w:ascii="宋体" w:eastAsia="宋体" w:hAnsi="宋体" w:hint="eastAsia"/>
                <w:sz w:val="24"/>
                <w:szCs w:val="24"/>
              </w:rPr>
              <w:t>骨关节炎的II期临床研究，并于2024年7月18日完成首例受试者给药。</w:t>
            </w:r>
          </w:p>
          <w:p w14:paraId="24744F27" w14:textId="22484360" w:rsidR="008137EF" w:rsidRPr="008137EF" w:rsidRDefault="008137EF" w:rsidP="00C73D0C">
            <w:pPr>
              <w:widowControl/>
              <w:ind w:firstLineChars="200" w:firstLine="480"/>
              <w:jc w:val="left"/>
              <w:rPr>
                <w:rFonts w:ascii="宋体" w:eastAsia="宋体" w:hAnsi="宋体" w:hint="eastAsia"/>
                <w:sz w:val="24"/>
                <w:szCs w:val="24"/>
              </w:rPr>
            </w:pPr>
            <w:r w:rsidRPr="008137EF">
              <w:rPr>
                <w:rFonts w:ascii="宋体" w:eastAsia="宋体" w:hAnsi="宋体" w:hint="eastAsia"/>
                <w:sz w:val="24"/>
                <w:szCs w:val="24"/>
              </w:rPr>
              <w:t>2024年泰康生物与润佳（苏州）医药科技有限公司</w:t>
            </w:r>
            <w:proofErr w:type="gramStart"/>
            <w:r w:rsidRPr="008137EF">
              <w:rPr>
                <w:rFonts w:ascii="宋体" w:eastAsia="宋体" w:hAnsi="宋体" w:hint="eastAsia"/>
                <w:sz w:val="24"/>
                <w:szCs w:val="24"/>
              </w:rPr>
              <w:t>就润佳</w:t>
            </w:r>
            <w:proofErr w:type="gramEnd"/>
            <w:r w:rsidRPr="008137EF">
              <w:rPr>
                <w:rFonts w:ascii="宋体" w:eastAsia="宋体" w:hAnsi="宋体" w:hint="eastAsia"/>
                <w:sz w:val="24"/>
                <w:szCs w:val="24"/>
              </w:rPr>
              <w:t>医药在</w:t>
            </w:r>
            <w:proofErr w:type="gramStart"/>
            <w:r w:rsidRPr="008137EF">
              <w:rPr>
                <w:rFonts w:ascii="宋体" w:eastAsia="宋体" w:hAnsi="宋体" w:hint="eastAsia"/>
                <w:sz w:val="24"/>
                <w:szCs w:val="24"/>
              </w:rPr>
              <w:t>研</w:t>
            </w:r>
            <w:proofErr w:type="gramEnd"/>
            <w:r w:rsidRPr="008137EF">
              <w:rPr>
                <w:rFonts w:ascii="宋体" w:eastAsia="宋体" w:hAnsi="宋体" w:hint="eastAsia"/>
                <w:sz w:val="24"/>
                <w:szCs w:val="24"/>
              </w:rPr>
              <w:t>品种RP901项目签署《许可协议》。根据许可协议，</w:t>
            </w:r>
            <w:proofErr w:type="gramStart"/>
            <w:r w:rsidRPr="008137EF">
              <w:rPr>
                <w:rFonts w:ascii="宋体" w:eastAsia="宋体" w:hAnsi="宋体" w:hint="eastAsia"/>
                <w:sz w:val="24"/>
                <w:szCs w:val="24"/>
              </w:rPr>
              <w:t>润佳医药</w:t>
            </w:r>
            <w:proofErr w:type="gramEnd"/>
            <w:r w:rsidRPr="008137EF">
              <w:rPr>
                <w:rFonts w:ascii="宋体" w:eastAsia="宋体" w:hAnsi="宋体" w:hint="eastAsia"/>
                <w:sz w:val="24"/>
                <w:szCs w:val="24"/>
              </w:rPr>
              <w:t>许可泰康生物在大中华区域（包括中国大陆、香港、澳门和台湾）内研究、开发（包括通过合同研究组织研究或开发）、注册、商业化以及销售RP901项目及伴随诊断（仅为使用许可产品之目的开发）的权益。</w:t>
            </w:r>
          </w:p>
          <w:p w14:paraId="22D9408A" w14:textId="13EE0EFE" w:rsidR="001C5186" w:rsidRPr="008137EF" w:rsidRDefault="001C5186" w:rsidP="008137EF">
            <w:pPr>
              <w:widowControl/>
              <w:jc w:val="left"/>
              <w:rPr>
                <w:rFonts w:ascii="宋体" w:eastAsia="宋体" w:hAnsi="宋体" w:hint="eastAsia"/>
                <w:sz w:val="24"/>
                <w:szCs w:val="24"/>
              </w:rPr>
            </w:pPr>
          </w:p>
        </w:tc>
      </w:tr>
    </w:tbl>
    <w:p w14:paraId="6FDBDD09" w14:textId="77777777" w:rsidR="001C5186" w:rsidRDefault="001C5186">
      <w:pPr>
        <w:rPr>
          <w:rFonts w:ascii="宋体" w:eastAsia="宋体" w:hAnsi="宋体" w:hint="eastAsia"/>
        </w:rPr>
      </w:pPr>
    </w:p>
    <w:sectPr w:rsidR="001C5186">
      <w:headerReference w:type="default" r:id="rId7"/>
      <w:footerReference w:type="default" r:id="rId8"/>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3FD4" w14:textId="77777777" w:rsidR="00BB4206" w:rsidRDefault="00BB4206">
      <w:pPr>
        <w:rPr>
          <w:rFonts w:hint="eastAsia"/>
        </w:rPr>
      </w:pPr>
      <w:r>
        <w:separator/>
      </w:r>
    </w:p>
  </w:endnote>
  <w:endnote w:type="continuationSeparator" w:id="0">
    <w:p w14:paraId="0404D82D" w14:textId="77777777" w:rsidR="00BB4206" w:rsidRDefault="00BB42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B2F2" w14:textId="3F412512" w:rsidR="001C5186" w:rsidRDefault="00F42701">
    <w:pPr>
      <w:jc w:val="center"/>
      <w:rPr>
        <w:rFonts w:hint="eastAsia"/>
      </w:rPr>
    </w:pPr>
    <w:r>
      <w:fldChar w:fldCharType="begin"/>
    </w:r>
    <w:r>
      <w:instrText xml:space="preserve"> PAGE </w:instrText>
    </w:r>
    <w:r>
      <w:fldChar w:fldCharType="separate"/>
    </w:r>
    <w:r w:rsidR="002D3F5B">
      <w:rPr>
        <w:noProof/>
      </w:rPr>
      <w:t>3</w:t>
    </w:r>
    <w:r>
      <w:fldChar w:fldCharType="end"/>
    </w:r>
    <w:r>
      <w:rPr>
        <w:lang w:val="zh-CN"/>
      </w:rPr>
      <w:t xml:space="preserve"> / </w:t>
    </w:r>
    <w:fldSimple w:instr=" NUMPAGES  ">
      <w:r w:rsidR="002D3F5B">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55DC" w14:textId="77777777" w:rsidR="00BB4206" w:rsidRDefault="00BB4206">
      <w:pPr>
        <w:rPr>
          <w:rFonts w:hint="eastAsia"/>
        </w:rPr>
      </w:pPr>
      <w:r>
        <w:separator/>
      </w:r>
    </w:p>
  </w:footnote>
  <w:footnote w:type="continuationSeparator" w:id="0">
    <w:p w14:paraId="0F9B69DB" w14:textId="77777777" w:rsidR="00BB4206" w:rsidRDefault="00BB42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F1E" w14:textId="77777777" w:rsidR="001C5186" w:rsidRDefault="00F42701">
    <w:pPr>
      <w:rPr>
        <w:rFonts w:hint="eastAsia"/>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hint="eastAsia"/>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378FE"/>
    <w:multiLevelType w:val="hybridMultilevel"/>
    <w:tmpl w:val="D53283D2"/>
    <w:lvl w:ilvl="0" w:tplc="63A8C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633246389">
    <w:abstractNumId w:val="2"/>
  </w:num>
  <w:num w:numId="2" w16cid:durableId="433403108">
    <w:abstractNumId w:val="1"/>
  </w:num>
  <w:num w:numId="3" w16cid:durableId="105581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15BB9"/>
    <w:rsid w:val="000664AD"/>
    <w:rsid w:val="000669B6"/>
    <w:rsid w:val="00073CA6"/>
    <w:rsid w:val="00074564"/>
    <w:rsid w:val="00093139"/>
    <w:rsid w:val="000A1594"/>
    <w:rsid w:val="000A2460"/>
    <w:rsid w:val="000A3EA9"/>
    <w:rsid w:val="000C7C96"/>
    <w:rsid w:val="000D753F"/>
    <w:rsid w:val="000E4584"/>
    <w:rsid w:val="000F0F7E"/>
    <w:rsid w:val="000F39A6"/>
    <w:rsid w:val="000F70A8"/>
    <w:rsid w:val="00100BC3"/>
    <w:rsid w:val="00102F0C"/>
    <w:rsid w:val="00104612"/>
    <w:rsid w:val="00104E1A"/>
    <w:rsid w:val="00111B74"/>
    <w:rsid w:val="00117F0D"/>
    <w:rsid w:val="00125ABE"/>
    <w:rsid w:val="00125E81"/>
    <w:rsid w:val="0012600D"/>
    <w:rsid w:val="00127C88"/>
    <w:rsid w:val="00134CBB"/>
    <w:rsid w:val="001606B6"/>
    <w:rsid w:val="00166FFC"/>
    <w:rsid w:val="00182D6A"/>
    <w:rsid w:val="001A335B"/>
    <w:rsid w:val="001A679D"/>
    <w:rsid w:val="001B4CBD"/>
    <w:rsid w:val="001C5186"/>
    <w:rsid w:val="001D2314"/>
    <w:rsid w:val="001D389C"/>
    <w:rsid w:val="001E0192"/>
    <w:rsid w:val="001F2763"/>
    <w:rsid w:val="001F7AB0"/>
    <w:rsid w:val="00203DB1"/>
    <w:rsid w:val="002103CB"/>
    <w:rsid w:val="002116A1"/>
    <w:rsid w:val="00213D07"/>
    <w:rsid w:val="00214802"/>
    <w:rsid w:val="0022468C"/>
    <w:rsid w:val="00226421"/>
    <w:rsid w:val="0023170A"/>
    <w:rsid w:val="00244F1B"/>
    <w:rsid w:val="00256110"/>
    <w:rsid w:val="00274A19"/>
    <w:rsid w:val="00277E2D"/>
    <w:rsid w:val="00283D13"/>
    <w:rsid w:val="00285B72"/>
    <w:rsid w:val="00294C20"/>
    <w:rsid w:val="00297D5F"/>
    <w:rsid w:val="002A3289"/>
    <w:rsid w:val="002B6B66"/>
    <w:rsid w:val="002C35FB"/>
    <w:rsid w:val="002C44F5"/>
    <w:rsid w:val="002D3F5B"/>
    <w:rsid w:val="002E0407"/>
    <w:rsid w:val="002E4F00"/>
    <w:rsid w:val="002F5E79"/>
    <w:rsid w:val="003052C1"/>
    <w:rsid w:val="00306F52"/>
    <w:rsid w:val="00307395"/>
    <w:rsid w:val="003151CD"/>
    <w:rsid w:val="00335621"/>
    <w:rsid w:val="00342894"/>
    <w:rsid w:val="003528B2"/>
    <w:rsid w:val="003534FC"/>
    <w:rsid w:val="00354696"/>
    <w:rsid w:val="00383E31"/>
    <w:rsid w:val="00385649"/>
    <w:rsid w:val="00392468"/>
    <w:rsid w:val="003967C3"/>
    <w:rsid w:val="003A2B2C"/>
    <w:rsid w:val="003A4EB4"/>
    <w:rsid w:val="003B3463"/>
    <w:rsid w:val="003C1801"/>
    <w:rsid w:val="003C6873"/>
    <w:rsid w:val="003C7C0B"/>
    <w:rsid w:val="00401AE1"/>
    <w:rsid w:val="00406F13"/>
    <w:rsid w:val="00412568"/>
    <w:rsid w:val="00420989"/>
    <w:rsid w:val="0042458F"/>
    <w:rsid w:val="00427FE7"/>
    <w:rsid w:val="00430C52"/>
    <w:rsid w:val="00435B4D"/>
    <w:rsid w:val="00443B63"/>
    <w:rsid w:val="00446E8A"/>
    <w:rsid w:val="004516C2"/>
    <w:rsid w:val="00464E74"/>
    <w:rsid w:val="00474896"/>
    <w:rsid w:val="0049457C"/>
    <w:rsid w:val="004A1DA0"/>
    <w:rsid w:val="004B72CF"/>
    <w:rsid w:val="004C006E"/>
    <w:rsid w:val="004C5755"/>
    <w:rsid w:val="004D3144"/>
    <w:rsid w:val="004D4C1F"/>
    <w:rsid w:val="004D50E8"/>
    <w:rsid w:val="004D59C5"/>
    <w:rsid w:val="004E0B91"/>
    <w:rsid w:val="004E22F5"/>
    <w:rsid w:val="004E5683"/>
    <w:rsid w:val="004F562F"/>
    <w:rsid w:val="00501E92"/>
    <w:rsid w:val="00504946"/>
    <w:rsid w:val="00511315"/>
    <w:rsid w:val="0052287F"/>
    <w:rsid w:val="005230A4"/>
    <w:rsid w:val="00526977"/>
    <w:rsid w:val="00526C27"/>
    <w:rsid w:val="005366B2"/>
    <w:rsid w:val="00543BC2"/>
    <w:rsid w:val="005467B1"/>
    <w:rsid w:val="00550740"/>
    <w:rsid w:val="00555133"/>
    <w:rsid w:val="005738C3"/>
    <w:rsid w:val="0057624D"/>
    <w:rsid w:val="0058079A"/>
    <w:rsid w:val="00583E99"/>
    <w:rsid w:val="00585A5C"/>
    <w:rsid w:val="00594FA9"/>
    <w:rsid w:val="005A134F"/>
    <w:rsid w:val="005A450A"/>
    <w:rsid w:val="005A7277"/>
    <w:rsid w:val="005B1F98"/>
    <w:rsid w:val="005B5CAA"/>
    <w:rsid w:val="005B601A"/>
    <w:rsid w:val="005D35B2"/>
    <w:rsid w:val="005E2125"/>
    <w:rsid w:val="005E7D5E"/>
    <w:rsid w:val="00614C64"/>
    <w:rsid w:val="00635EA2"/>
    <w:rsid w:val="00636FAF"/>
    <w:rsid w:val="00637C48"/>
    <w:rsid w:val="006410C7"/>
    <w:rsid w:val="00656C85"/>
    <w:rsid w:val="00666159"/>
    <w:rsid w:val="006731A1"/>
    <w:rsid w:val="00673BA0"/>
    <w:rsid w:val="00683423"/>
    <w:rsid w:val="00684A43"/>
    <w:rsid w:val="00687991"/>
    <w:rsid w:val="00690747"/>
    <w:rsid w:val="00690E73"/>
    <w:rsid w:val="00694A84"/>
    <w:rsid w:val="006973BE"/>
    <w:rsid w:val="006A4067"/>
    <w:rsid w:val="006B4424"/>
    <w:rsid w:val="006C17C9"/>
    <w:rsid w:val="006D099C"/>
    <w:rsid w:val="006D3E14"/>
    <w:rsid w:val="006D4BB3"/>
    <w:rsid w:val="006E553A"/>
    <w:rsid w:val="00703466"/>
    <w:rsid w:val="00714C1B"/>
    <w:rsid w:val="007240E2"/>
    <w:rsid w:val="007270EF"/>
    <w:rsid w:val="00735857"/>
    <w:rsid w:val="00740B69"/>
    <w:rsid w:val="00742DAD"/>
    <w:rsid w:val="00746C64"/>
    <w:rsid w:val="0077306D"/>
    <w:rsid w:val="0078369B"/>
    <w:rsid w:val="007A3B81"/>
    <w:rsid w:val="007B52A7"/>
    <w:rsid w:val="007B630F"/>
    <w:rsid w:val="007C4447"/>
    <w:rsid w:val="007C4E01"/>
    <w:rsid w:val="007C77B4"/>
    <w:rsid w:val="007D1BF0"/>
    <w:rsid w:val="007D23BD"/>
    <w:rsid w:val="007E0BF8"/>
    <w:rsid w:val="007E76DD"/>
    <w:rsid w:val="007F071A"/>
    <w:rsid w:val="007F0DF8"/>
    <w:rsid w:val="00802982"/>
    <w:rsid w:val="008102B7"/>
    <w:rsid w:val="00810408"/>
    <w:rsid w:val="0081164B"/>
    <w:rsid w:val="008137EF"/>
    <w:rsid w:val="00821DC3"/>
    <w:rsid w:val="00823346"/>
    <w:rsid w:val="0083339A"/>
    <w:rsid w:val="00841D78"/>
    <w:rsid w:val="008540FB"/>
    <w:rsid w:val="008745FB"/>
    <w:rsid w:val="008758AE"/>
    <w:rsid w:val="008803D6"/>
    <w:rsid w:val="00885AE3"/>
    <w:rsid w:val="00886F20"/>
    <w:rsid w:val="008A059F"/>
    <w:rsid w:val="008A6A3B"/>
    <w:rsid w:val="008B271E"/>
    <w:rsid w:val="008B75A3"/>
    <w:rsid w:val="008C1D59"/>
    <w:rsid w:val="008C6CEA"/>
    <w:rsid w:val="008D1F3B"/>
    <w:rsid w:val="008D7BE6"/>
    <w:rsid w:val="00906C7E"/>
    <w:rsid w:val="009074F2"/>
    <w:rsid w:val="00907CCB"/>
    <w:rsid w:val="00913155"/>
    <w:rsid w:val="00923E91"/>
    <w:rsid w:val="00926AA9"/>
    <w:rsid w:val="009276EA"/>
    <w:rsid w:val="00932B89"/>
    <w:rsid w:val="0094708F"/>
    <w:rsid w:val="00963B33"/>
    <w:rsid w:val="00964127"/>
    <w:rsid w:val="00966CE8"/>
    <w:rsid w:val="00967AC0"/>
    <w:rsid w:val="00970511"/>
    <w:rsid w:val="00987756"/>
    <w:rsid w:val="00990DF7"/>
    <w:rsid w:val="00995EA9"/>
    <w:rsid w:val="009A078F"/>
    <w:rsid w:val="009A34FB"/>
    <w:rsid w:val="009B12C6"/>
    <w:rsid w:val="009B678E"/>
    <w:rsid w:val="009C6078"/>
    <w:rsid w:val="009D2191"/>
    <w:rsid w:val="009E2FD5"/>
    <w:rsid w:val="009E31A5"/>
    <w:rsid w:val="009F1688"/>
    <w:rsid w:val="009F65E9"/>
    <w:rsid w:val="009F709D"/>
    <w:rsid w:val="009F7A73"/>
    <w:rsid w:val="00A02798"/>
    <w:rsid w:val="00A02F6D"/>
    <w:rsid w:val="00A04F4E"/>
    <w:rsid w:val="00A069D4"/>
    <w:rsid w:val="00A1743F"/>
    <w:rsid w:val="00A23E8B"/>
    <w:rsid w:val="00A30B36"/>
    <w:rsid w:val="00A32CB8"/>
    <w:rsid w:val="00A35068"/>
    <w:rsid w:val="00A426CF"/>
    <w:rsid w:val="00A45CB7"/>
    <w:rsid w:val="00A5297A"/>
    <w:rsid w:val="00A62952"/>
    <w:rsid w:val="00A66FBB"/>
    <w:rsid w:val="00A83C4A"/>
    <w:rsid w:val="00A90FA6"/>
    <w:rsid w:val="00AA27E8"/>
    <w:rsid w:val="00AA62C7"/>
    <w:rsid w:val="00AB23A5"/>
    <w:rsid w:val="00AD06B2"/>
    <w:rsid w:val="00AF4DC9"/>
    <w:rsid w:val="00AF69FE"/>
    <w:rsid w:val="00AF7008"/>
    <w:rsid w:val="00B06927"/>
    <w:rsid w:val="00B16BDE"/>
    <w:rsid w:val="00B16FBA"/>
    <w:rsid w:val="00B41722"/>
    <w:rsid w:val="00B60587"/>
    <w:rsid w:val="00B6525C"/>
    <w:rsid w:val="00B80996"/>
    <w:rsid w:val="00B8144E"/>
    <w:rsid w:val="00B8576E"/>
    <w:rsid w:val="00B9590B"/>
    <w:rsid w:val="00BA0AC5"/>
    <w:rsid w:val="00BB0070"/>
    <w:rsid w:val="00BB297F"/>
    <w:rsid w:val="00BB4206"/>
    <w:rsid w:val="00BB62E5"/>
    <w:rsid w:val="00BD0997"/>
    <w:rsid w:val="00BD0B68"/>
    <w:rsid w:val="00BD0DC7"/>
    <w:rsid w:val="00BD3BF1"/>
    <w:rsid w:val="00BD6167"/>
    <w:rsid w:val="00BD6FF9"/>
    <w:rsid w:val="00BE25D8"/>
    <w:rsid w:val="00BE5C4D"/>
    <w:rsid w:val="00BF422B"/>
    <w:rsid w:val="00C07EE9"/>
    <w:rsid w:val="00C27208"/>
    <w:rsid w:val="00C27C1C"/>
    <w:rsid w:val="00C327AF"/>
    <w:rsid w:val="00C45991"/>
    <w:rsid w:val="00C57214"/>
    <w:rsid w:val="00C73D0C"/>
    <w:rsid w:val="00C80A94"/>
    <w:rsid w:val="00C80F43"/>
    <w:rsid w:val="00C85A1B"/>
    <w:rsid w:val="00C86581"/>
    <w:rsid w:val="00C91D12"/>
    <w:rsid w:val="00C94520"/>
    <w:rsid w:val="00CA5F5E"/>
    <w:rsid w:val="00CB0E93"/>
    <w:rsid w:val="00CB1244"/>
    <w:rsid w:val="00CB5E03"/>
    <w:rsid w:val="00CB703F"/>
    <w:rsid w:val="00CB7AB6"/>
    <w:rsid w:val="00CC0E05"/>
    <w:rsid w:val="00CD64DB"/>
    <w:rsid w:val="00CD7100"/>
    <w:rsid w:val="00CE032B"/>
    <w:rsid w:val="00D156F0"/>
    <w:rsid w:val="00D17143"/>
    <w:rsid w:val="00D3281A"/>
    <w:rsid w:val="00D375E0"/>
    <w:rsid w:val="00D4185A"/>
    <w:rsid w:val="00D45D73"/>
    <w:rsid w:val="00D60369"/>
    <w:rsid w:val="00D60A7A"/>
    <w:rsid w:val="00D65272"/>
    <w:rsid w:val="00D66322"/>
    <w:rsid w:val="00D70470"/>
    <w:rsid w:val="00D846C9"/>
    <w:rsid w:val="00D903C7"/>
    <w:rsid w:val="00DA1FD1"/>
    <w:rsid w:val="00DA2EF1"/>
    <w:rsid w:val="00DB227E"/>
    <w:rsid w:val="00DB2FE9"/>
    <w:rsid w:val="00DB3C5A"/>
    <w:rsid w:val="00DC1845"/>
    <w:rsid w:val="00DD1882"/>
    <w:rsid w:val="00DD585C"/>
    <w:rsid w:val="00DD7412"/>
    <w:rsid w:val="00DE5491"/>
    <w:rsid w:val="00DF44CC"/>
    <w:rsid w:val="00DF4D7B"/>
    <w:rsid w:val="00E13D67"/>
    <w:rsid w:val="00E16216"/>
    <w:rsid w:val="00E2658E"/>
    <w:rsid w:val="00E27A17"/>
    <w:rsid w:val="00E30E3C"/>
    <w:rsid w:val="00E3136B"/>
    <w:rsid w:val="00E32B94"/>
    <w:rsid w:val="00E33A87"/>
    <w:rsid w:val="00E345B9"/>
    <w:rsid w:val="00E35333"/>
    <w:rsid w:val="00E403B1"/>
    <w:rsid w:val="00E52835"/>
    <w:rsid w:val="00E61BAB"/>
    <w:rsid w:val="00E644A1"/>
    <w:rsid w:val="00E64DCF"/>
    <w:rsid w:val="00E70572"/>
    <w:rsid w:val="00E71F93"/>
    <w:rsid w:val="00E859CF"/>
    <w:rsid w:val="00E925CE"/>
    <w:rsid w:val="00EA02B4"/>
    <w:rsid w:val="00EA1EC4"/>
    <w:rsid w:val="00EB0D44"/>
    <w:rsid w:val="00EC4E66"/>
    <w:rsid w:val="00EC7D93"/>
    <w:rsid w:val="00ED3813"/>
    <w:rsid w:val="00ED6092"/>
    <w:rsid w:val="00EE5F2C"/>
    <w:rsid w:val="00EE6009"/>
    <w:rsid w:val="00EF3E19"/>
    <w:rsid w:val="00F01524"/>
    <w:rsid w:val="00F02DF8"/>
    <w:rsid w:val="00F05192"/>
    <w:rsid w:val="00F06D6A"/>
    <w:rsid w:val="00F21602"/>
    <w:rsid w:val="00F22800"/>
    <w:rsid w:val="00F24B9C"/>
    <w:rsid w:val="00F42701"/>
    <w:rsid w:val="00F46B8A"/>
    <w:rsid w:val="00F61A96"/>
    <w:rsid w:val="00F624B7"/>
    <w:rsid w:val="00F6469F"/>
    <w:rsid w:val="00F74DD2"/>
    <w:rsid w:val="00F8004B"/>
    <w:rsid w:val="00F823E1"/>
    <w:rsid w:val="00F86191"/>
    <w:rsid w:val="00F93FB9"/>
    <w:rsid w:val="00FC0633"/>
    <w:rsid w:val="00FD07F2"/>
    <w:rsid w:val="00FD09BE"/>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semiHidden/>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2</cp:revision>
  <cp:lastPrinted>2024-03-29T07:44:00Z</cp:lastPrinted>
  <dcterms:created xsi:type="dcterms:W3CDTF">2024-09-30T06:36:00Z</dcterms:created>
  <dcterms:modified xsi:type="dcterms:W3CDTF">2024-09-30T06:36:00Z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