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F6CC9">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600654                             </w:t>
      </w:r>
      <w:r>
        <w:rPr>
          <w:rFonts w:hint="eastAsia"/>
          <w:color w:val="000000"/>
          <w:sz w:val="24"/>
        </w:rPr>
        <w:t xml:space="preserve">    </w:t>
      </w:r>
      <w:r>
        <w:rPr>
          <w:rFonts w:hAnsi="宋体"/>
          <w:bCs/>
          <w:iCs/>
          <w:color w:val="000000"/>
          <w:sz w:val="24"/>
        </w:rPr>
        <w:t>证券简称：</w:t>
      </w:r>
      <w:r>
        <w:rPr>
          <w:rFonts w:hint="eastAsia"/>
          <w:color w:val="000000"/>
          <w:sz w:val="24"/>
        </w:rPr>
        <w:t>中安科</w:t>
      </w:r>
    </w:p>
    <w:p w14:paraId="1BDD298C">
      <w:pPr>
        <w:spacing w:before="156" w:beforeLines="50" w:after="156" w:afterLines="50" w:line="400" w:lineRule="exact"/>
        <w:jc w:val="center"/>
        <w:rPr>
          <w:rFonts w:hint="eastAsia" w:ascii="宋体" w:hAnsi="宋体"/>
          <w:b/>
          <w:bCs/>
          <w:iCs/>
          <w:color w:val="000000"/>
          <w:sz w:val="32"/>
          <w:szCs w:val="32"/>
        </w:rPr>
      </w:pPr>
    </w:p>
    <w:p w14:paraId="0E8FA120">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中安科股份有限公司</w:t>
      </w:r>
      <w:r>
        <w:rPr>
          <w:rFonts w:hint="eastAsia" w:ascii="宋体" w:hAnsi="宋体"/>
          <w:b/>
          <w:bCs/>
          <w:iCs/>
          <w:color w:val="000000"/>
          <w:sz w:val="32"/>
          <w:szCs w:val="32"/>
        </w:rPr>
        <w:t>投资者关系活动记录表</w:t>
      </w:r>
    </w:p>
    <w:p w14:paraId="3725041E">
      <w:pPr>
        <w:spacing w:line="400" w:lineRule="exact"/>
        <w:rPr>
          <w:bCs/>
          <w:iCs/>
          <w:color w:val="000000"/>
          <w:sz w:val="24"/>
        </w:rPr>
      </w:pPr>
      <w:r>
        <w:rPr>
          <w:rFonts w:hint="eastAsia" w:ascii="宋体" w:hAnsi="宋体"/>
          <w:bCs/>
          <w:iCs/>
          <w:color w:val="000000"/>
          <w:sz w:val="24"/>
        </w:rPr>
        <w:t xml:space="preserve">                                                     </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4AE1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21BD548">
            <w:pPr>
              <w:spacing w:line="420" w:lineRule="exact"/>
              <w:rPr>
                <w:bCs/>
                <w:iCs/>
                <w:color w:val="000000"/>
                <w:kern w:val="0"/>
                <w:sz w:val="24"/>
              </w:rPr>
            </w:pPr>
            <w:r>
              <w:rPr>
                <w:rFonts w:hAnsi="宋体"/>
                <w:bCs/>
                <w:iCs/>
                <w:color w:val="000000"/>
                <w:kern w:val="0"/>
                <w:sz w:val="24"/>
              </w:rPr>
              <w:t>投资者关系活动类别</w:t>
            </w:r>
          </w:p>
          <w:p w14:paraId="20D1F197">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312DFDCE">
            <w:pPr>
              <w:spacing w:line="420" w:lineRule="exact"/>
              <w:rPr>
                <w:bCs/>
                <w:iCs/>
                <w:color w:val="000000"/>
                <w:sz w:val="24"/>
              </w:rPr>
            </w:pP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rFonts w:hint="eastAsia"/>
                <w:bCs/>
                <w:iCs/>
                <w:color w:val="000000"/>
                <w:kern w:val="0"/>
                <w:sz w:val="24"/>
              </w:rPr>
              <w:t xml:space="preserve">□ </w:t>
            </w:r>
            <w:r>
              <w:rPr>
                <w:rFonts w:hAnsi="宋体"/>
                <w:kern w:val="0"/>
                <w:sz w:val="24"/>
              </w:rPr>
              <w:t>分析师会议</w:t>
            </w:r>
          </w:p>
          <w:p w14:paraId="4C6E9A68">
            <w:pPr>
              <w:spacing w:line="420" w:lineRule="exact"/>
              <w:rPr>
                <w:bCs/>
                <w:iCs/>
                <w:color w:val="000000"/>
                <w:kern w:val="0"/>
                <w:sz w:val="24"/>
              </w:rPr>
            </w:pP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rPr>
              <w:t xml:space="preserve"> </w:t>
            </w:r>
            <w:r>
              <w:rPr>
                <w:rFonts w:hint="eastAsia"/>
                <w:bCs/>
                <w:iCs/>
                <w:color w:val="000000"/>
                <w:kern w:val="0"/>
                <w:sz w:val="24"/>
              </w:rPr>
              <w:t xml:space="preserve">□ </w:t>
            </w:r>
            <w:r>
              <w:rPr>
                <w:rFonts w:hAnsi="宋体"/>
                <w:kern w:val="0"/>
                <w:sz w:val="24"/>
              </w:rPr>
              <w:t>业绩说明会</w:t>
            </w:r>
          </w:p>
          <w:p w14:paraId="4A266810">
            <w:pPr>
              <w:spacing w:line="420" w:lineRule="exact"/>
              <w:rPr>
                <w:bCs/>
                <w:iCs/>
                <w:color w:val="000000"/>
                <w:kern w:val="0"/>
                <w:sz w:val="24"/>
              </w:rPr>
            </w:pP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rPr>
              <w:t xml:space="preserve"> </w:t>
            </w:r>
            <w:r>
              <w:rPr>
                <w:rFonts w:hint="eastAsia"/>
                <w:bCs/>
                <w:iCs/>
                <w:color w:val="000000"/>
                <w:kern w:val="0"/>
                <w:sz w:val="24"/>
              </w:rPr>
              <w:t xml:space="preserve">□ </w:t>
            </w:r>
            <w:r>
              <w:rPr>
                <w:rFonts w:hAnsi="宋体"/>
                <w:kern w:val="0"/>
                <w:sz w:val="24"/>
              </w:rPr>
              <w:t>路演活动</w:t>
            </w:r>
          </w:p>
          <w:p w14:paraId="3E731750">
            <w:pPr>
              <w:tabs>
                <w:tab w:val="left" w:pos="3045"/>
                <w:tab w:val="center" w:pos="3199"/>
              </w:tabs>
              <w:spacing w:line="420" w:lineRule="exact"/>
              <w:rPr>
                <w:bCs/>
                <w:iCs/>
                <w:color w:val="000000"/>
                <w:kern w:val="0"/>
                <w:sz w:val="24"/>
              </w:rPr>
            </w:pPr>
            <w:r>
              <w:rPr>
                <w:rFonts w:hint="eastAsia"/>
                <w:bCs/>
                <w:iCs/>
                <w:color w:val="000000"/>
                <w:kern w:val="0"/>
                <w:sz w:val="24"/>
              </w:rPr>
              <w:t xml:space="preserve">□ </w:t>
            </w:r>
            <w:r>
              <w:rPr>
                <w:rFonts w:hAnsi="宋体"/>
                <w:kern w:val="0"/>
                <w:sz w:val="24"/>
              </w:rPr>
              <w:t>现场参观</w:t>
            </w:r>
            <w:r>
              <w:rPr>
                <w:bCs/>
                <w:iCs/>
                <w:color w:val="000000"/>
                <w:kern w:val="0"/>
                <w:sz w:val="24"/>
              </w:rPr>
              <w:tab/>
            </w:r>
          </w:p>
          <w:p w14:paraId="6052284F">
            <w:pPr>
              <w:tabs>
                <w:tab w:val="center" w:pos="3199"/>
              </w:tabs>
              <w:spacing w:line="420" w:lineRule="exact"/>
              <w:rPr>
                <w:bCs/>
                <w:iCs/>
                <w:color w:val="000000"/>
                <w:sz w:val="24"/>
              </w:rPr>
            </w:pPr>
            <w:r>
              <w:rPr>
                <w:rFonts w:hint="eastAsia"/>
                <w:bCs/>
                <w:iCs/>
                <w:color w:val="000000"/>
                <w:kern w:val="0"/>
                <w:sz w:val="24"/>
              </w:rPr>
              <w:t xml:space="preserve">□ </w:t>
            </w:r>
            <w:r>
              <w:rPr>
                <w:rFonts w:hAnsi="宋体"/>
                <w:kern w:val="0"/>
                <w:sz w:val="24"/>
              </w:rPr>
              <w:t>其他</w:t>
            </w:r>
            <w:r>
              <w:rPr>
                <w:kern w:val="0"/>
                <w:sz w:val="24"/>
              </w:rPr>
              <w:t xml:space="preserve"> </w:t>
            </w:r>
          </w:p>
        </w:tc>
      </w:tr>
      <w:tr w14:paraId="5D77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059543E">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3E019328">
            <w:pPr>
              <w:spacing w:line="420" w:lineRule="exact"/>
              <w:rPr>
                <w:bCs/>
                <w:iCs/>
                <w:color w:val="000000"/>
                <w:sz w:val="24"/>
                <w:lang w:val="en-GB"/>
              </w:rPr>
            </w:pPr>
            <w:r>
              <w:rPr>
                <w:rFonts w:hint="eastAsia"/>
                <w:bCs/>
                <w:iCs/>
                <w:color w:val="000000"/>
                <w:sz w:val="24"/>
                <w:lang w:val="en-GB"/>
              </w:rPr>
              <w:t>中信证券、东方财富证券、山西证券、东方阿尔法基金、易米基金、湖北国创高基金、襄阳创投、国通信托、湖北正知资管、弘德资管、明溪资产、红思客资产、深圳泽龙投资、世纪祥峰、湘潭澜起信息咨询、武汉证国私募、武汉博雅承泽私募、安通私募</w:t>
            </w:r>
          </w:p>
        </w:tc>
      </w:tr>
      <w:tr w14:paraId="08BE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4FA57D6">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53088408">
            <w:pPr>
              <w:spacing w:line="420" w:lineRule="exact"/>
              <w:rPr>
                <w:bCs/>
                <w:iCs/>
                <w:color w:val="000000"/>
                <w:sz w:val="24"/>
              </w:rPr>
            </w:pPr>
            <w:r>
              <w:rPr>
                <w:bCs/>
                <w:iCs/>
                <w:color w:val="000000"/>
                <w:sz w:val="24"/>
              </w:rPr>
              <w:t>2024年</w:t>
            </w:r>
            <w:r>
              <w:rPr>
                <w:rFonts w:hint="eastAsia"/>
                <w:bCs/>
                <w:iCs/>
                <w:color w:val="000000"/>
                <w:sz w:val="24"/>
              </w:rPr>
              <w:t>10</w:t>
            </w:r>
            <w:r>
              <w:rPr>
                <w:bCs/>
                <w:iCs/>
                <w:color w:val="000000"/>
                <w:sz w:val="24"/>
              </w:rPr>
              <w:t>月</w:t>
            </w:r>
            <w:r>
              <w:rPr>
                <w:rFonts w:hint="eastAsia"/>
                <w:bCs/>
                <w:iCs/>
                <w:color w:val="000000"/>
                <w:sz w:val="24"/>
              </w:rPr>
              <w:t>9</w:t>
            </w:r>
            <w:r>
              <w:rPr>
                <w:bCs/>
                <w:iCs/>
                <w:color w:val="000000"/>
                <w:sz w:val="24"/>
              </w:rPr>
              <w:t>日 (周</w:t>
            </w:r>
            <w:r>
              <w:rPr>
                <w:rFonts w:hint="eastAsia"/>
                <w:bCs/>
                <w:iCs/>
                <w:color w:val="000000"/>
                <w:sz w:val="24"/>
              </w:rPr>
              <w:t>三</w:t>
            </w:r>
            <w:r>
              <w:rPr>
                <w:bCs/>
                <w:iCs/>
                <w:color w:val="000000"/>
                <w:sz w:val="24"/>
              </w:rPr>
              <w:t>) 下午 1</w:t>
            </w:r>
            <w:r>
              <w:rPr>
                <w:rFonts w:hint="eastAsia"/>
                <w:bCs/>
                <w:iCs/>
                <w:color w:val="000000"/>
                <w:sz w:val="24"/>
              </w:rPr>
              <w:t>3:</w:t>
            </w:r>
            <w:r>
              <w:rPr>
                <w:bCs/>
                <w:iCs/>
                <w:color w:val="000000"/>
                <w:sz w:val="24"/>
              </w:rPr>
              <w:t>30~</w:t>
            </w:r>
            <w:r>
              <w:rPr>
                <w:rFonts w:hint="eastAsia"/>
                <w:bCs/>
                <w:iCs/>
                <w:color w:val="000000"/>
                <w:sz w:val="24"/>
              </w:rPr>
              <w:t>15:00</w:t>
            </w:r>
          </w:p>
        </w:tc>
      </w:tr>
      <w:tr w14:paraId="0C33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7FB32893">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17289D9E">
            <w:pPr>
              <w:spacing w:line="420" w:lineRule="exact"/>
              <w:rPr>
                <w:bCs/>
                <w:iCs/>
                <w:color w:val="000000"/>
                <w:sz w:val="24"/>
              </w:rPr>
            </w:pPr>
            <w:r>
              <w:rPr>
                <w:rFonts w:hint="eastAsia" w:ascii="宋体" w:hAnsi="宋体"/>
                <w:sz w:val="24"/>
              </w:rPr>
              <w:t>线上：电话会议</w:t>
            </w:r>
          </w:p>
        </w:tc>
      </w:tr>
      <w:tr w14:paraId="7BF2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FCCD5DF">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012EDBA7">
            <w:pPr>
              <w:spacing w:line="420" w:lineRule="exact"/>
              <w:rPr>
                <w:rFonts w:hint="eastAsia" w:ascii="宋体" w:hAnsi="宋体"/>
                <w:bCs/>
                <w:sz w:val="24"/>
              </w:rPr>
            </w:pPr>
            <w:r>
              <w:rPr>
                <w:rFonts w:hint="eastAsia" w:ascii="宋体" w:hAnsi="宋体"/>
                <w:bCs/>
                <w:sz w:val="24"/>
              </w:rPr>
              <w:t>1</w:t>
            </w:r>
            <w:r>
              <w:rPr>
                <w:rFonts w:ascii="宋体" w:hAnsi="宋体"/>
                <w:bCs/>
                <w:sz w:val="24"/>
              </w:rPr>
              <w:t>、</w:t>
            </w:r>
            <w:r>
              <w:rPr>
                <w:rFonts w:hint="eastAsia" w:ascii="宋体" w:hAnsi="宋体"/>
                <w:bCs/>
                <w:sz w:val="24"/>
              </w:rPr>
              <w:t>董事、常务副总裁、</w:t>
            </w:r>
            <w:r>
              <w:rPr>
                <w:rFonts w:ascii="宋体" w:hAnsi="宋体"/>
                <w:bCs/>
                <w:sz w:val="24"/>
              </w:rPr>
              <w:t>董事会秘书李凯</w:t>
            </w:r>
          </w:p>
          <w:p w14:paraId="7DAD49BD">
            <w:pPr>
              <w:spacing w:line="420" w:lineRule="exact"/>
              <w:rPr>
                <w:rFonts w:hint="eastAsia" w:ascii="宋体" w:hAnsi="宋体"/>
                <w:bCs/>
                <w:sz w:val="24"/>
              </w:rPr>
            </w:pPr>
            <w:r>
              <w:rPr>
                <w:rFonts w:hint="eastAsia" w:ascii="宋体" w:hAnsi="宋体"/>
                <w:bCs/>
                <w:sz w:val="24"/>
              </w:rPr>
              <w:t>2</w:t>
            </w:r>
            <w:r>
              <w:rPr>
                <w:rFonts w:ascii="宋体" w:hAnsi="宋体"/>
                <w:bCs/>
                <w:sz w:val="24"/>
              </w:rPr>
              <w:t>、财务总监李翔</w:t>
            </w:r>
          </w:p>
        </w:tc>
      </w:tr>
      <w:tr w14:paraId="3921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B1B34F6">
            <w:pPr>
              <w:spacing w:line="420" w:lineRule="exact"/>
              <w:rPr>
                <w:rFonts w:hint="eastAsia" w:hAnsi="宋体"/>
                <w:bCs/>
                <w:iCs/>
                <w:color w:val="000000"/>
                <w:kern w:val="0"/>
                <w:sz w:val="24"/>
              </w:rPr>
            </w:pPr>
            <w:r>
              <w:rPr>
                <w:rFonts w:hint="eastAsia" w:hAnsi="宋体"/>
                <w:bCs/>
                <w:iCs/>
                <w:color w:val="000000"/>
                <w:kern w:val="0"/>
                <w:sz w:val="24"/>
              </w:rPr>
              <w:t>投资者关系活动主要内容介绍</w:t>
            </w:r>
          </w:p>
        </w:tc>
        <w:tc>
          <w:tcPr>
            <w:tcW w:w="6847" w:type="dxa"/>
            <w:tcBorders>
              <w:top w:val="single" w:color="auto" w:sz="4" w:space="0"/>
              <w:left w:val="single" w:color="auto" w:sz="4" w:space="0"/>
              <w:bottom w:val="single" w:color="auto" w:sz="4" w:space="0"/>
              <w:right w:val="single" w:color="auto" w:sz="4" w:space="0"/>
            </w:tcBorders>
            <w:vAlign w:val="center"/>
          </w:tcPr>
          <w:p w14:paraId="2CC2F76B">
            <w:pPr>
              <w:spacing w:line="420" w:lineRule="exact"/>
              <w:ind w:firstLine="482" w:firstLineChars="200"/>
              <w:rPr>
                <w:rFonts w:hint="eastAsia" w:ascii="宋体" w:hAnsi="宋体"/>
                <w:b/>
                <w:sz w:val="24"/>
              </w:rPr>
            </w:pPr>
            <w:r>
              <w:rPr>
                <w:rFonts w:hint="eastAsia" w:ascii="宋体" w:hAnsi="宋体"/>
                <w:b/>
                <w:sz w:val="24"/>
              </w:rPr>
              <w:t>一、基本情况介绍</w:t>
            </w:r>
          </w:p>
          <w:p w14:paraId="5B82DF9A">
            <w:pPr>
              <w:spacing w:before="62" w:beforeLines="20" w:after="62" w:afterLines="20" w:line="360" w:lineRule="auto"/>
              <w:ind w:firstLine="480" w:firstLineChars="200"/>
              <w:rPr>
                <w:sz w:val="24"/>
                <w:szCs w:val="32"/>
              </w:rPr>
            </w:pPr>
            <w:r>
              <w:rPr>
                <w:rFonts w:hint="eastAsia"/>
                <w:sz w:val="24"/>
                <w:szCs w:val="32"/>
              </w:rPr>
              <w:t>中安科股份有限公司</w:t>
            </w:r>
            <w:r>
              <w:rPr>
                <w:sz w:val="24"/>
                <w:szCs w:val="32"/>
              </w:rPr>
              <w:t>作为专业的安防安保综合运营服务商，现已形成安保综合运营服务、智慧城市系统集成、智能安防产品制造三大业务格局，</w:t>
            </w:r>
            <w:r>
              <w:rPr>
                <w:rFonts w:hint="eastAsia"/>
                <w:sz w:val="24"/>
                <w:szCs w:val="32"/>
              </w:rPr>
              <w:t>并</w:t>
            </w:r>
            <w:r>
              <w:rPr>
                <w:sz w:val="24"/>
                <w:szCs w:val="32"/>
              </w:rPr>
              <w:t>逐步探索以智算中心为代表的人工智能新兴业务。公司安保综合运营服务覆盖香港、澳门、泰国和大洋洲，智慧城市系统集成服务和智能安防产品主要面向国内重点城市，业务足迹遍布亚太</w:t>
            </w:r>
            <w:r>
              <w:rPr>
                <w:rFonts w:hint="eastAsia"/>
                <w:sz w:val="24"/>
                <w:szCs w:val="32"/>
              </w:rPr>
              <w:t>；公司</w:t>
            </w:r>
            <w:r>
              <w:rPr>
                <w:sz w:val="24"/>
                <w:szCs w:val="32"/>
              </w:rPr>
              <w:t>产品和服务广泛应用于医疗、交通、科教、地产、家居、网络安全等领域，能够为客户提供覆盖</w:t>
            </w:r>
            <w:r>
              <w:rPr>
                <w:rFonts w:hint="eastAsia"/>
                <w:sz w:val="24"/>
                <w:szCs w:val="32"/>
              </w:rPr>
              <w:t>“</w:t>
            </w:r>
            <w:r>
              <w:rPr>
                <w:sz w:val="24"/>
                <w:szCs w:val="32"/>
              </w:rPr>
              <w:t>工业安全、信息安全、人身安全</w:t>
            </w:r>
            <w:r>
              <w:rPr>
                <w:rFonts w:hint="eastAsia"/>
                <w:sz w:val="24"/>
                <w:szCs w:val="32"/>
              </w:rPr>
              <w:t>”的</w:t>
            </w:r>
            <w:r>
              <w:rPr>
                <w:sz w:val="24"/>
                <w:szCs w:val="32"/>
              </w:rPr>
              <w:t>一体化解决方案。</w:t>
            </w:r>
          </w:p>
          <w:p w14:paraId="46C8F774">
            <w:pPr>
              <w:spacing w:before="62" w:beforeLines="20" w:after="62" w:afterLines="20" w:line="360" w:lineRule="auto"/>
              <w:ind w:firstLine="480" w:firstLineChars="200"/>
              <w:rPr>
                <w:sz w:val="24"/>
                <w:szCs w:val="32"/>
              </w:rPr>
            </w:pPr>
            <w:r>
              <w:rPr>
                <w:rFonts w:hint="eastAsia"/>
                <w:sz w:val="24"/>
                <w:szCs w:val="32"/>
              </w:rPr>
              <w:t>2024年是公司发展史上具有里程碑意义的一年。上半年，公司股票顺利实现“摘帽”，结束了长达8年的风险警示长跑；同时，公司各项业务发展实现了量的合理增长和质的有效提升，向广大投资者交上了一份合格的中期业绩答卷。</w:t>
            </w:r>
          </w:p>
          <w:p w14:paraId="1156EDB6">
            <w:pPr>
              <w:spacing w:line="360" w:lineRule="auto"/>
              <w:ind w:firstLine="480" w:firstLineChars="200"/>
              <w:rPr>
                <w:sz w:val="24"/>
                <w:szCs w:val="32"/>
              </w:rPr>
            </w:pPr>
            <w:r>
              <w:rPr>
                <w:sz w:val="24"/>
                <w:szCs w:val="32"/>
              </w:rPr>
              <w:t>2024年上半年，</w:t>
            </w:r>
            <w:r>
              <w:rPr>
                <w:rFonts w:hint="eastAsia"/>
                <w:sz w:val="24"/>
                <w:szCs w:val="32"/>
              </w:rPr>
              <w:t>公司</w:t>
            </w:r>
            <w:r>
              <w:rPr>
                <w:sz w:val="24"/>
                <w:szCs w:val="32"/>
              </w:rPr>
              <w:t>实现营业收入13.14亿元，同比增长3.43%；归属于上市公司股东的净利润达到2,509.1万元，较上年同期大幅增长了503.1%；归属于上市公司股东的所有者权益达到16.23亿元，较上年同期增长2.09%。</w:t>
            </w:r>
            <w:r>
              <w:rPr>
                <w:rFonts w:hint="eastAsia"/>
                <w:sz w:val="24"/>
                <w:szCs w:val="32"/>
              </w:rPr>
              <w:t>特别</w:t>
            </w:r>
            <w:r>
              <w:rPr>
                <w:sz w:val="24"/>
                <w:szCs w:val="32"/>
              </w:rPr>
              <w:t>是，得益于境外安保综合服务业务的快速增长，</w:t>
            </w:r>
            <w:r>
              <w:rPr>
                <w:rFonts w:hint="eastAsia"/>
                <w:sz w:val="24"/>
                <w:szCs w:val="32"/>
              </w:rPr>
              <w:t>公司今年</w:t>
            </w:r>
            <w:r>
              <w:rPr>
                <w:sz w:val="24"/>
                <w:szCs w:val="32"/>
              </w:rPr>
              <w:t>第二季度实现营业收入7.02亿元，不仅较第一季度增长14.79%，</w:t>
            </w:r>
            <w:r>
              <w:rPr>
                <w:rFonts w:hint="eastAsia"/>
                <w:sz w:val="24"/>
                <w:szCs w:val="32"/>
              </w:rPr>
              <w:t>且</w:t>
            </w:r>
            <w:r>
              <w:rPr>
                <w:sz w:val="24"/>
                <w:szCs w:val="32"/>
              </w:rPr>
              <w:t>相比去年同期实现了13.89%的高增长</w:t>
            </w:r>
            <w:r>
              <w:rPr>
                <w:rFonts w:hint="eastAsia"/>
                <w:sz w:val="24"/>
                <w:szCs w:val="32"/>
              </w:rPr>
              <w:t>，发展势头良好</w:t>
            </w:r>
            <w:r>
              <w:rPr>
                <w:sz w:val="24"/>
                <w:szCs w:val="32"/>
              </w:rPr>
              <w:t>。</w:t>
            </w:r>
            <w:r>
              <w:rPr>
                <w:rFonts w:hint="eastAsia"/>
                <w:sz w:val="24"/>
                <w:szCs w:val="32"/>
              </w:rPr>
              <w:t>同时，</w:t>
            </w:r>
            <w:r>
              <w:rPr>
                <w:sz w:val="24"/>
                <w:szCs w:val="32"/>
              </w:rPr>
              <w:t>经营活动产生的现金流量净额</w:t>
            </w:r>
            <w:r>
              <w:rPr>
                <w:rFonts w:hint="eastAsia"/>
                <w:sz w:val="24"/>
                <w:szCs w:val="32"/>
              </w:rPr>
              <w:t>达到</w:t>
            </w:r>
            <w:r>
              <w:rPr>
                <w:sz w:val="24"/>
                <w:szCs w:val="32"/>
              </w:rPr>
              <w:t>4,525.6万元，现金流状况持续为正，</w:t>
            </w:r>
            <w:r>
              <w:rPr>
                <w:rFonts w:hint="eastAsia"/>
                <w:sz w:val="24"/>
                <w:szCs w:val="32"/>
              </w:rPr>
              <w:t>资产结构持续优化，</w:t>
            </w:r>
            <w:r>
              <w:rPr>
                <w:sz w:val="24"/>
                <w:szCs w:val="32"/>
              </w:rPr>
              <w:t>公司</w:t>
            </w:r>
            <w:r>
              <w:rPr>
                <w:rFonts w:hint="eastAsia"/>
                <w:sz w:val="24"/>
                <w:szCs w:val="32"/>
              </w:rPr>
              <w:t>整体</w:t>
            </w:r>
            <w:r>
              <w:rPr>
                <w:sz w:val="24"/>
                <w:szCs w:val="32"/>
              </w:rPr>
              <w:t>经营</w:t>
            </w:r>
            <w:r>
              <w:rPr>
                <w:rFonts w:hint="eastAsia"/>
                <w:sz w:val="24"/>
                <w:szCs w:val="32"/>
              </w:rPr>
              <w:t>状况</w:t>
            </w:r>
            <w:r>
              <w:rPr>
                <w:sz w:val="24"/>
                <w:szCs w:val="32"/>
              </w:rPr>
              <w:t>持续改善，稳步实现高质量发展。</w:t>
            </w:r>
          </w:p>
          <w:p w14:paraId="1089277A">
            <w:pPr>
              <w:pStyle w:val="17"/>
              <w:numPr>
                <w:ilvl w:val="0"/>
                <w:numId w:val="1"/>
              </w:numPr>
              <w:spacing w:line="420" w:lineRule="exact"/>
              <w:ind w:firstLineChars="0"/>
              <w:rPr>
                <w:b/>
                <w:bCs/>
                <w:sz w:val="24"/>
                <w:szCs w:val="32"/>
              </w:rPr>
            </w:pPr>
            <w:r>
              <w:rPr>
                <w:rFonts w:hint="eastAsia"/>
                <w:b/>
                <w:bCs/>
                <w:sz w:val="24"/>
                <w:szCs w:val="32"/>
              </w:rPr>
              <w:t>投资者互动环节</w:t>
            </w:r>
          </w:p>
          <w:p w14:paraId="34A61351">
            <w:pPr>
              <w:spacing w:line="360" w:lineRule="auto"/>
              <w:ind w:firstLine="482" w:firstLineChars="200"/>
              <w:rPr>
                <w:b/>
                <w:bCs/>
                <w:sz w:val="24"/>
              </w:rPr>
            </w:pPr>
            <w:r>
              <w:rPr>
                <w:rFonts w:hint="eastAsia"/>
                <w:b/>
                <w:bCs/>
                <w:sz w:val="24"/>
              </w:rPr>
              <w:t>1、公司半年度经营业绩改善的主要原因是什么？</w:t>
            </w:r>
            <w:r>
              <w:rPr>
                <w:b/>
                <w:bCs/>
                <w:sz w:val="24"/>
              </w:rPr>
              <w:t xml:space="preserve"> </w:t>
            </w:r>
          </w:p>
          <w:p w14:paraId="623FDEA5">
            <w:pPr>
              <w:spacing w:line="360" w:lineRule="auto"/>
              <w:ind w:firstLine="480" w:firstLineChars="200"/>
              <w:rPr>
                <w:sz w:val="24"/>
              </w:rPr>
            </w:pPr>
            <w:r>
              <w:rPr>
                <w:rFonts w:hint="eastAsia"/>
                <w:sz w:val="24"/>
              </w:rPr>
              <w:t>回复：经营业绩改善的主要原因是上半年境外经济活动恢复良好，公司一方面积极开拓市场业务，持续提高业务水平和服务质量，在泰国、香港等国家和地区调整了竞争策略，在零售安保领域新中标一些重点客户，有效改善了业务收入及经营利润；另一方面公司持续优化管理结构，调整海外的管理团队，加强了总部直管，提高了日常沟通效率，上半年公司境外特别是香港地区安保综合运营服务业务的收入和利润得到了较好的增长。</w:t>
            </w:r>
            <w:r>
              <w:rPr>
                <w:sz w:val="24"/>
              </w:rPr>
              <w:t>同时，公司努力践行董事会的发展战略，积极优化产业布局，完善公司治理，强化主业市场地位，加速业务协同，培育新兴动能，保障了主营业务持续增长的良好态势。</w:t>
            </w:r>
          </w:p>
          <w:p w14:paraId="7D592024">
            <w:pPr>
              <w:spacing w:line="360" w:lineRule="auto"/>
              <w:ind w:firstLine="480" w:firstLineChars="200"/>
              <w:rPr>
                <w:sz w:val="24"/>
              </w:rPr>
            </w:pPr>
            <w:r>
              <w:rPr>
                <w:rFonts w:hint="eastAsia"/>
                <w:sz w:val="24"/>
              </w:rPr>
              <w:t>近两年来，公司各项经营数据逐年攀升，经营情况已持续改善。公司在2023年年报问询函回复中详细列示了近两年逐个季度的财务数据情况。2023年营业收入、净利润、扣除非经常性损益的净利润、经营性现金流同比2022年均有较大幅度的增长，同时，各季度环比数据也呈现持续上升态势。2024年上半年，扣除非经常性损益、除去股权激励摊销费用影响后的经营性净利润也顺利转正，公司整体经营情况持续好转。</w:t>
            </w:r>
          </w:p>
          <w:p w14:paraId="474D4013">
            <w:pPr>
              <w:spacing w:line="360" w:lineRule="auto"/>
              <w:ind w:firstLine="482" w:firstLineChars="200"/>
              <w:rPr>
                <w:b/>
                <w:bCs/>
                <w:sz w:val="24"/>
              </w:rPr>
            </w:pPr>
            <w:r>
              <w:rPr>
                <w:rFonts w:hint="eastAsia"/>
                <w:b/>
                <w:bCs/>
                <w:sz w:val="24"/>
              </w:rPr>
              <w:t>2、公司在香港地区安保综合运营业务增长的主要原因？未来综合安保业务发展的布局情况。</w:t>
            </w:r>
          </w:p>
          <w:p w14:paraId="799FF476">
            <w:pPr>
              <w:pStyle w:val="17"/>
              <w:spacing w:line="360" w:lineRule="auto"/>
              <w:ind w:firstLine="480"/>
              <w:rPr>
                <w:sz w:val="24"/>
              </w:rPr>
            </w:pPr>
            <w:r>
              <w:rPr>
                <w:rFonts w:hint="eastAsia"/>
                <w:sz w:val="24"/>
              </w:rPr>
              <w:t>回复：公司在香港地区不仅维持了原有的麦当劳市场份额及新开拓的莎莎、屈臣氏等重要客户，还成功中标香港地铁武装押运业务，并且因公司在香港市场最大的安保竞争对手被美国制裁，无法在香港地区继续开展安保运营业务，其客户群体基于公司“</w:t>
            </w:r>
            <w:r>
              <w:rPr>
                <w:sz w:val="24"/>
              </w:rPr>
              <w:t>Guardfore</w:t>
            </w:r>
            <w:r>
              <w:rPr>
                <w:rFonts w:hint="eastAsia"/>
                <w:sz w:val="24"/>
              </w:rPr>
              <w:t>”品牌的良好口碑，主动与公司寻求合作，公司抢抓机遇，大幅扩容香港的安保运营业务市场，其收入及经营利润实现了较大的增长。</w:t>
            </w:r>
          </w:p>
          <w:p w14:paraId="087251B9">
            <w:pPr>
              <w:pStyle w:val="17"/>
              <w:spacing w:line="360" w:lineRule="auto"/>
              <w:ind w:firstLine="480"/>
              <w:rPr>
                <w:sz w:val="24"/>
              </w:rPr>
            </w:pPr>
            <w:r>
              <w:rPr>
                <w:rFonts w:hint="eastAsia"/>
                <w:sz w:val="24"/>
              </w:rPr>
              <w:t>公司是国内A股市场上唯一一家布局境外安保综合服务业务的上市公司，境外各子公司深耕安保综合运营服务行业几十年，在境外拥有安保人员万余名，</w:t>
            </w:r>
            <w:r>
              <w:rPr>
                <w:sz w:val="24"/>
              </w:rPr>
              <w:t>公司在境外各当地零售、交通、金融等行业及政府机构积累了大量优质、稳定客户</w:t>
            </w:r>
            <w:r>
              <w:rPr>
                <w:rFonts w:hint="eastAsia"/>
                <w:sz w:val="24"/>
              </w:rPr>
              <w:t>。未来公司将继续</w:t>
            </w:r>
            <w:r>
              <w:rPr>
                <w:sz w:val="24"/>
              </w:rPr>
              <w:t>深度挖掘海外市场潜力</w:t>
            </w:r>
            <w:r>
              <w:rPr>
                <w:rFonts w:hint="eastAsia"/>
                <w:sz w:val="24"/>
              </w:rPr>
              <w:t>：一是，继续</w:t>
            </w:r>
            <w:r>
              <w:rPr>
                <w:sz w:val="24"/>
              </w:rPr>
              <w:t>响应“一带一路”发展需要，</w:t>
            </w:r>
            <w:r>
              <w:rPr>
                <w:rFonts w:hint="eastAsia"/>
                <w:sz w:val="24"/>
              </w:rPr>
              <w:t>基于公司“G</w:t>
            </w:r>
            <w:r>
              <w:rPr>
                <w:sz w:val="24"/>
              </w:rPr>
              <w:t>uardfore</w:t>
            </w:r>
            <w:r>
              <w:rPr>
                <w:rFonts w:hint="eastAsia"/>
                <w:sz w:val="24"/>
              </w:rPr>
              <w:t>”的海外安保品牌</w:t>
            </w:r>
            <w:r>
              <w:rPr>
                <w:sz w:val="24"/>
              </w:rPr>
              <w:t>，力争在东南亚</w:t>
            </w:r>
            <w:r>
              <w:rPr>
                <w:rFonts w:hint="eastAsia"/>
                <w:sz w:val="24"/>
              </w:rPr>
              <w:t>、中东等</w:t>
            </w:r>
            <w:r>
              <w:rPr>
                <w:sz w:val="24"/>
              </w:rPr>
              <w:t>地区</w:t>
            </w:r>
            <w:r>
              <w:rPr>
                <w:rFonts w:hint="eastAsia"/>
                <w:sz w:val="24"/>
              </w:rPr>
              <w:t>通过并购等方式迅速拓展业务，为中资企业的海外拓展助力护航，同时进一步扩大“G</w:t>
            </w:r>
            <w:r>
              <w:rPr>
                <w:sz w:val="24"/>
              </w:rPr>
              <w:t>uardfore</w:t>
            </w:r>
            <w:r>
              <w:rPr>
                <w:rFonts w:hint="eastAsia"/>
                <w:sz w:val="24"/>
              </w:rPr>
              <w:t>”服务版图；二是，围绕海外优质客户资源，结合境内成熟的智慧城市系统产业优势，形成高效联动，将境内成熟的智慧安防、电子监控的产品和技术向海外优质客户推广，为客户提供专业的智能化设备及智慧城市整体解决方案，进一步提升公司境外安保运营服务的综合竞争力。</w:t>
            </w:r>
          </w:p>
          <w:p w14:paraId="63320C7A">
            <w:pPr>
              <w:spacing w:line="360" w:lineRule="auto"/>
              <w:ind w:firstLine="482" w:firstLineChars="200"/>
              <w:rPr>
                <w:b/>
                <w:bCs/>
                <w:sz w:val="24"/>
              </w:rPr>
            </w:pPr>
            <w:r>
              <w:rPr>
                <w:rFonts w:hint="eastAsia"/>
                <w:b/>
                <w:bCs/>
                <w:sz w:val="24"/>
              </w:rPr>
              <w:t>3、公司的卫安品牌在境外地区经营多年，已拥有较高的市场占有率，与国内企业出海相比其竞争优势体现在哪些方面？</w:t>
            </w:r>
          </w:p>
          <w:p w14:paraId="4804279A">
            <w:pPr>
              <w:spacing w:line="360" w:lineRule="auto"/>
              <w:ind w:firstLine="480" w:firstLineChars="200"/>
              <w:rPr>
                <w:b/>
                <w:bCs/>
                <w:sz w:val="24"/>
              </w:rPr>
            </w:pPr>
            <w:r>
              <w:rPr>
                <w:rFonts w:hint="eastAsia"/>
                <w:sz w:val="24"/>
              </w:rPr>
              <w:t>回复：公司境外子公司均是公司在2015-2016年期间通过并购方式进行的100%股权收购。境外子公司完成并购前已在本土深耕安保综合运营服务行业几十年，拥有了较高的市场占有率和品牌知名度，在本地形成了相对成熟的商业运营模式和稳定庞大的客户群体。公司完成并购后保留了完整的本土管理团队和商业运营模式，最大程度避免了日常开展业务的地域性阻力，公司在完成并购后也通过优质的管理方案进一步提升了“Guardfore”的海外安保品牌优势。随着国际形势的不断变化，海外综合安保服务行业也将面临巨大的挑战，公司“Guardfore”的品牌优势、成熟完整的商业经营模式和庞大稳定的客户群体能为公司高质量发展提供有力保障。</w:t>
            </w:r>
          </w:p>
          <w:p w14:paraId="24B5ED9E">
            <w:pPr>
              <w:spacing w:line="360" w:lineRule="auto"/>
              <w:ind w:firstLine="482" w:firstLineChars="200"/>
              <w:rPr>
                <w:b/>
                <w:bCs/>
                <w:sz w:val="24"/>
              </w:rPr>
            </w:pPr>
            <w:r>
              <w:rPr>
                <w:rFonts w:hint="eastAsia"/>
                <w:b/>
                <w:bCs/>
                <w:sz w:val="24"/>
              </w:rPr>
              <w:t>4、目前国内系统集成业务整体大环境较差的情况下，公司如何转型，公司目前的算力、人工智能业务的布局是什么考虑？</w:t>
            </w:r>
          </w:p>
          <w:p w14:paraId="23B039AB">
            <w:pPr>
              <w:spacing w:line="360" w:lineRule="auto"/>
              <w:ind w:firstLine="480" w:firstLineChars="200"/>
              <w:rPr>
                <w:sz w:val="24"/>
              </w:rPr>
            </w:pPr>
            <w:r>
              <w:rPr>
                <w:rFonts w:hint="eastAsia"/>
                <w:sz w:val="24"/>
              </w:rPr>
              <w:t>回复：受国家建筑行业周期性影响，传统的交通、园区和楼宇智能化的项目业务量在逐步降低，但是医疗、医院项目建设的投入正在增加，同时随着人工智能产业的迅猛发展，在高密机房、算力基础设施等领域的投资建设投入也迅速增加，公司将结合传统智慧医疗和网络信息安全方面的优势，逐步调整国内业务方向，重点布局智慧医疗和网络信息安全领域。</w:t>
            </w:r>
          </w:p>
          <w:p w14:paraId="5D0E8FF4">
            <w:pPr>
              <w:spacing w:line="360" w:lineRule="auto"/>
              <w:ind w:firstLine="480" w:firstLineChars="200"/>
              <w:rPr>
                <w:sz w:val="24"/>
              </w:rPr>
            </w:pPr>
            <w:r>
              <w:rPr>
                <w:rFonts w:hint="eastAsia"/>
                <w:sz w:val="24"/>
              </w:rPr>
              <w:t>2</w:t>
            </w:r>
            <w:r>
              <w:rPr>
                <w:sz w:val="24"/>
              </w:rPr>
              <w:t>023</w:t>
            </w:r>
            <w:r>
              <w:rPr>
                <w:rFonts w:hint="eastAsia"/>
                <w:sz w:val="24"/>
              </w:rPr>
              <w:t>年以来，公司逐步且快速地加大对医院信息化和净化项目的资源投入，此举已显现出积极的成效，在很大程度上弥补了传统智能化领域业务量萎缩的不足。</w:t>
            </w:r>
          </w:p>
          <w:p w14:paraId="659FC243">
            <w:pPr>
              <w:spacing w:line="360" w:lineRule="auto"/>
              <w:ind w:firstLine="480" w:firstLineChars="200"/>
              <w:rPr>
                <w:sz w:val="24"/>
              </w:rPr>
            </w:pPr>
            <w:r>
              <w:rPr>
                <w:rFonts w:hint="eastAsia"/>
                <w:sz w:val="24"/>
              </w:rPr>
              <w:t>算力中心及人工智能业务本质是上市公司主营业务的衍生，传统智能化项目中都有数据机房以及相应的系统开发及应用内容。公司主营业务中也包括大型数据中心、存储机房等项目建设。随着人工智能产业发展，公司也高度重视人工智能产业对上市公司未来产业赋能的机遇，因此公司2</w:t>
            </w:r>
            <w:r>
              <w:rPr>
                <w:sz w:val="24"/>
              </w:rPr>
              <w:t>023</w:t>
            </w:r>
            <w:r>
              <w:rPr>
                <w:rFonts w:hint="eastAsia"/>
                <w:sz w:val="24"/>
              </w:rPr>
              <w:t>年下半年</w:t>
            </w:r>
            <w:r>
              <w:rPr>
                <w:sz w:val="24"/>
              </w:rPr>
              <w:t>联合</w:t>
            </w:r>
            <w:r>
              <w:rPr>
                <w:rFonts w:hint="eastAsia"/>
                <w:sz w:val="24"/>
              </w:rPr>
              <w:t>武汉大学共建</w:t>
            </w:r>
            <w:r>
              <w:rPr>
                <w:sz w:val="24"/>
              </w:rPr>
              <w:t>人工智能研究院</w:t>
            </w:r>
            <w:r>
              <w:rPr>
                <w:rFonts w:hint="eastAsia"/>
                <w:sz w:val="24"/>
              </w:rPr>
              <w:t>。</w:t>
            </w:r>
          </w:p>
          <w:p w14:paraId="62F58E83">
            <w:pPr>
              <w:spacing w:line="360" w:lineRule="auto"/>
              <w:ind w:firstLine="480" w:firstLineChars="200"/>
              <w:rPr>
                <w:sz w:val="24"/>
              </w:rPr>
            </w:pPr>
            <w:r>
              <w:rPr>
                <w:rFonts w:hint="eastAsia"/>
                <w:sz w:val="24"/>
              </w:rPr>
              <w:t>公司通过与高校合作</w:t>
            </w:r>
            <w:r>
              <w:rPr>
                <w:sz w:val="24"/>
              </w:rPr>
              <w:t>，</w:t>
            </w:r>
            <w:r>
              <w:rPr>
                <w:rFonts w:hint="eastAsia"/>
                <w:sz w:val="24"/>
              </w:rPr>
              <w:t>实现快速</w:t>
            </w:r>
            <w:r>
              <w:rPr>
                <w:sz w:val="24"/>
              </w:rPr>
              <w:t>布局人工智能应用场景</w:t>
            </w:r>
            <w:r>
              <w:rPr>
                <w:rFonts w:hint="eastAsia"/>
                <w:sz w:val="24"/>
              </w:rPr>
              <w:t>的</w:t>
            </w:r>
            <w:r>
              <w:rPr>
                <w:sz w:val="24"/>
              </w:rPr>
              <w:t>深度开发；</w:t>
            </w:r>
            <w:r>
              <w:rPr>
                <w:rFonts w:hint="eastAsia"/>
                <w:sz w:val="24"/>
              </w:rPr>
              <w:t>结合与武汉大学-中安科</w:t>
            </w:r>
            <w:r>
              <w:rPr>
                <w:sz w:val="24"/>
              </w:rPr>
              <w:t>人工智能研究院人才和技术优势</w:t>
            </w:r>
            <w:r>
              <w:rPr>
                <w:rFonts w:hint="eastAsia"/>
                <w:sz w:val="24"/>
              </w:rPr>
              <w:t>，</w:t>
            </w:r>
            <w:r>
              <w:rPr>
                <w:sz w:val="24"/>
              </w:rPr>
              <w:t>在具有传统优势的智慧城市系统集</w:t>
            </w:r>
            <w:r>
              <w:rPr>
                <w:rFonts w:hint="eastAsia"/>
                <w:sz w:val="24"/>
              </w:rPr>
              <w:t>成</w:t>
            </w:r>
            <w:r>
              <w:rPr>
                <w:sz w:val="24"/>
              </w:rPr>
              <w:t>领域，通过委托开发、联合开发的方式</w:t>
            </w:r>
            <w:r>
              <w:rPr>
                <w:rFonts w:hint="eastAsia"/>
                <w:sz w:val="24"/>
              </w:rPr>
              <w:t>，深化人工智能技术在行业端的垂直应用。</w:t>
            </w:r>
          </w:p>
          <w:p w14:paraId="38162BE4">
            <w:pPr>
              <w:spacing w:line="360" w:lineRule="auto"/>
              <w:ind w:firstLine="480" w:firstLineChars="200"/>
              <w:rPr>
                <w:sz w:val="24"/>
              </w:rPr>
            </w:pPr>
            <w:r>
              <w:rPr>
                <w:rFonts w:hint="eastAsia"/>
                <w:sz w:val="24"/>
              </w:rPr>
              <w:t>为了持续深入布局人工智能产业，公司2</w:t>
            </w:r>
            <w:r>
              <w:rPr>
                <w:sz w:val="24"/>
              </w:rPr>
              <w:t>024</w:t>
            </w:r>
            <w:r>
              <w:rPr>
                <w:rFonts w:hint="eastAsia"/>
                <w:sz w:val="24"/>
              </w:rPr>
              <w:t>年上半年与江苏宜兴市共同投资建设“宜兴市人工智能算力中心”，拟通过高校、政府、企业联合合作的方式，探索在人工智能技术在数据产业领域的垂直应用，聚焦智慧城市领域的垂直应用和政府类数据资产入表等市场机遇。</w:t>
            </w:r>
          </w:p>
          <w:p w14:paraId="440A85DE">
            <w:pPr>
              <w:spacing w:line="360" w:lineRule="auto"/>
              <w:ind w:firstLine="480" w:firstLineChars="200"/>
              <w:rPr>
                <w:sz w:val="24"/>
              </w:rPr>
            </w:pPr>
            <w:r>
              <w:rPr>
                <w:rFonts w:hint="eastAsia"/>
                <w:sz w:val="24"/>
              </w:rPr>
              <w:t>在智能产品制造领域，公司重点聚焦人工智能产品的研发与应用突破，并深度结合市场需求，推动智能化产业升级，为公司未来国内的智能化业务赋能，以此继续拓宽与华为、大华、海康威视、霍尼韦尔、融创等业界知名品牌的合作范围。未来，公司将积极整合在各领域的差异化优势，强化境内外业务产业协同，从而提升公司整体核心竞争能力。</w:t>
            </w:r>
          </w:p>
          <w:p w14:paraId="540DB131">
            <w:pPr>
              <w:spacing w:line="360" w:lineRule="auto"/>
              <w:ind w:firstLine="482" w:firstLineChars="200"/>
              <w:rPr>
                <w:b/>
                <w:bCs/>
                <w:sz w:val="24"/>
              </w:rPr>
            </w:pPr>
            <w:r>
              <w:rPr>
                <w:rFonts w:hint="eastAsia"/>
                <w:b/>
                <w:bCs/>
                <w:sz w:val="24"/>
              </w:rPr>
              <w:t>5、控股股东所持股份被多次拍卖，是否会导致公司控制权的变更？</w:t>
            </w:r>
          </w:p>
          <w:p w14:paraId="1BE31798">
            <w:pPr>
              <w:spacing w:line="360" w:lineRule="auto"/>
              <w:ind w:firstLine="482" w:firstLineChars="200"/>
              <w:rPr>
                <w:sz w:val="24"/>
              </w:rPr>
            </w:pPr>
            <w:r>
              <w:rPr>
                <w:rFonts w:hint="eastAsia"/>
                <w:b/>
                <w:bCs/>
                <w:sz w:val="24"/>
              </w:rPr>
              <w:t>回复：</w:t>
            </w:r>
            <w:r>
              <w:rPr>
                <w:rFonts w:hint="eastAsia"/>
                <w:sz w:val="24"/>
              </w:rPr>
              <w:t>目前公司实际控制人仍为中恒汇志，因其所持股份被多次拍卖，目前其持股比例为</w:t>
            </w:r>
            <w:r>
              <w:rPr>
                <w:sz w:val="24"/>
              </w:rPr>
              <w:t>13.98%</w:t>
            </w:r>
            <w:r>
              <w:rPr>
                <w:rFonts w:hint="eastAsia"/>
                <w:sz w:val="24"/>
              </w:rPr>
              <w:t>，为公司第二大股东。中恒汇志因其自身历史债务原因，面临多起诉讼，后续或将涉及多起拍卖，其所持公司股份均为限售流通股，相关受让方通过法拍承接其股票仍为限售流通股。因中恒汇志尚存在与重大资产重组、与资产收购相关的业绩承诺补偿未完成的情况，后续控股股东是否变更存在一定的不确定性。如公司控股股东发生变动，公司将严格按照《上海证券交易所股票上市规则》等法律法规履行信息披露义务</w:t>
            </w:r>
            <w:r>
              <w:rPr>
                <w:sz w:val="24"/>
              </w:rPr>
              <w:t>。</w:t>
            </w:r>
          </w:p>
          <w:p w14:paraId="720CEF04">
            <w:pPr>
              <w:spacing w:line="360" w:lineRule="auto"/>
              <w:ind w:firstLine="482" w:firstLineChars="200"/>
              <w:rPr>
                <w:b/>
                <w:bCs/>
                <w:sz w:val="24"/>
              </w:rPr>
            </w:pPr>
            <w:r>
              <w:rPr>
                <w:rFonts w:hint="eastAsia"/>
                <w:b/>
                <w:bCs/>
                <w:sz w:val="24"/>
              </w:rPr>
              <w:t>6、公司9月25日-26日连续发生两笔大宗交易累计成交8048.07万股的具体情况？</w:t>
            </w:r>
          </w:p>
          <w:p w14:paraId="753A739F">
            <w:pPr>
              <w:spacing w:line="360" w:lineRule="auto"/>
              <w:ind w:firstLine="480" w:firstLineChars="200"/>
              <w:rPr>
                <w:sz w:val="24"/>
              </w:rPr>
            </w:pPr>
            <w:r>
              <w:rPr>
                <w:rFonts w:hint="eastAsia"/>
                <w:sz w:val="24"/>
              </w:rPr>
              <w:t>回复：据公司了解，该两笔大宗交易为公司持股5%以下股东之间的交易。且根据交易所相关规定，大股东或特定股东通过大宗交易减持股份，</w:t>
            </w:r>
            <w:r>
              <w:rPr>
                <w:sz w:val="24"/>
              </w:rPr>
              <w:t>受让方6个月内不得减持受让股份</w:t>
            </w:r>
            <w:r>
              <w:rPr>
                <w:rFonts w:hint="eastAsia"/>
                <w:sz w:val="24"/>
              </w:rPr>
              <w:t>。此次大宗交易客观上不会对上市公司股价产生重大影响，</w:t>
            </w:r>
            <w:r>
              <w:rPr>
                <w:sz w:val="24"/>
              </w:rPr>
              <w:t>其所持股份减持不涉及相关信息披露</w:t>
            </w:r>
            <w:r>
              <w:rPr>
                <w:rFonts w:hint="eastAsia"/>
                <w:sz w:val="24"/>
              </w:rPr>
              <w:t>。</w:t>
            </w:r>
          </w:p>
          <w:p w14:paraId="5E728EAD">
            <w:pPr>
              <w:spacing w:line="360" w:lineRule="auto"/>
              <w:ind w:firstLine="482" w:firstLineChars="200"/>
              <w:rPr>
                <w:b/>
                <w:bCs/>
                <w:sz w:val="24"/>
              </w:rPr>
            </w:pPr>
            <w:r>
              <w:rPr>
                <w:rFonts w:hint="eastAsia"/>
                <w:b/>
                <w:bCs/>
                <w:sz w:val="24"/>
              </w:rPr>
              <w:t>7、公司经历了重整完成、成功摘帽后，在市值管理方面是否有相关计划？</w:t>
            </w:r>
          </w:p>
          <w:p w14:paraId="6BD85CAF">
            <w:pPr>
              <w:spacing w:line="360" w:lineRule="auto"/>
              <w:ind w:firstLine="480" w:firstLineChars="200"/>
              <w:rPr>
                <w:sz w:val="24"/>
              </w:rPr>
            </w:pPr>
            <w:r>
              <w:rPr>
                <w:rFonts w:hint="eastAsia"/>
                <w:sz w:val="24"/>
              </w:rPr>
              <w:t>回复：公</w:t>
            </w:r>
            <w:bookmarkStart w:id="0" w:name="_GoBack"/>
            <w:bookmarkEnd w:id="0"/>
            <w:r>
              <w:rPr>
                <w:rFonts w:hint="eastAsia"/>
                <w:sz w:val="24"/>
              </w:rPr>
              <w:t>司高度重视市值管理工作，并致力于通过良好的经营业绩及内在价值的提升促进市值增长。公司一方面，通过积极优化产业布局，强化主业市场地位，同时，加速业务协同，培育新兴动能等，保持了主营业务整体持续增长的良好态势，为公司未来继续实现高质量发展奠定了基础。另一方面，公司高度关注与投资者的沟通交流，通过定期举行业绩说明会、投资者调研、电话交流等多种途径，积极向投资者传递公司生产经营方面的信息，为投资者的决策提供必要的参考。</w:t>
            </w:r>
          </w:p>
          <w:p w14:paraId="6DCBA911">
            <w:pPr>
              <w:spacing w:line="360" w:lineRule="auto"/>
              <w:ind w:firstLine="480" w:firstLineChars="200"/>
              <w:rPr>
                <w:sz w:val="24"/>
              </w:rPr>
            </w:pPr>
            <w:r>
              <w:rPr>
                <w:rFonts w:hint="eastAsia"/>
                <w:sz w:val="24"/>
              </w:rPr>
              <w:t>近期随着市场情绪的回暖，公司也将积极响应市场需求，通过进一步完善信息披露透明度，加大投资者交流频次，提升投资者回报，实时寻求合适标的进行并购等，积极做好各项经营工作等不断完善市值管理工作。</w:t>
            </w:r>
          </w:p>
        </w:tc>
      </w:tr>
      <w:tr w14:paraId="1DD4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00CDC6C9">
            <w:pPr>
              <w:spacing w:line="420" w:lineRule="exact"/>
              <w:rPr>
                <w:rFonts w:hint="eastAsia" w:hAnsi="宋体"/>
                <w:bCs/>
                <w:iCs/>
                <w:color w:val="000000"/>
                <w:kern w:val="0"/>
                <w:sz w:val="24"/>
              </w:rPr>
            </w:pPr>
            <w:r>
              <w:rPr>
                <w:rFonts w:hint="eastAsia"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vAlign w:val="center"/>
          </w:tcPr>
          <w:p w14:paraId="714FCF67">
            <w:pPr>
              <w:spacing w:line="420" w:lineRule="exact"/>
              <w:ind w:firstLine="480" w:firstLineChars="200"/>
              <w:rPr>
                <w:rFonts w:hint="eastAsia" w:ascii="宋体" w:hAnsi="宋体"/>
                <w:bCs/>
                <w:sz w:val="24"/>
              </w:rPr>
            </w:pPr>
            <w:r>
              <w:rPr>
                <w:rFonts w:hint="eastAsia" w:ascii="宋体" w:hAnsi="宋体"/>
                <w:bCs/>
                <w:sz w:val="24"/>
              </w:rPr>
              <w:t>2024年10月9日</w:t>
            </w:r>
          </w:p>
        </w:tc>
      </w:tr>
    </w:tbl>
    <w:p w14:paraId="49600C2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4D181">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A73A7">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A6CD7"/>
    <w:multiLevelType w:val="multilevel"/>
    <w:tmpl w:val="3E4A6CD7"/>
    <w:lvl w:ilvl="0" w:tentative="0">
      <w:start w:val="2"/>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wN2Y3MWU4MThjNmVkYjgyNDRiZDM2YWQ3N2FlYWUifQ=="/>
  </w:docVars>
  <w:rsids>
    <w:rsidRoot w:val="006861C7"/>
    <w:rsid w:val="00003443"/>
    <w:rsid w:val="00021ABA"/>
    <w:rsid w:val="000268C0"/>
    <w:rsid w:val="000363B5"/>
    <w:rsid w:val="000375D7"/>
    <w:rsid w:val="00043015"/>
    <w:rsid w:val="00046DDE"/>
    <w:rsid w:val="00047EB9"/>
    <w:rsid w:val="000526E4"/>
    <w:rsid w:val="00060A74"/>
    <w:rsid w:val="00067110"/>
    <w:rsid w:val="0009298A"/>
    <w:rsid w:val="000A2808"/>
    <w:rsid w:val="000A3BAC"/>
    <w:rsid w:val="000C26FD"/>
    <w:rsid w:val="000C2D85"/>
    <w:rsid w:val="000D0880"/>
    <w:rsid w:val="000E5700"/>
    <w:rsid w:val="000F0C4B"/>
    <w:rsid w:val="000F0E22"/>
    <w:rsid w:val="000F1F44"/>
    <w:rsid w:val="00105A04"/>
    <w:rsid w:val="00113953"/>
    <w:rsid w:val="001169A9"/>
    <w:rsid w:val="00125EB2"/>
    <w:rsid w:val="00142A4C"/>
    <w:rsid w:val="00144279"/>
    <w:rsid w:val="001452FF"/>
    <w:rsid w:val="00146806"/>
    <w:rsid w:val="0016617A"/>
    <w:rsid w:val="00167E99"/>
    <w:rsid w:val="0019642B"/>
    <w:rsid w:val="001975AB"/>
    <w:rsid w:val="001A00F5"/>
    <w:rsid w:val="001A1F65"/>
    <w:rsid w:val="001A5CE9"/>
    <w:rsid w:val="001C50AD"/>
    <w:rsid w:val="001D22EE"/>
    <w:rsid w:val="001D24A1"/>
    <w:rsid w:val="001D4C89"/>
    <w:rsid w:val="001E1838"/>
    <w:rsid w:val="001E3145"/>
    <w:rsid w:val="001E364D"/>
    <w:rsid w:val="001E6509"/>
    <w:rsid w:val="001E6807"/>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85D9C"/>
    <w:rsid w:val="00290E0A"/>
    <w:rsid w:val="00295257"/>
    <w:rsid w:val="00297703"/>
    <w:rsid w:val="002A0826"/>
    <w:rsid w:val="002A0984"/>
    <w:rsid w:val="002A0DCE"/>
    <w:rsid w:val="002A551A"/>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175FE"/>
    <w:rsid w:val="00320FBD"/>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2345"/>
    <w:rsid w:val="003F7C4D"/>
    <w:rsid w:val="0040075F"/>
    <w:rsid w:val="00403300"/>
    <w:rsid w:val="004118C0"/>
    <w:rsid w:val="00417A31"/>
    <w:rsid w:val="0042004B"/>
    <w:rsid w:val="00423ED4"/>
    <w:rsid w:val="00433384"/>
    <w:rsid w:val="004354B4"/>
    <w:rsid w:val="0043777D"/>
    <w:rsid w:val="0045767F"/>
    <w:rsid w:val="00463E9B"/>
    <w:rsid w:val="00467414"/>
    <w:rsid w:val="00473F30"/>
    <w:rsid w:val="0048591A"/>
    <w:rsid w:val="00486D86"/>
    <w:rsid w:val="0048721A"/>
    <w:rsid w:val="004A0BD5"/>
    <w:rsid w:val="004A1BBF"/>
    <w:rsid w:val="004A73E5"/>
    <w:rsid w:val="004C19BF"/>
    <w:rsid w:val="004C6104"/>
    <w:rsid w:val="004D7640"/>
    <w:rsid w:val="004E1A9B"/>
    <w:rsid w:val="004E36C7"/>
    <w:rsid w:val="00500AB6"/>
    <w:rsid w:val="00500F24"/>
    <w:rsid w:val="00501F4D"/>
    <w:rsid w:val="00505AEB"/>
    <w:rsid w:val="005155FB"/>
    <w:rsid w:val="00520573"/>
    <w:rsid w:val="00523907"/>
    <w:rsid w:val="00537C53"/>
    <w:rsid w:val="005438F5"/>
    <w:rsid w:val="00544901"/>
    <w:rsid w:val="005474D3"/>
    <w:rsid w:val="00550737"/>
    <w:rsid w:val="00555DD2"/>
    <w:rsid w:val="00565ED9"/>
    <w:rsid w:val="005760C6"/>
    <w:rsid w:val="00584B44"/>
    <w:rsid w:val="00585A1B"/>
    <w:rsid w:val="005905EC"/>
    <w:rsid w:val="00591260"/>
    <w:rsid w:val="00591314"/>
    <w:rsid w:val="00593D40"/>
    <w:rsid w:val="00595F1B"/>
    <w:rsid w:val="005A35E7"/>
    <w:rsid w:val="005A3BE0"/>
    <w:rsid w:val="005B1026"/>
    <w:rsid w:val="005B642F"/>
    <w:rsid w:val="005C04C1"/>
    <w:rsid w:val="005C1785"/>
    <w:rsid w:val="005D0F56"/>
    <w:rsid w:val="005D2D87"/>
    <w:rsid w:val="005D6A09"/>
    <w:rsid w:val="005E2B4B"/>
    <w:rsid w:val="005E5F63"/>
    <w:rsid w:val="005E6BA1"/>
    <w:rsid w:val="00605706"/>
    <w:rsid w:val="0060779A"/>
    <w:rsid w:val="006141AA"/>
    <w:rsid w:val="00622F13"/>
    <w:rsid w:val="00625503"/>
    <w:rsid w:val="0062662D"/>
    <w:rsid w:val="00632E78"/>
    <w:rsid w:val="006344F1"/>
    <w:rsid w:val="00637186"/>
    <w:rsid w:val="00646DF4"/>
    <w:rsid w:val="00651DE6"/>
    <w:rsid w:val="006523BB"/>
    <w:rsid w:val="0065347E"/>
    <w:rsid w:val="00654B49"/>
    <w:rsid w:val="00662505"/>
    <w:rsid w:val="0066674C"/>
    <w:rsid w:val="00675877"/>
    <w:rsid w:val="006760F7"/>
    <w:rsid w:val="006861C7"/>
    <w:rsid w:val="00686DDF"/>
    <w:rsid w:val="00697B12"/>
    <w:rsid w:val="006A04E2"/>
    <w:rsid w:val="006A55BB"/>
    <w:rsid w:val="006A7613"/>
    <w:rsid w:val="006B661A"/>
    <w:rsid w:val="006B7D00"/>
    <w:rsid w:val="006C39D0"/>
    <w:rsid w:val="006C6BC5"/>
    <w:rsid w:val="006D61A2"/>
    <w:rsid w:val="006E1DB4"/>
    <w:rsid w:val="00721202"/>
    <w:rsid w:val="00753DB6"/>
    <w:rsid w:val="00763847"/>
    <w:rsid w:val="00766414"/>
    <w:rsid w:val="00766FE0"/>
    <w:rsid w:val="007671D7"/>
    <w:rsid w:val="00771FE3"/>
    <w:rsid w:val="00776BDE"/>
    <w:rsid w:val="00786870"/>
    <w:rsid w:val="007909E7"/>
    <w:rsid w:val="00792237"/>
    <w:rsid w:val="0079272A"/>
    <w:rsid w:val="007A1DA9"/>
    <w:rsid w:val="007B2252"/>
    <w:rsid w:val="007B6465"/>
    <w:rsid w:val="007B79D9"/>
    <w:rsid w:val="007C67B1"/>
    <w:rsid w:val="007D00F1"/>
    <w:rsid w:val="007D4A1E"/>
    <w:rsid w:val="007E354A"/>
    <w:rsid w:val="007E69C8"/>
    <w:rsid w:val="007E6F12"/>
    <w:rsid w:val="0080525B"/>
    <w:rsid w:val="008062C5"/>
    <w:rsid w:val="0080741A"/>
    <w:rsid w:val="00814B5B"/>
    <w:rsid w:val="00824E95"/>
    <w:rsid w:val="00836F34"/>
    <w:rsid w:val="00843E73"/>
    <w:rsid w:val="00844EBF"/>
    <w:rsid w:val="00847B0E"/>
    <w:rsid w:val="00854F61"/>
    <w:rsid w:val="00864202"/>
    <w:rsid w:val="00873B59"/>
    <w:rsid w:val="0087701F"/>
    <w:rsid w:val="0089283D"/>
    <w:rsid w:val="008A0ADC"/>
    <w:rsid w:val="008A1BAB"/>
    <w:rsid w:val="008A236C"/>
    <w:rsid w:val="008B38B7"/>
    <w:rsid w:val="008B458E"/>
    <w:rsid w:val="008B6375"/>
    <w:rsid w:val="008C4D4A"/>
    <w:rsid w:val="008E11AE"/>
    <w:rsid w:val="008E1708"/>
    <w:rsid w:val="008E371D"/>
    <w:rsid w:val="008E4844"/>
    <w:rsid w:val="008F162E"/>
    <w:rsid w:val="00904492"/>
    <w:rsid w:val="00904DFB"/>
    <w:rsid w:val="0091457B"/>
    <w:rsid w:val="00923763"/>
    <w:rsid w:val="00930ED6"/>
    <w:rsid w:val="0093293F"/>
    <w:rsid w:val="00933105"/>
    <w:rsid w:val="009415CD"/>
    <w:rsid w:val="009474EF"/>
    <w:rsid w:val="00953E24"/>
    <w:rsid w:val="00962626"/>
    <w:rsid w:val="00975568"/>
    <w:rsid w:val="009767DD"/>
    <w:rsid w:val="00977AF2"/>
    <w:rsid w:val="00985FC5"/>
    <w:rsid w:val="00993BDD"/>
    <w:rsid w:val="00993E71"/>
    <w:rsid w:val="0099532C"/>
    <w:rsid w:val="009A6DFB"/>
    <w:rsid w:val="009B6EC0"/>
    <w:rsid w:val="009C7FAF"/>
    <w:rsid w:val="009D4199"/>
    <w:rsid w:val="009D68CF"/>
    <w:rsid w:val="009E2E7F"/>
    <w:rsid w:val="009E5E6A"/>
    <w:rsid w:val="009F0DD5"/>
    <w:rsid w:val="009F1B95"/>
    <w:rsid w:val="009F6C05"/>
    <w:rsid w:val="00A12623"/>
    <w:rsid w:val="00A13CB6"/>
    <w:rsid w:val="00A14A1A"/>
    <w:rsid w:val="00A150B8"/>
    <w:rsid w:val="00A22CDD"/>
    <w:rsid w:val="00A22F05"/>
    <w:rsid w:val="00A25AEE"/>
    <w:rsid w:val="00A31BAA"/>
    <w:rsid w:val="00A31EB1"/>
    <w:rsid w:val="00A33AEA"/>
    <w:rsid w:val="00A461CD"/>
    <w:rsid w:val="00A469C5"/>
    <w:rsid w:val="00A5317D"/>
    <w:rsid w:val="00A56E2B"/>
    <w:rsid w:val="00A61ECB"/>
    <w:rsid w:val="00A62568"/>
    <w:rsid w:val="00A6284E"/>
    <w:rsid w:val="00A63E81"/>
    <w:rsid w:val="00A676B8"/>
    <w:rsid w:val="00A77494"/>
    <w:rsid w:val="00A8775A"/>
    <w:rsid w:val="00A948D3"/>
    <w:rsid w:val="00AA5998"/>
    <w:rsid w:val="00AB07E7"/>
    <w:rsid w:val="00AB2AEF"/>
    <w:rsid w:val="00AD1BA8"/>
    <w:rsid w:val="00AE20F4"/>
    <w:rsid w:val="00B02A29"/>
    <w:rsid w:val="00B03522"/>
    <w:rsid w:val="00B04AD6"/>
    <w:rsid w:val="00B0626C"/>
    <w:rsid w:val="00B13D4E"/>
    <w:rsid w:val="00B14CAA"/>
    <w:rsid w:val="00B257CE"/>
    <w:rsid w:val="00B45FE4"/>
    <w:rsid w:val="00B4746C"/>
    <w:rsid w:val="00B47A98"/>
    <w:rsid w:val="00B61A33"/>
    <w:rsid w:val="00B65354"/>
    <w:rsid w:val="00B71A0E"/>
    <w:rsid w:val="00B81765"/>
    <w:rsid w:val="00B832F5"/>
    <w:rsid w:val="00BA2FAB"/>
    <w:rsid w:val="00BB5E28"/>
    <w:rsid w:val="00BD15F3"/>
    <w:rsid w:val="00BD1AD7"/>
    <w:rsid w:val="00BD7986"/>
    <w:rsid w:val="00BD79D3"/>
    <w:rsid w:val="00BF42AA"/>
    <w:rsid w:val="00C04F82"/>
    <w:rsid w:val="00C11B6C"/>
    <w:rsid w:val="00C15AC0"/>
    <w:rsid w:val="00C26030"/>
    <w:rsid w:val="00C36C7F"/>
    <w:rsid w:val="00C41091"/>
    <w:rsid w:val="00C63056"/>
    <w:rsid w:val="00C661D1"/>
    <w:rsid w:val="00C7608A"/>
    <w:rsid w:val="00C775BA"/>
    <w:rsid w:val="00C85331"/>
    <w:rsid w:val="00C85A50"/>
    <w:rsid w:val="00C94D46"/>
    <w:rsid w:val="00CA17D8"/>
    <w:rsid w:val="00CA443A"/>
    <w:rsid w:val="00CB2461"/>
    <w:rsid w:val="00CB37FD"/>
    <w:rsid w:val="00CC4D65"/>
    <w:rsid w:val="00CC61E7"/>
    <w:rsid w:val="00CD25AD"/>
    <w:rsid w:val="00CD3FFC"/>
    <w:rsid w:val="00CE0E6D"/>
    <w:rsid w:val="00CF565C"/>
    <w:rsid w:val="00D016A3"/>
    <w:rsid w:val="00D24BF3"/>
    <w:rsid w:val="00D512E3"/>
    <w:rsid w:val="00D602C9"/>
    <w:rsid w:val="00D667CE"/>
    <w:rsid w:val="00DA26A9"/>
    <w:rsid w:val="00DB01FF"/>
    <w:rsid w:val="00DC7778"/>
    <w:rsid w:val="00DE4A79"/>
    <w:rsid w:val="00DE7391"/>
    <w:rsid w:val="00DF2DB5"/>
    <w:rsid w:val="00DF6560"/>
    <w:rsid w:val="00E04CC0"/>
    <w:rsid w:val="00E136FF"/>
    <w:rsid w:val="00E32528"/>
    <w:rsid w:val="00E35F26"/>
    <w:rsid w:val="00E53165"/>
    <w:rsid w:val="00E61EF7"/>
    <w:rsid w:val="00E663B4"/>
    <w:rsid w:val="00E80CEB"/>
    <w:rsid w:val="00EA5103"/>
    <w:rsid w:val="00EA6B56"/>
    <w:rsid w:val="00EA6FB9"/>
    <w:rsid w:val="00EB5E6A"/>
    <w:rsid w:val="00EC2AD7"/>
    <w:rsid w:val="00ED7DE0"/>
    <w:rsid w:val="00EE7891"/>
    <w:rsid w:val="00EF49FE"/>
    <w:rsid w:val="00EF5341"/>
    <w:rsid w:val="00F04908"/>
    <w:rsid w:val="00F07C21"/>
    <w:rsid w:val="00F12136"/>
    <w:rsid w:val="00F12EF6"/>
    <w:rsid w:val="00F21065"/>
    <w:rsid w:val="00F23F27"/>
    <w:rsid w:val="00F24CB4"/>
    <w:rsid w:val="00F31177"/>
    <w:rsid w:val="00F43465"/>
    <w:rsid w:val="00F45475"/>
    <w:rsid w:val="00F606FD"/>
    <w:rsid w:val="00F64E72"/>
    <w:rsid w:val="00F70C7D"/>
    <w:rsid w:val="00F9272E"/>
    <w:rsid w:val="00F97743"/>
    <w:rsid w:val="00FA6DAF"/>
    <w:rsid w:val="00FC6843"/>
    <w:rsid w:val="00FC6884"/>
    <w:rsid w:val="00FC73A4"/>
    <w:rsid w:val="00FE62F3"/>
    <w:rsid w:val="00FF71D2"/>
    <w:rsid w:val="01607FCF"/>
    <w:rsid w:val="0C7B2BCE"/>
    <w:rsid w:val="103B6450"/>
    <w:rsid w:val="13D1738A"/>
    <w:rsid w:val="17BD72C5"/>
    <w:rsid w:val="1B2418A5"/>
    <w:rsid w:val="1FBFC074"/>
    <w:rsid w:val="28A6249B"/>
    <w:rsid w:val="2BDA2E28"/>
    <w:rsid w:val="2C8E6CA9"/>
    <w:rsid w:val="36FB9E1F"/>
    <w:rsid w:val="38DE632E"/>
    <w:rsid w:val="39BE5B37"/>
    <w:rsid w:val="3BFA3B96"/>
    <w:rsid w:val="3CEF3472"/>
    <w:rsid w:val="3EFF16E9"/>
    <w:rsid w:val="487552D9"/>
    <w:rsid w:val="4D664F0D"/>
    <w:rsid w:val="544C6394"/>
    <w:rsid w:val="60BB2AAC"/>
    <w:rsid w:val="616660D4"/>
    <w:rsid w:val="63C9479B"/>
    <w:rsid w:val="63E137D0"/>
    <w:rsid w:val="66A9181B"/>
    <w:rsid w:val="759E4985"/>
    <w:rsid w:val="77CF73AC"/>
    <w:rsid w:val="78FF0116"/>
    <w:rsid w:val="7BEE4564"/>
    <w:rsid w:val="7FDF0FB8"/>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link w:val="21"/>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annotation subject"/>
    <w:basedOn w:val="2"/>
    <w:next w:val="2"/>
    <w:link w:val="20"/>
    <w:qFormat/>
    <w:uiPriority w:val="0"/>
    <w:rPr>
      <w:b/>
      <w:bCs/>
    </w:rPr>
  </w:style>
  <w:style w:type="character" w:styleId="10">
    <w:name w:val="annotation reference"/>
    <w:basedOn w:val="9"/>
    <w:qFormat/>
    <w:uiPriority w:val="0"/>
    <w:rPr>
      <w:sz w:val="21"/>
      <w:szCs w:val="21"/>
    </w:rPr>
  </w:style>
  <w:style w:type="paragraph" w:customStyle="1" w:styleId="11">
    <w:name w:val="_Style 6"/>
    <w:basedOn w:val="1"/>
    <w:qFormat/>
    <w:uiPriority w:val="34"/>
    <w:pPr>
      <w:ind w:firstLine="420" w:firstLineChars="200"/>
    </w:pPr>
    <w:rPr>
      <w:rFonts w:ascii="Calibri" w:hAnsi="Calibri"/>
      <w:szCs w:val="22"/>
    </w:rPr>
  </w:style>
  <w:style w:type="paragraph" w:customStyle="1" w:styleId="12">
    <w:name w:val="Char Char Char"/>
    <w:basedOn w:val="1"/>
    <w:qFormat/>
    <w:uiPriority w:val="0"/>
    <w:rPr>
      <w:szCs w:val="21"/>
    </w:rPr>
  </w:style>
  <w:style w:type="paragraph" w:customStyle="1" w:styleId="13">
    <w:name w:val="Char Char Char Char Char Char Char Char Char Char Char Char Char Char Char Char"/>
    <w:basedOn w:val="1"/>
    <w:qFormat/>
    <w:uiPriority w:val="0"/>
  </w:style>
  <w:style w:type="paragraph" w:customStyle="1" w:styleId="14">
    <w:name w:val="Char Char Char1"/>
    <w:basedOn w:val="1"/>
    <w:qFormat/>
    <w:uiPriority w:val="0"/>
  </w:style>
  <w:style w:type="character" w:customStyle="1" w:styleId="15">
    <w:name w:val="页脚 字符"/>
    <w:basedOn w:val="9"/>
    <w:link w:val="4"/>
    <w:qFormat/>
    <w:uiPriority w:val="0"/>
    <w:rPr>
      <w:kern w:val="2"/>
      <w:sz w:val="18"/>
      <w:szCs w:val="18"/>
    </w:rPr>
  </w:style>
  <w:style w:type="character" w:customStyle="1" w:styleId="16">
    <w:name w:val="页眉 字符"/>
    <w:basedOn w:val="9"/>
    <w:link w:val="5"/>
    <w:qFormat/>
    <w:uiPriority w:val="0"/>
    <w:rPr>
      <w:kern w:val="2"/>
      <w:sz w:val="18"/>
      <w:szCs w:val="18"/>
    </w:rPr>
  </w:style>
  <w:style w:type="paragraph" w:styleId="17">
    <w:name w:val="List Paragraph"/>
    <w:basedOn w:val="1"/>
    <w:unhideWhenUsed/>
    <w:qFormat/>
    <w:uiPriority w:val="34"/>
    <w:pPr>
      <w:ind w:firstLine="420" w:firstLineChars="200"/>
    </w:p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9"/>
    <w:link w:val="2"/>
    <w:qFormat/>
    <w:uiPriority w:val="0"/>
    <w:rPr>
      <w:kern w:val="2"/>
      <w:sz w:val="21"/>
      <w:szCs w:val="24"/>
    </w:rPr>
  </w:style>
  <w:style w:type="character" w:customStyle="1" w:styleId="20">
    <w:name w:val="批注主题 字符"/>
    <w:basedOn w:val="19"/>
    <w:link w:val="7"/>
    <w:qFormat/>
    <w:uiPriority w:val="0"/>
    <w:rPr>
      <w:b/>
      <w:bCs/>
      <w:kern w:val="2"/>
      <w:sz w:val="21"/>
      <w:szCs w:val="24"/>
    </w:rPr>
  </w:style>
  <w:style w:type="character" w:customStyle="1" w:styleId="21">
    <w:name w:val="批注框文本 字符"/>
    <w:basedOn w:val="9"/>
    <w:link w:val="3"/>
    <w:qFormat/>
    <w:uiPriority w:val="0"/>
    <w:rPr>
      <w:kern w:val="2"/>
      <w:sz w:val="18"/>
      <w:szCs w:val="18"/>
    </w:rPr>
  </w:style>
  <w:style w:type="paragraph" w:customStyle="1" w:styleId="22">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3731</Words>
  <Characters>3893</Characters>
  <Lines>28</Lines>
  <Paragraphs>8</Paragraphs>
  <TotalTime>48</TotalTime>
  <ScaleCrop>false</ScaleCrop>
  <LinksUpToDate>false</LinksUpToDate>
  <CharactersWithSpaces>4027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2024-10-09T02:28:00Z</dcterms:created>
  <dc:creator>微软用户</dc:creator>
  <cp:lastModifiedBy>zhangcheng</cp:lastModifiedBy>
  <cp:lastPrinted>2014-02-21T05:34:00Z</cp:lastPrinted>
  <dcterms:modified xsi:type="dcterms:W3CDTF">2024-10-09T08:35:54Z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BD61A3183D104B2FA5951A2665B48B1C_13</vt:lpwstr>
  </property>
</Properties>
</file>