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D8B2" w14:textId="77777777" w:rsidR="0079355A" w:rsidRDefault="000A2B2D">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证券代码：603285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证券简称：键</w:t>
      </w:r>
      <w:proofErr w:type="gramStart"/>
      <w:r>
        <w:rPr>
          <w:rFonts w:ascii="宋体" w:eastAsia="宋体" w:hAnsi="宋体" w:cs="宋体" w:hint="eastAsia"/>
          <w:sz w:val="20"/>
          <w:szCs w:val="20"/>
          <w:lang w:val="en-US"/>
        </w:rPr>
        <w:t>邦</w:t>
      </w:r>
      <w:proofErr w:type="gramEnd"/>
      <w:r>
        <w:rPr>
          <w:rFonts w:ascii="宋体" w:eastAsia="宋体" w:hAnsi="宋体" w:cs="宋体" w:hint="eastAsia"/>
          <w:sz w:val="20"/>
          <w:szCs w:val="20"/>
          <w:lang w:val="en-US"/>
        </w:rPr>
        <w:t>股份</w:t>
      </w:r>
    </w:p>
    <w:p w14:paraId="29D37AAB" w14:textId="77777777" w:rsidR="0079355A" w:rsidRDefault="0079355A">
      <w:pPr>
        <w:spacing w:line="360" w:lineRule="auto"/>
        <w:jc w:val="center"/>
        <w:rPr>
          <w:rFonts w:ascii="宋体" w:eastAsia="宋体" w:hAnsi="宋体" w:cs="宋体"/>
          <w:b/>
          <w:bCs/>
          <w:sz w:val="44"/>
          <w:szCs w:val="44"/>
        </w:rPr>
      </w:pPr>
    </w:p>
    <w:p w14:paraId="247908A8" w14:textId="77777777" w:rsidR="0079355A" w:rsidRDefault="000A2B2D">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山东键邦新材料股份有限公司</w:t>
      </w:r>
    </w:p>
    <w:p w14:paraId="6FE9BBF3" w14:textId="77777777" w:rsidR="0079355A" w:rsidRDefault="000A2B2D">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5CDAD345" w14:textId="6B5A7EB8" w:rsidR="0079355A" w:rsidRDefault="000A2B2D">
      <w:pPr>
        <w:spacing w:before="51" w:after="32"/>
        <w:ind w:right="6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2024</w:t>
      </w:r>
      <w:r>
        <w:rPr>
          <w:rFonts w:ascii="宋体" w:eastAsia="宋体" w:hAnsi="宋体" w:cs="宋体" w:hint="eastAsia"/>
          <w:sz w:val="20"/>
          <w:szCs w:val="20"/>
        </w:rPr>
        <w:t xml:space="preserve"> -</w:t>
      </w:r>
      <w:r>
        <w:rPr>
          <w:rFonts w:ascii="宋体" w:eastAsia="宋体" w:hAnsi="宋体" w:cs="宋体"/>
          <w:sz w:val="20"/>
          <w:szCs w:val="20"/>
        </w:rPr>
        <w:t xml:space="preserve"> 002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79355A" w14:paraId="536E5DC0" w14:textId="77777777" w:rsidTr="009A0D68">
        <w:trPr>
          <w:trHeight w:val="2801"/>
          <w:jc w:val="center"/>
        </w:trPr>
        <w:tc>
          <w:tcPr>
            <w:tcW w:w="2580" w:type="dxa"/>
            <w:vAlign w:val="center"/>
          </w:tcPr>
          <w:p w14:paraId="179527B5" w14:textId="77777777" w:rsidR="0079355A" w:rsidRDefault="0079355A" w:rsidP="009A0D68">
            <w:pPr>
              <w:pStyle w:val="TableParagraph"/>
              <w:spacing w:before="7"/>
              <w:jc w:val="center"/>
              <w:rPr>
                <w:rFonts w:ascii="宋体" w:eastAsia="宋体" w:hAnsi="宋体" w:cs="宋体"/>
                <w:b/>
                <w:bCs/>
                <w:sz w:val="20"/>
                <w:szCs w:val="20"/>
              </w:rPr>
            </w:pPr>
          </w:p>
          <w:p w14:paraId="13B8515F" w14:textId="77777777" w:rsidR="0079355A" w:rsidRDefault="000A2B2D" w:rsidP="009A0D68">
            <w:pPr>
              <w:pStyle w:val="TableParagraph"/>
              <w:spacing w:before="1"/>
              <w:ind w:left="107"/>
              <w:jc w:val="center"/>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64A25C3E" w14:textId="77777777" w:rsidR="0079355A" w:rsidRDefault="0079355A">
            <w:pPr>
              <w:pStyle w:val="TableParagraph"/>
              <w:spacing w:before="7"/>
              <w:rPr>
                <w:rFonts w:ascii="宋体" w:eastAsia="宋体" w:hAnsi="宋体" w:cs="宋体"/>
                <w:sz w:val="20"/>
                <w:szCs w:val="20"/>
              </w:rPr>
            </w:pPr>
          </w:p>
          <w:p w14:paraId="3B3AC3C8" w14:textId="77777777" w:rsidR="0079355A" w:rsidRDefault="009A0D68">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特</w:t>
            </w:r>
            <w:r w:rsidR="000A2B2D">
              <w:rPr>
                <w:rFonts w:ascii="宋体" w:eastAsia="宋体" w:hAnsi="宋体" w:cs="宋体" w:hint="eastAsia"/>
                <w:spacing w:val="-3"/>
                <w:sz w:val="20"/>
                <w:szCs w:val="20"/>
              </w:rPr>
              <w:t>定</w:t>
            </w:r>
            <w:r w:rsidR="000A2B2D">
              <w:rPr>
                <w:rFonts w:ascii="宋体" w:eastAsia="宋体" w:hAnsi="宋体" w:cs="宋体" w:hint="eastAsia"/>
                <w:sz w:val="20"/>
                <w:szCs w:val="20"/>
              </w:rPr>
              <w:t>对</w:t>
            </w:r>
            <w:r w:rsidR="000A2B2D">
              <w:rPr>
                <w:rFonts w:ascii="宋体" w:eastAsia="宋体" w:hAnsi="宋体" w:cs="宋体" w:hint="eastAsia"/>
                <w:spacing w:val="-3"/>
                <w:sz w:val="20"/>
                <w:szCs w:val="20"/>
              </w:rPr>
              <w:t>象</w:t>
            </w:r>
            <w:r w:rsidR="000A2B2D">
              <w:rPr>
                <w:rFonts w:ascii="宋体" w:eastAsia="宋体" w:hAnsi="宋体" w:cs="宋体" w:hint="eastAsia"/>
                <w:sz w:val="20"/>
                <w:szCs w:val="20"/>
              </w:rPr>
              <w:t>调研</w:t>
            </w:r>
            <w:r w:rsidR="000A2B2D">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分</w:t>
            </w:r>
            <w:r w:rsidR="000A2B2D">
              <w:rPr>
                <w:rFonts w:ascii="宋体" w:eastAsia="宋体" w:hAnsi="宋体" w:cs="宋体" w:hint="eastAsia"/>
                <w:spacing w:val="-3"/>
                <w:sz w:val="20"/>
                <w:szCs w:val="20"/>
              </w:rPr>
              <w:t>析</w:t>
            </w:r>
            <w:r w:rsidR="000A2B2D">
              <w:rPr>
                <w:rFonts w:ascii="宋体" w:eastAsia="宋体" w:hAnsi="宋体" w:cs="宋体" w:hint="eastAsia"/>
                <w:sz w:val="20"/>
                <w:szCs w:val="20"/>
              </w:rPr>
              <w:t>师</w:t>
            </w:r>
            <w:r w:rsidR="000A2B2D">
              <w:rPr>
                <w:rFonts w:ascii="宋体" w:eastAsia="宋体" w:hAnsi="宋体" w:cs="宋体" w:hint="eastAsia"/>
                <w:spacing w:val="-3"/>
                <w:sz w:val="20"/>
                <w:szCs w:val="20"/>
              </w:rPr>
              <w:t>会</w:t>
            </w:r>
            <w:r w:rsidR="000A2B2D">
              <w:rPr>
                <w:rFonts w:ascii="宋体" w:eastAsia="宋体" w:hAnsi="宋体" w:cs="宋体" w:hint="eastAsia"/>
                <w:sz w:val="20"/>
                <w:szCs w:val="20"/>
              </w:rPr>
              <w:t>议</w:t>
            </w:r>
          </w:p>
          <w:p w14:paraId="6A72C3BC" w14:textId="77777777" w:rsidR="0079355A" w:rsidRDefault="0079355A">
            <w:pPr>
              <w:pStyle w:val="TableParagraph"/>
              <w:spacing w:before="11"/>
              <w:rPr>
                <w:rFonts w:ascii="宋体" w:eastAsia="宋体" w:hAnsi="宋体" w:cs="宋体"/>
                <w:sz w:val="20"/>
                <w:szCs w:val="20"/>
              </w:rPr>
            </w:pPr>
          </w:p>
          <w:p w14:paraId="09DE68B1" w14:textId="77777777" w:rsidR="0079355A" w:rsidRDefault="009A0D68">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媒</w:t>
            </w:r>
            <w:r w:rsidR="000A2B2D">
              <w:rPr>
                <w:rFonts w:ascii="宋体" w:eastAsia="宋体" w:hAnsi="宋体" w:cs="宋体" w:hint="eastAsia"/>
                <w:spacing w:val="-3"/>
                <w:sz w:val="20"/>
                <w:szCs w:val="20"/>
              </w:rPr>
              <w:t>体</w:t>
            </w:r>
            <w:r w:rsidR="000A2B2D">
              <w:rPr>
                <w:rFonts w:ascii="宋体" w:eastAsia="宋体" w:hAnsi="宋体" w:cs="宋体" w:hint="eastAsia"/>
                <w:sz w:val="20"/>
                <w:szCs w:val="20"/>
              </w:rPr>
              <w:t>采访</w:t>
            </w:r>
            <w:r w:rsidR="000A2B2D">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0A2B2D">
                  <w:rPr>
                    <w:rFonts w:ascii="Wingdings 2" w:eastAsia="MS Gothic" w:hAnsi="Wingdings 2" w:cs="宋体" w:hint="eastAsia"/>
                    <w:sz w:val="20"/>
                    <w:szCs w:val="20"/>
                  </w:rPr>
                  <w:t>R</w:t>
                </w:r>
              </w:sdtContent>
            </w:sdt>
            <w:r w:rsidR="000A2B2D">
              <w:rPr>
                <w:rFonts w:ascii="宋体" w:eastAsia="宋体" w:hAnsi="宋体" w:cs="宋体" w:hint="eastAsia"/>
                <w:sz w:val="20"/>
                <w:szCs w:val="20"/>
              </w:rPr>
              <w:t>业</w:t>
            </w:r>
            <w:r w:rsidR="000A2B2D">
              <w:rPr>
                <w:rFonts w:ascii="宋体" w:eastAsia="宋体" w:hAnsi="宋体" w:cs="宋体" w:hint="eastAsia"/>
                <w:spacing w:val="-3"/>
                <w:sz w:val="20"/>
                <w:szCs w:val="20"/>
              </w:rPr>
              <w:t>绩</w:t>
            </w:r>
            <w:r w:rsidR="000A2B2D">
              <w:rPr>
                <w:rFonts w:ascii="宋体" w:eastAsia="宋体" w:hAnsi="宋体" w:cs="宋体" w:hint="eastAsia"/>
                <w:sz w:val="20"/>
                <w:szCs w:val="20"/>
              </w:rPr>
              <w:t>说</w:t>
            </w:r>
            <w:r w:rsidR="000A2B2D">
              <w:rPr>
                <w:rFonts w:ascii="宋体" w:eastAsia="宋体" w:hAnsi="宋体" w:cs="宋体" w:hint="eastAsia"/>
                <w:spacing w:val="-3"/>
                <w:sz w:val="20"/>
                <w:szCs w:val="20"/>
              </w:rPr>
              <w:t>明</w:t>
            </w:r>
            <w:r w:rsidR="000A2B2D">
              <w:rPr>
                <w:rFonts w:ascii="宋体" w:eastAsia="宋体" w:hAnsi="宋体" w:cs="宋体" w:hint="eastAsia"/>
                <w:sz w:val="20"/>
                <w:szCs w:val="20"/>
              </w:rPr>
              <w:t>会</w:t>
            </w:r>
          </w:p>
          <w:p w14:paraId="294BFD16" w14:textId="77777777" w:rsidR="0079355A" w:rsidRDefault="0079355A">
            <w:pPr>
              <w:pStyle w:val="TableParagraph"/>
              <w:spacing w:before="8"/>
              <w:rPr>
                <w:rFonts w:ascii="宋体" w:eastAsia="宋体" w:hAnsi="宋体" w:cs="宋体"/>
                <w:sz w:val="20"/>
                <w:szCs w:val="20"/>
              </w:rPr>
            </w:pPr>
          </w:p>
          <w:p w14:paraId="76D55A21" w14:textId="77777777" w:rsidR="0079355A" w:rsidRDefault="009A0D68">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新</w:t>
            </w:r>
            <w:r w:rsidR="000A2B2D">
              <w:rPr>
                <w:rFonts w:ascii="宋体" w:eastAsia="宋体" w:hAnsi="宋体" w:cs="宋体" w:hint="eastAsia"/>
                <w:spacing w:val="-3"/>
                <w:sz w:val="20"/>
                <w:szCs w:val="20"/>
              </w:rPr>
              <w:t>闻</w:t>
            </w:r>
            <w:r w:rsidR="000A2B2D">
              <w:rPr>
                <w:rFonts w:ascii="宋体" w:eastAsia="宋体" w:hAnsi="宋体" w:cs="宋体" w:hint="eastAsia"/>
                <w:sz w:val="20"/>
                <w:szCs w:val="20"/>
              </w:rPr>
              <w:t>发</w:t>
            </w:r>
            <w:r w:rsidR="000A2B2D">
              <w:rPr>
                <w:rFonts w:ascii="宋体" w:eastAsia="宋体" w:hAnsi="宋体" w:cs="宋体" w:hint="eastAsia"/>
                <w:spacing w:val="-3"/>
                <w:sz w:val="20"/>
                <w:szCs w:val="20"/>
              </w:rPr>
              <w:t>布</w:t>
            </w:r>
            <w:r w:rsidR="000A2B2D">
              <w:rPr>
                <w:rFonts w:ascii="宋体" w:eastAsia="宋体" w:hAnsi="宋体" w:cs="宋体" w:hint="eastAsia"/>
                <w:sz w:val="20"/>
                <w:szCs w:val="20"/>
              </w:rPr>
              <w:t>会</w:t>
            </w:r>
            <w:r w:rsidR="000A2B2D">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路</w:t>
            </w:r>
            <w:r w:rsidR="000A2B2D">
              <w:rPr>
                <w:rFonts w:ascii="宋体" w:eastAsia="宋体" w:hAnsi="宋体" w:cs="宋体" w:hint="eastAsia"/>
                <w:spacing w:val="-3"/>
                <w:sz w:val="20"/>
                <w:szCs w:val="20"/>
              </w:rPr>
              <w:t>演</w:t>
            </w:r>
            <w:r w:rsidR="000A2B2D">
              <w:rPr>
                <w:rFonts w:ascii="宋体" w:eastAsia="宋体" w:hAnsi="宋体" w:cs="宋体" w:hint="eastAsia"/>
                <w:sz w:val="20"/>
                <w:szCs w:val="20"/>
              </w:rPr>
              <w:t>活动</w:t>
            </w:r>
          </w:p>
          <w:p w14:paraId="3D5B2804" w14:textId="77777777" w:rsidR="0079355A" w:rsidRDefault="0079355A">
            <w:pPr>
              <w:pStyle w:val="TableParagraph"/>
              <w:spacing w:before="8"/>
              <w:rPr>
                <w:rFonts w:ascii="宋体" w:eastAsia="宋体" w:hAnsi="宋体" w:cs="宋体"/>
                <w:sz w:val="20"/>
                <w:szCs w:val="20"/>
              </w:rPr>
            </w:pPr>
          </w:p>
          <w:p w14:paraId="4919380F" w14:textId="77777777" w:rsidR="0079355A" w:rsidRDefault="009A0D68">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现场参观</w:t>
            </w:r>
          </w:p>
          <w:p w14:paraId="71E98EDC" w14:textId="77777777" w:rsidR="0079355A" w:rsidRDefault="0079355A">
            <w:pPr>
              <w:pStyle w:val="TableParagraph"/>
              <w:spacing w:before="11"/>
              <w:rPr>
                <w:rFonts w:ascii="宋体" w:eastAsia="宋体" w:hAnsi="宋体" w:cs="宋体"/>
                <w:sz w:val="20"/>
                <w:szCs w:val="20"/>
              </w:rPr>
            </w:pPr>
          </w:p>
          <w:p w14:paraId="26288D69" w14:textId="77777777" w:rsidR="0079355A" w:rsidRDefault="009A0D68">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0A2B2D">
                  <w:rPr>
                    <w:rFonts w:ascii="MS Gothic" w:eastAsia="MS Gothic" w:hAnsi="MS Gothic" w:cs="宋体" w:hint="eastAsia"/>
                    <w:sz w:val="20"/>
                    <w:szCs w:val="20"/>
                  </w:rPr>
                  <w:t>☐</w:t>
                </w:r>
              </w:sdtContent>
            </w:sdt>
            <w:r w:rsidR="000A2B2D">
              <w:rPr>
                <w:rFonts w:ascii="宋体" w:eastAsia="宋体" w:hAnsi="宋体" w:cs="宋体" w:hint="eastAsia"/>
                <w:sz w:val="20"/>
                <w:szCs w:val="20"/>
              </w:rPr>
              <w:t>其他（</w:t>
            </w:r>
            <w:proofErr w:type="gramStart"/>
            <w:r w:rsidR="000A2B2D">
              <w:rPr>
                <w:rFonts w:ascii="宋体" w:eastAsia="宋体" w:hAnsi="宋体" w:cs="宋体" w:hint="eastAsia"/>
                <w:sz w:val="20"/>
                <w:szCs w:val="20"/>
                <w:u w:val="single"/>
              </w:rPr>
              <w:t>请文字</w:t>
            </w:r>
            <w:proofErr w:type="gramEnd"/>
            <w:r w:rsidR="000A2B2D">
              <w:rPr>
                <w:rFonts w:ascii="宋体" w:eastAsia="宋体" w:hAnsi="宋体" w:cs="宋体" w:hint="eastAsia"/>
                <w:sz w:val="20"/>
                <w:szCs w:val="20"/>
                <w:u w:val="single"/>
              </w:rPr>
              <w:t>说明其他活动内容）</w:t>
            </w:r>
          </w:p>
        </w:tc>
      </w:tr>
      <w:tr w:rsidR="0079355A" w14:paraId="399EAC78" w14:textId="77777777" w:rsidTr="009A0D68">
        <w:trPr>
          <w:trHeight w:val="1120"/>
          <w:jc w:val="center"/>
        </w:trPr>
        <w:tc>
          <w:tcPr>
            <w:tcW w:w="2580" w:type="dxa"/>
            <w:vAlign w:val="center"/>
          </w:tcPr>
          <w:p w14:paraId="49A0CF7B" w14:textId="77777777" w:rsidR="0079355A" w:rsidRDefault="000A2B2D" w:rsidP="009A0D68">
            <w:pPr>
              <w:pStyle w:val="TableParagraph"/>
              <w:spacing w:line="560" w:lineRule="exact"/>
              <w:ind w:left="107" w:right="96"/>
              <w:jc w:val="center"/>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4A10E44F" w14:textId="77777777" w:rsidR="0079355A" w:rsidRDefault="000A2B2D" w:rsidP="009A0D68">
            <w:pPr>
              <w:pStyle w:val="TableParagraph"/>
              <w:spacing w:before="100" w:beforeAutospacing="1" w:after="100" w:afterAutospacing="1" w:line="360" w:lineRule="auto"/>
              <w:jc w:val="both"/>
              <w:rPr>
                <w:rFonts w:asciiTheme="minorEastAsia" w:eastAsiaTheme="minorEastAsia" w:hAnsiTheme="minorEastAsia" w:cs="宋体"/>
                <w:sz w:val="20"/>
                <w:szCs w:val="20"/>
                <w:lang w:val="en-US"/>
              </w:rPr>
            </w:pPr>
            <w:r>
              <w:rPr>
                <w:rFonts w:asciiTheme="minorEastAsia" w:eastAsiaTheme="minorEastAsia" w:hAnsiTheme="minorEastAsia" w:cs="宋体" w:hint="eastAsia"/>
                <w:sz w:val="20"/>
                <w:szCs w:val="20"/>
                <w:lang w:val="en-US"/>
              </w:rPr>
              <w:t>线上参与公司2024年半年度业绩说明会的所有投资者</w:t>
            </w:r>
          </w:p>
        </w:tc>
      </w:tr>
      <w:tr w:rsidR="0079355A" w14:paraId="3A87B5DD" w14:textId="77777777" w:rsidTr="009A0D68">
        <w:trPr>
          <w:trHeight w:val="558"/>
          <w:jc w:val="center"/>
        </w:trPr>
        <w:tc>
          <w:tcPr>
            <w:tcW w:w="2580" w:type="dxa"/>
            <w:vAlign w:val="center"/>
          </w:tcPr>
          <w:p w14:paraId="574BBB10" w14:textId="77777777" w:rsidR="0079355A" w:rsidRDefault="000A2B2D" w:rsidP="009A0D68">
            <w:pPr>
              <w:pStyle w:val="TableParagraph"/>
              <w:ind w:left="107"/>
              <w:jc w:val="center"/>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7B944318" w14:textId="45276A4A" w:rsidR="0079355A" w:rsidRDefault="000A2B2D" w:rsidP="009A0D68">
            <w:pPr>
              <w:spacing w:before="100" w:beforeAutospacing="1" w:line="360" w:lineRule="auto"/>
              <w:jc w:val="both"/>
              <w:rPr>
                <w:sz w:val="20"/>
                <w:szCs w:val="20"/>
              </w:rPr>
            </w:pPr>
            <w:r>
              <w:rPr>
                <w:rFonts w:asciiTheme="minorEastAsia" w:eastAsiaTheme="minorEastAsia" w:hAnsiTheme="minorEastAsia" w:cstheme="minorEastAsia" w:hint="eastAsia"/>
                <w:sz w:val="20"/>
                <w:szCs w:val="20"/>
              </w:rPr>
              <w:t>2024年10月11日</w:t>
            </w:r>
            <w:r w:rsidR="007F25E5">
              <w:rPr>
                <w:rFonts w:asciiTheme="minorEastAsia" w:eastAsiaTheme="minorEastAsia" w:hAnsiTheme="minorEastAsia" w:cstheme="minorEastAsia" w:hint="eastAsia"/>
                <w:sz w:val="20"/>
                <w:szCs w:val="20"/>
              </w:rPr>
              <w:t>（周五）上午</w:t>
            </w:r>
            <w:r>
              <w:rPr>
                <w:rFonts w:asciiTheme="minorEastAsia" w:eastAsiaTheme="minorEastAsia" w:hAnsiTheme="minorEastAsia" w:cstheme="minorEastAsia" w:hint="eastAsia"/>
                <w:sz w:val="20"/>
                <w:szCs w:val="20"/>
              </w:rPr>
              <w:t>10:00-11:00</w:t>
            </w:r>
          </w:p>
        </w:tc>
      </w:tr>
      <w:tr w:rsidR="0079355A" w14:paraId="59E87199" w14:textId="77777777" w:rsidTr="009A0D68">
        <w:trPr>
          <w:trHeight w:val="561"/>
          <w:jc w:val="center"/>
        </w:trPr>
        <w:tc>
          <w:tcPr>
            <w:tcW w:w="2580" w:type="dxa"/>
            <w:vAlign w:val="center"/>
          </w:tcPr>
          <w:p w14:paraId="48AE5F1D" w14:textId="77777777" w:rsidR="0079355A" w:rsidRDefault="000A2B2D" w:rsidP="009A0D68">
            <w:pPr>
              <w:pStyle w:val="TableParagraph"/>
              <w:ind w:left="107"/>
              <w:jc w:val="center"/>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24A3CA8B" w14:textId="6F97BBD6" w:rsidR="0079355A" w:rsidRDefault="000A2B2D" w:rsidP="009A0D68">
            <w:pPr>
              <w:pStyle w:val="TableParagraph"/>
              <w:spacing w:before="100" w:beforeAutospacing="1" w:line="360" w:lineRule="auto"/>
              <w:jc w:val="both"/>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w:t>
            </w:r>
            <w:r w:rsidR="007F25E5">
              <w:rPr>
                <w:rFonts w:asciiTheme="minorEastAsia" w:eastAsiaTheme="minorEastAsia" w:hAnsiTheme="minorEastAsia" w:cs="宋体" w:hint="eastAsia"/>
                <w:sz w:val="20"/>
                <w:szCs w:val="20"/>
              </w:rPr>
              <w:t>网址：</w:t>
            </w:r>
            <w:r>
              <w:rPr>
                <w:rFonts w:asciiTheme="minorEastAsia" w:eastAsiaTheme="minorEastAsia" w:hAnsiTheme="minorEastAsia" w:cs="宋体"/>
                <w:sz w:val="20"/>
                <w:szCs w:val="20"/>
              </w:rPr>
              <w:t>https://www.ir-online.cn/）网络互动</w:t>
            </w:r>
          </w:p>
        </w:tc>
      </w:tr>
      <w:tr w:rsidR="0079355A" w14:paraId="3BF7B5D5" w14:textId="77777777" w:rsidTr="009A0D68">
        <w:trPr>
          <w:trHeight w:val="558"/>
          <w:jc w:val="center"/>
        </w:trPr>
        <w:tc>
          <w:tcPr>
            <w:tcW w:w="2580" w:type="dxa"/>
            <w:vAlign w:val="center"/>
          </w:tcPr>
          <w:p w14:paraId="5EAA707C" w14:textId="77777777" w:rsidR="0079355A" w:rsidRDefault="000A2B2D" w:rsidP="009A0D68">
            <w:pPr>
              <w:pStyle w:val="TableParagraph"/>
              <w:spacing w:before="1"/>
              <w:ind w:left="107"/>
              <w:jc w:val="center"/>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2509AA39" w14:textId="77777777" w:rsidR="0079355A" w:rsidRDefault="000A2B2D" w:rsidP="009A0D68">
            <w:pPr>
              <w:pStyle w:val="TableParagraph"/>
              <w:spacing w:before="100" w:beforeAutospacing="1" w:line="360" w:lineRule="auto"/>
              <w:jc w:val="both"/>
              <w:rPr>
                <w:rFonts w:ascii="宋体" w:eastAsia="宋体" w:hAnsi="宋体" w:cs="宋体"/>
                <w:sz w:val="20"/>
                <w:szCs w:val="20"/>
              </w:rPr>
            </w:pPr>
            <w:r>
              <w:rPr>
                <w:rFonts w:ascii="宋体" w:eastAsia="宋体" w:hAnsi="宋体" w:cs="宋体"/>
                <w:sz w:val="20"/>
                <w:szCs w:val="20"/>
              </w:rPr>
              <w:t>董事长 朱剑波</w:t>
            </w:r>
            <w:r>
              <w:rPr>
                <w:rFonts w:ascii="宋体" w:eastAsia="宋体" w:hAnsi="宋体" w:cs="宋体"/>
                <w:sz w:val="20"/>
                <w:szCs w:val="20"/>
              </w:rPr>
              <w:br/>
              <w:t xml:space="preserve">董事会秘书 </w:t>
            </w:r>
            <w:proofErr w:type="gramStart"/>
            <w:r>
              <w:rPr>
                <w:rFonts w:ascii="宋体" w:eastAsia="宋体" w:hAnsi="宋体" w:cs="宋体"/>
                <w:sz w:val="20"/>
                <w:szCs w:val="20"/>
              </w:rPr>
              <w:t>姜贵哲</w:t>
            </w:r>
            <w:proofErr w:type="gramEnd"/>
            <w:r>
              <w:rPr>
                <w:rFonts w:ascii="宋体" w:eastAsia="宋体" w:hAnsi="宋体" w:cs="宋体"/>
                <w:sz w:val="20"/>
                <w:szCs w:val="20"/>
              </w:rPr>
              <w:br/>
              <w:t>财务负责人 胡国兴</w:t>
            </w:r>
            <w:r>
              <w:rPr>
                <w:rFonts w:ascii="宋体" w:eastAsia="宋体" w:hAnsi="宋体" w:cs="宋体"/>
                <w:sz w:val="20"/>
                <w:szCs w:val="20"/>
              </w:rPr>
              <w:br/>
              <w:t>独立董事 戴志平</w:t>
            </w:r>
          </w:p>
        </w:tc>
      </w:tr>
      <w:tr w:rsidR="0079355A" w14:paraId="442E6415" w14:textId="77777777" w:rsidTr="009A0D68">
        <w:trPr>
          <w:trHeight w:val="2800"/>
          <w:jc w:val="center"/>
        </w:trPr>
        <w:tc>
          <w:tcPr>
            <w:tcW w:w="2580" w:type="dxa"/>
            <w:vAlign w:val="center"/>
          </w:tcPr>
          <w:p w14:paraId="538A96BC" w14:textId="77777777" w:rsidR="0079355A" w:rsidRDefault="0079355A" w:rsidP="009A0D68">
            <w:pPr>
              <w:pStyle w:val="TableParagraph"/>
              <w:jc w:val="center"/>
              <w:rPr>
                <w:rFonts w:ascii="宋体" w:eastAsia="宋体" w:hAnsi="宋体" w:cs="宋体"/>
                <w:b/>
                <w:bCs/>
                <w:sz w:val="20"/>
                <w:szCs w:val="20"/>
              </w:rPr>
            </w:pPr>
          </w:p>
          <w:p w14:paraId="41278731" w14:textId="77777777" w:rsidR="0079355A" w:rsidRDefault="0079355A" w:rsidP="009A0D68">
            <w:pPr>
              <w:pStyle w:val="TableParagraph"/>
              <w:jc w:val="center"/>
              <w:rPr>
                <w:rFonts w:ascii="宋体" w:eastAsia="宋体" w:hAnsi="宋体" w:cs="宋体"/>
                <w:b/>
                <w:bCs/>
                <w:sz w:val="20"/>
                <w:szCs w:val="20"/>
              </w:rPr>
            </w:pPr>
          </w:p>
          <w:p w14:paraId="4D0D2BC7" w14:textId="77777777" w:rsidR="0079355A" w:rsidRDefault="0079355A" w:rsidP="009A0D68">
            <w:pPr>
              <w:pStyle w:val="TableParagraph"/>
              <w:spacing w:before="5"/>
              <w:jc w:val="center"/>
              <w:rPr>
                <w:rFonts w:ascii="宋体" w:eastAsia="宋体" w:hAnsi="宋体" w:cs="宋体"/>
                <w:b/>
                <w:bCs/>
                <w:sz w:val="20"/>
                <w:szCs w:val="20"/>
              </w:rPr>
            </w:pPr>
          </w:p>
          <w:p w14:paraId="24544E44" w14:textId="77777777" w:rsidR="0079355A" w:rsidRDefault="000A2B2D" w:rsidP="009A0D68">
            <w:pPr>
              <w:pStyle w:val="TableParagraph"/>
              <w:spacing w:before="1" w:line="499" w:lineRule="auto"/>
              <w:ind w:left="107" w:right="96"/>
              <w:jc w:val="center"/>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3547DDC4" w14:textId="7B89968F" w:rsidR="0079355A" w:rsidRDefault="000A2B2D">
            <w:pPr>
              <w:pStyle w:val="TableParagraph"/>
              <w:spacing w:before="100" w:beforeAutospacing="1" w:line="360" w:lineRule="auto"/>
              <w:rPr>
                <w:rFonts w:ascii="宋体" w:eastAsia="宋体" w:hAnsi="宋体" w:cs="宋体"/>
                <w:sz w:val="20"/>
                <w:szCs w:val="20"/>
              </w:rPr>
            </w:pPr>
            <w:r>
              <w:rPr>
                <w:rFonts w:ascii="宋体" w:eastAsia="宋体" w:hAnsi="宋体" w:cs="宋体"/>
                <w:b/>
                <w:sz w:val="20"/>
              </w:rPr>
              <w:t xml:space="preserve">    1.</w:t>
            </w:r>
            <w:proofErr w:type="gramStart"/>
            <w:r>
              <w:rPr>
                <w:rFonts w:ascii="宋体" w:eastAsia="宋体" w:hAnsi="宋体" w:cs="宋体"/>
                <w:b/>
                <w:sz w:val="20"/>
              </w:rPr>
              <w:t>朱董好</w:t>
            </w:r>
            <w:proofErr w:type="gramEnd"/>
            <w:r>
              <w:rPr>
                <w:rFonts w:ascii="宋体" w:eastAsia="宋体" w:hAnsi="宋体" w:cs="宋体"/>
                <w:b/>
                <w:sz w:val="20"/>
              </w:rPr>
              <w:t>！公司在赛</w:t>
            </w:r>
            <w:proofErr w:type="gramStart"/>
            <w:r>
              <w:rPr>
                <w:rFonts w:ascii="宋体" w:eastAsia="宋体" w:hAnsi="宋体" w:cs="宋体"/>
                <w:b/>
                <w:sz w:val="20"/>
              </w:rPr>
              <w:t>克市场</w:t>
            </w:r>
            <w:proofErr w:type="gramEnd"/>
            <w:r>
              <w:rPr>
                <w:rFonts w:ascii="宋体" w:eastAsia="宋体" w:hAnsi="宋体" w:cs="宋体"/>
                <w:b/>
                <w:sz w:val="20"/>
              </w:rPr>
              <w:t>占有率较高，</w:t>
            </w:r>
            <w:proofErr w:type="gramStart"/>
            <w:r>
              <w:rPr>
                <w:rFonts w:ascii="宋体" w:eastAsia="宋体" w:hAnsi="宋体" w:cs="宋体"/>
                <w:b/>
                <w:sz w:val="20"/>
              </w:rPr>
              <w:t>请问</w:t>
            </w:r>
            <w:r w:rsidR="007F25E5">
              <w:rPr>
                <w:rFonts w:ascii="宋体" w:eastAsia="宋体" w:hAnsi="宋体" w:cs="宋体" w:hint="eastAsia"/>
                <w:b/>
                <w:sz w:val="20"/>
              </w:rPr>
              <w:t>赛</w:t>
            </w:r>
            <w:proofErr w:type="gramEnd"/>
            <w:r>
              <w:rPr>
                <w:rFonts w:ascii="宋体" w:eastAsia="宋体" w:hAnsi="宋体" w:cs="宋体"/>
                <w:b/>
                <w:sz w:val="20"/>
              </w:rPr>
              <w:t>克今年行情有无较大变化？另外请简要介绍公司的成长！</w:t>
            </w:r>
            <w:r>
              <w:rPr>
                <w:rFonts w:ascii="宋体" w:eastAsia="宋体" w:hAnsi="宋体" w:cs="宋体"/>
                <w:b/>
                <w:sz w:val="20"/>
              </w:rPr>
              <w:br/>
            </w:r>
            <w:r>
              <w:rPr>
                <w:rFonts w:ascii="宋体" w:eastAsia="宋体" w:hAnsi="宋体" w:cs="宋体"/>
                <w:sz w:val="20"/>
              </w:rPr>
              <w:t xml:space="preserve">    答:您好，根据中国塑料加工工业协会塑料助剂专业委员会的数据统计，2021-2023年，公司赛克产品在国内市场的占有率分别约为89%、83%和80%，赛克仍保持较高占有率。未来，公司将凭借在高分子材料环保助剂领域内积累的核心技术和竞争优势，持续落实产品研发升级，在满足现有客户市场需求的基础上，不断开拓新产品及新应用领域，进一步丰富公司产品服务体系，扩大下游市场覆盖面。谢谢！</w:t>
            </w:r>
            <w:r>
              <w:rPr>
                <w:rFonts w:ascii="宋体" w:eastAsia="宋体" w:hAnsi="宋体" w:cs="宋体"/>
                <w:sz w:val="20"/>
              </w:rPr>
              <w:br/>
            </w:r>
            <w:r>
              <w:rPr>
                <w:rFonts w:ascii="宋体" w:eastAsia="宋体" w:hAnsi="宋体" w:cs="宋体"/>
                <w:b/>
                <w:sz w:val="20"/>
              </w:rPr>
              <w:t xml:space="preserve">    2.尊敬的董事长先生您好，请问贵公司是否具有行业代表性，</w:t>
            </w:r>
            <w:r>
              <w:rPr>
                <w:rFonts w:ascii="宋体" w:eastAsia="宋体" w:hAnsi="宋体" w:cs="宋体"/>
                <w:b/>
                <w:sz w:val="20"/>
              </w:rPr>
              <w:lastRenderedPageBreak/>
              <w:t>市场占有率情况如何？</w:t>
            </w:r>
            <w:r>
              <w:rPr>
                <w:rFonts w:ascii="宋体" w:eastAsia="宋体" w:hAnsi="宋体" w:cs="宋体"/>
                <w:b/>
                <w:sz w:val="20"/>
              </w:rPr>
              <w:br/>
            </w:r>
            <w:r>
              <w:rPr>
                <w:rFonts w:ascii="宋体" w:eastAsia="宋体" w:hAnsi="宋体" w:cs="宋体"/>
                <w:sz w:val="20"/>
              </w:rPr>
              <w:t xml:space="preserve">    答:您好，公司自成立以来一直专注于高分子材料环保助剂的研发、生产与销售，在公司从事的赛克、钛酸酯、DBM、SBM、乙酰丙酮盐等产品领域，公司已具有较强的市场竞争力，在行业内具有较高的知名度和影响力。根据中国塑料加工工业协会塑料助剂专业委员会的数据统计，2021-2023年，公司赛克产品在国内市场的占有率分别约为89%、83%和80%，2021-2022年，钛酸</w:t>
            </w:r>
            <w:proofErr w:type="gramStart"/>
            <w:r>
              <w:rPr>
                <w:rFonts w:ascii="宋体" w:eastAsia="宋体" w:hAnsi="宋体" w:cs="宋体"/>
                <w:sz w:val="20"/>
              </w:rPr>
              <w:t>酯产品</w:t>
            </w:r>
            <w:proofErr w:type="gramEnd"/>
            <w:r>
              <w:rPr>
                <w:rFonts w:ascii="宋体" w:eastAsia="宋体" w:hAnsi="宋体" w:cs="宋体"/>
                <w:sz w:val="20"/>
              </w:rPr>
              <w:t>在国内市场的占有率分别约为41%和42%，DBM产品在国内市场的占有率分别约为21%和13%，乙酰丙酮钙产品在国内市场的占有率分别约为10%和9%。具备“大盘蓝筹”特色，属于业务模式成熟、经营业绩稳定、规模较大、具有行业代表性的优质企业。谢谢！</w:t>
            </w:r>
            <w:r>
              <w:rPr>
                <w:rFonts w:ascii="宋体" w:eastAsia="宋体" w:hAnsi="宋体" w:cs="宋体"/>
                <w:sz w:val="20"/>
              </w:rPr>
              <w:br/>
            </w:r>
            <w:r>
              <w:rPr>
                <w:rFonts w:ascii="宋体" w:eastAsia="宋体" w:hAnsi="宋体" w:cs="宋体"/>
                <w:b/>
                <w:sz w:val="20"/>
              </w:rPr>
              <w:t xml:space="preserve">    3.请问公司的未来发展战略是什么？</w:t>
            </w:r>
            <w:r>
              <w:rPr>
                <w:rFonts w:ascii="宋体" w:eastAsia="宋体" w:hAnsi="宋体" w:cs="宋体"/>
                <w:b/>
                <w:sz w:val="20"/>
              </w:rPr>
              <w:br/>
            </w:r>
            <w:r>
              <w:rPr>
                <w:rFonts w:ascii="宋体" w:eastAsia="宋体" w:hAnsi="宋体" w:cs="宋体"/>
                <w:sz w:val="20"/>
              </w:rPr>
              <w:t xml:space="preserve">    答:您好，自创立以来，公司以“诚信、创新、责任、共赢”为核心价值观，秉承“键兴伟邦，誉满全球”的企业愿景，遵循“高起点定位、高标准规划、高质量建设、高速度发展、高效能管理”的理念，以高分子材料环保助剂行业为切入点，通过多年经营发展成为集研发、生产、销售为一体的高新技术企业，并在赛克、钛酸酯、乙酰丙酮盐等细分产品领域具备了领先的市场地位和行业影响力。与此同时，公司将通过工艺优化、智能制造、技术赋能等手段，进一步提升公司绿色化学生产技术，助力我国“碳中和、碳达峰”进程。此外，公司还将提升内部运营管理效率，加强品牌建设力度，拓展客户及营销渠道，进一步提升企业综合竞争力和持续发展能力。谢谢！</w:t>
            </w:r>
            <w:r>
              <w:rPr>
                <w:rFonts w:ascii="宋体" w:eastAsia="宋体" w:hAnsi="宋体" w:cs="宋体"/>
                <w:sz w:val="20"/>
              </w:rPr>
              <w:br/>
            </w:r>
            <w:r>
              <w:rPr>
                <w:rFonts w:ascii="宋体" w:eastAsia="宋体" w:hAnsi="宋体" w:cs="宋体"/>
                <w:b/>
                <w:sz w:val="20"/>
              </w:rPr>
              <w:t xml:space="preserve">    4.董秘先生，您好，请介绍一下募集资金对公司主营业务发展的贡献、未来经营战略的影响。</w:t>
            </w:r>
            <w:r>
              <w:rPr>
                <w:rFonts w:ascii="宋体" w:eastAsia="宋体" w:hAnsi="宋体" w:cs="宋体"/>
                <w:b/>
                <w:sz w:val="20"/>
              </w:rPr>
              <w:br/>
            </w:r>
            <w:r>
              <w:rPr>
                <w:rFonts w:ascii="宋体" w:eastAsia="宋体" w:hAnsi="宋体" w:cs="宋体"/>
                <w:sz w:val="20"/>
              </w:rPr>
              <w:t xml:space="preserve">    答:您好，本次募集资金到位后，公司总资产和净资产规模将会有较大程度的提高，资产负债率有所下降，公司资本结构得到进一步优化，有利于缓解公司业务不断发展过程中所面临的资金压力，降低财务风险，增强公司整体抗风险能力。 从长期来看，随着公司募集资金投资项目的实施，公司产品产能得到了扩张，产品种类更加丰富多样，应用领域不断拓宽，能够更好地满足下游客户的需求和符合行业发展的趋势，培育了新的收入与利润增长点。公司研发实力与运营管理能力得到进一步提升，引进更多的专业人才团队，同时公司业务快速发展过程中所需的流动资金也得到了及时补充，有利于公司降低财务风险，保障了公司的稳定发展，对公司</w:t>
            </w:r>
            <w:r>
              <w:rPr>
                <w:rFonts w:ascii="宋体" w:eastAsia="宋体" w:hAnsi="宋体" w:cs="宋体"/>
                <w:sz w:val="20"/>
              </w:rPr>
              <w:lastRenderedPageBreak/>
              <w:t>主营业务发展具有重要贡献，对公司未来经营战略具有积极影响。谢谢！</w:t>
            </w:r>
            <w:r>
              <w:rPr>
                <w:rFonts w:ascii="宋体" w:eastAsia="宋体" w:hAnsi="宋体" w:cs="宋体"/>
                <w:sz w:val="20"/>
              </w:rPr>
              <w:br/>
            </w:r>
            <w:r>
              <w:rPr>
                <w:rFonts w:ascii="宋体" w:eastAsia="宋体" w:hAnsi="宋体" w:cs="宋体"/>
                <w:b/>
                <w:sz w:val="20"/>
              </w:rPr>
              <w:t xml:space="preserve">    5.请问全球PVC热稳定剂环保化发展趋势会对公司有什么影响？</w:t>
            </w:r>
            <w:r>
              <w:rPr>
                <w:rFonts w:ascii="宋体" w:eastAsia="宋体" w:hAnsi="宋体" w:cs="宋体"/>
                <w:b/>
                <w:sz w:val="20"/>
              </w:rPr>
              <w:br/>
            </w:r>
            <w:r>
              <w:rPr>
                <w:rFonts w:ascii="宋体" w:eastAsia="宋体" w:hAnsi="宋体" w:cs="宋体"/>
                <w:sz w:val="20"/>
              </w:rPr>
              <w:t xml:space="preserve">    答:您好，当前国内国际的市场环境对绿色消费越发重视，传统PVC塑料制品稳定剂含有铅、镉等重金属元素，大量使用添加了传统稳定剂的塑料制品对资源环境和人类健康已形成了较大的威胁，以欧洲为代表的发达国家早已大规模限制甚至取缔其使用，我国也在借鉴全球行业发展规律，不断加强塑料助剂行业环保化的法律法规及产业政策建设，鼓励</w:t>
            </w:r>
            <w:proofErr w:type="gramStart"/>
            <w:r>
              <w:rPr>
                <w:rFonts w:ascii="宋体" w:eastAsia="宋体" w:hAnsi="宋体" w:cs="宋体"/>
                <w:sz w:val="20"/>
              </w:rPr>
              <w:t>使用钙锌复合</w:t>
            </w:r>
            <w:proofErr w:type="gramEnd"/>
            <w:r>
              <w:rPr>
                <w:rFonts w:ascii="宋体" w:eastAsia="宋体" w:hAnsi="宋体" w:cs="宋体"/>
                <w:sz w:val="20"/>
              </w:rPr>
              <w:t>稳定剂等环保稳定剂对铅盐类稳定剂进行替代，</w:t>
            </w:r>
            <w:proofErr w:type="gramStart"/>
            <w:r>
              <w:rPr>
                <w:rFonts w:ascii="宋体" w:eastAsia="宋体" w:hAnsi="宋体" w:cs="宋体"/>
                <w:sz w:val="20"/>
              </w:rPr>
              <w:t>以钙锌复合型</w:t>
            </w:r>
            <w:proofErr w:type="gramEnd"/>
            <w:r>
              <w:rPr>
                <w:rFonts w:ascii="宋体" w:eastAsia="宋体" w:hAnsi="宋体" w:cs="宋体"/>
                <w:sz w:val="20"/>
              </w:rPr>
              <w:t>热稳定剂为代表的新型环保型塑料助剂具有更大的市场发展潜力。根据中国塑料加工工业协会的预测，未来混合金属盐类的年均消费增长速率将达到11%至13%。而公司赛克、DBM/SBM、乙酰丙酮</w:t>
            </w:r>
            <w:proofErr w:type="gramStart"/>
            <w:r>
              <w:rPr>
                <w:rFonts w:ascii="宋体" w:eastAsia="宋体" w:hAnsi="宋体" w:cs="宋体"/>
                <w:sz w:val="20"/>
              </w:rPr>
              <w:t>盐系列</w:t>
            </w:r>
            <w:proofErr w:type="gramEnd"/>
            <w:r>
              <w:rPr>
                <w:rFonts w:ascii="宋体" w:eastAsia="宋体" w:hAnsi="宋体" w:cs="宋体"/>
                <w:sz w:val="20"/>
              </w:rPr>
              <w:t>等产品作为</w:t>
            </w:r>
            <w:proofErr w:type="gramStart"/>
            <w:r>
              <w:rPr>
                <w:rFonts w:ascii="宋体" w:eastAsia="宋体" w:hAnsi="宋体" w:cs="宋体"/>
                <w:sz w:val="20"/>
              </w:rPr>
              <w:t>钙锌类</w:t>
            </w:r>
            <w:proofErr w:type="gramEnd"/>
            <w:r>
              <w:rPr>
                <w:rFonts w:ascii="宋体" w:eastAsia="宋体" w:hAnsi="宋体" w:cs="宋体"/>
                <w:sz w:val="20"/>
              </w:rPr>
              <w:t>稳定剂配方的重要组成部分，拥有广阔的市场空间。谢谢！</w:t>
            </w:r>
            <w:r>
              <w:rPr>
                <w:rFonts w:ascii="宋体" w:eastAsia="宋体" w:hAnsi="宋体" w:cs="宋体"/>
                <w:sz w:val="20"/>
              </w:rPr>
              <w:br/>
            </w:r>
            <w:r>
              <w:rPr>
                <w:rFonts w:ascii="宋体" w:eastAsia="宋体" w:hAnsi="宋体" w:cs="宋体"/>
                <w:b/>
                <w:sz w:val="20"/>
              </w:rPr>
              <w:t xml:space="preserve">    6.领导您好，请介绍一下赛克产品的毛利率变动情况。</w:t>
            </w:r>
            <w:r>
              <w:rPr>
                <w:rFonts w:ascii="宋体" w:eastAsia="宋体" w:hAnsi="宋体" w:cs="宋体"/>
                <w:b/>
                <w:sz w:val="20"/>
              </w:rPr>
              <w:br/>
            </w:r>
            <w:r>
              <w:rPr>
                <w:rFonts w:ascii="宋体" w:eastAsia="宋体" w:hAnsi="宋体" w:cs="宋体"/>
                <w:sz w:val="20"/>
              </w:rPr>
              <w:t xml:space="preserve">    答:您好，2021年度、2022年度、2023年度和2024年上半年，赛克毛利率分别为48.05%、45.25%、42.81%和42.32%。公司赛克毛利率变动主要受市场行情、主要原材料市场价格、产量变动等因素影响。谢谢！</w:t>
            </w:r>
            <w:r>
              <w:rPr>
                <w:rFonts w:ascii="宋体" w:eastAsia="宋体" w:hAnsi="宋体" w:cs="宋体"/>
                <w:sz w:val="20"/>
              </w:rPr>
              <w:br/>
            </w:r>
            <w:r>
              <w:rPr>
                <w:rFonts w:ascii="宋体" w:eastAsia="宋体" w:hAnsi="宋体" w:cs="宋体"/>
                <w:b/>
                <w:sz w:val="20"/>
              </w:rPr>
              <w:t xml:space="preserve">    7.您好，请问影响公司财务状况和盈利能力的主要因素有哪些？</w:t>
            </w:r>
            <w:r>
              <w:rPr>
                <w:rFonts w:ascii="宋体" w:eastAsia="宋体" w:hAnsi="宋体" w:cs="宋体"/>
                <w:b/>
                <w:sz w:val="20"/>
              </w:rPr>
              <w:br/>
            </w:r>
            <w:r>
              <w:rPr>
                <w:rFonts w:ascii="宋体" w:eastAsia="宋体" w:hAnsi="宋体" w:cs="宋体"/>
                <w:sz w:val="20"/>
              </w:rPr>
              <w:t xml:space="preserve">    答:您好，影响公司财务状况和盈利能力的主要因素主要有：全球PVC热稳定剂环保化发展趋势和下游市场发展、市场地位和客户资源、产能规模与生产管控优势、技术研发能力几个方面。谢谢！</w:t>
            </w:r>
            <w:r>
              <w:rPr>
                <w:rFonts w:ascii="宋体" w:eastAsia="宋体" w:hAnsi="宋体" w:cs="宋体"/>
                <w:sz w:val="20"/>
              </w:rPr>
              <w:br/>
            </w:r>
            <w:r>
              <w:rPr>
                <w:rFonts w:ascii="宋体" w:eastAsia="宋体" w:hAnsi="宋体" w:cs="宋体"/>
                <w:b/>
                <w:sz w:val="20"/>
              </w:rPr>
              <w:t xml:space="preserve">    8.根据公司公开信息显示，公司钛酸</w:t>
            </w:r>
            <w:proofErr w:type="gramStart"/>
            <w:r>
              <w:rPr>
                <w:rFonts w:ascii="宋体" w:eastAsia="宋体" w:hAnsi="宋体" w:cs="宋体"/>
                <w:b/>
                <w:sz w:val="20"/>
              </w:rPr>
              <w:t>酯产品</w:t>
            </w:r>
            <w:proofErr w:type="gramEnd"/>
            <w:r>
              <w:rPr>
                <w:rFonts w:ascii="宋体" w:eastAsia="宋体" w:hAnsi="宋体" w:cs="宋体"/>
                <w:b/>
                <w:sz w:val="20"/>
              </w:rPr>
              <w:t>能应用于锂电池正极材料，具体作用是什么？</w:t>
            </w:r>
            <w:r>
              <w:rPr>
                <w:rFonts w:ascii="宋体" w:eastAsia="宋体" w:hAnsi="宋体" w:cs="宋体"/>
                <w:b/>
                <w:sz w:val="20"/>
              </w:rPr>
              <w:br/>
            </w:r>
            <w:r>
              <w:rPr>
                <w:rFonts w:ascii="宋体" w:eastAsia="宋体" w:hAnsi="宋体" w:cs="宋体"/>
                <w:sz w:val="20"/>
              </w:rPr>
              <w:t xml:space="preserve">    答:您好，钛酸</w:t>
            </w:r>
            <w:proofErr w:type="gramStart"/>
            <w:r>
              <w:rPr>
                <w:rFonts w:ascii="宋体" w:eastAsia="宋体" w:hAnsi="宋体" w:cs="宋体"/>
                <w:sz w:val="20"/>
              </w:rPr>
              <w:t>酯产品</w:t>
            </w:r>
            <w:proofErr w:type="gramEnd"/>
            <w:r>
              <w:rPr>
                <w:rFonts w:ascii="宋体" w:eastAsia="宋体" w:hAnsi="宋体" w:cs="宋体"/>
                <w:sz w:val="20"/>
              </w:rPr>
              <w:t>主要作为功能助剂应用于锂电池正极材料，有助于提高锂电池安全性能。谢谢！</w:t>
            </w:r>
            <w:r>
              <w:rPr>
                <w:rFonts w:ascii="宋体" w:eastAsia="宋体" w:hAnsi="宋体" w:cs="宋体"/>
                <w:sz w:val="20"/>
              </w:rPr>
              <w:br/>
            </w:r>
            <w:r>
              <w:rPr>
                <w:rFonts w:ascii="宋体" w:eastAsia="宋体" w:hAnsi="宋体" w:cs="宋体"/>
                <w:b/>
                <w:sz w:val="20"/>
              </w:rPr>
              <w:t xml:space="preserve">    9.请介绍一下公司的经营业绩情况？</w:t>
            </w:r>
            <w:r>
              <w:rPr>
                <w:rFonts w:ascii="宋体" w:eastAsia="宋体" w:hAnsi="宋体" w:cs="宋体"/>
                <w:b/>
                <w:sz w:val="20"/>
              </w:rPr>
              <w:br/>
            </w:r>
            <w:r>
              <w:rPr>
                <w:rFonts w:ascii="宋体" w:eastAsia="宋体" w:hAnsi="宋体" w:cs="宋体"/>
                <w:sz w:val="20"/>
              </w:rPr>
              <w:t xml:space="preserve">    答:您好，2024年上半年，公司营业收入为36,291.39万元，同比增长5.70%；同期公司归属于母公司所有者的净利润为9,637.86万元，同比下降2.18%。谢谢！</w:t>
            </w:r>
            <w:r>
              <w:rPr>
                <w:rFonts w:ascii="宋体" w:eastAsia="宋体" w:hAnsi="宋体" w:cs="宋体"/>
                <w:sz w:val="20"/>
              </w:rPr>
              <w:br/>
            </w:r>
            <w:r>
              <w:rPr>
                <w:rFonts w:ascii="宋体" w:eastAsia="宋体" w:hAnsi="宋体" w:cs="宋体"/>
                <w:b/>
                <w:sz w:val="20"/>
              </w:rPr>
              <w:t xml:space="preserve">    10.董秘先生您好，请问在国家倡导企业重视市值管理的政策</w:t>
            </w:r>
            <w:r>
              <w:rPr>
                <w:rFonts w:ascii="宋体" w:eastAsia="宋体" w:hAnsi="宋体" w:cs="宋体"/>
                <w:b/>
                <w:sz w:val="20"/>
              </w:rPr>
              <w:lastRenderedPageBreak/>
              <w:t>指引下，公司是否会重视股东回报？将采取那些措施提升企业估值回报股东？</w:t>
            </w:r>
            <w:r>
              <w:rPr>
                <w:rFonts w:ascii="宋体" w:eastAsia="宋体" w:hAnsi="宋体" w:cs="宋体"/>
                <w:b/>
                <w:sz w:val="20"/>
              </w:rPr>
              <w:br/>
            </w:r>
            <w:r>
              <w:rPr>
                <w:rFonts w:ascii="宋体" w:eastAsia="宋体" w:hAnsi="宋体" w:cs="宋体"/>
                <w:sz w:val="20"/>
              </w:rPr>
              <w:t xml:space="preserve">    答:您好，公司上市以来，本着能够及时回报股东、增强投资者获得感的原则，充分考虑了未来经营资金需求和长期发展战略后，于2024年9月5日实施完成了每股派发现金红利1.00元的特别分红方案。公司高度重视市值管理，未来也将继续努力在做好合</w:t>
            </w:r>
            <w:proofErr w:type="gramStart"/>
            <w:r>
              <w:rPr>
                <w:rFonts w:ascii="宋体" w:eastAsia="宋体" w:hAnsi="宋体" w:cs="宋体"/>
                <w:sz w:val="20"/>
              </w:rPr>
              <w:t>规</w:t>
            </w:r>
            <w:proofErr w:type="gramEnd"/>
            <w:r>
              <w:rPr>
                <w:rFonts w:ascii="宋体" w:eastAsia="宋体" w:hAnsi="宋体" w:cs="宋体"/>
                <w:sz w:val="20"/>
              </w:rPr>
              <w:t>经营的同时，力争业绩增长，并与资本市场保持良好沟通，积极传递经营理念和投资价值，为投资者创造更好的回报。谢谢！</w:t>
            </w:r>
          </w:p>
        </w:tc>
      </w:tr>
      <w:tr w:rsidR="0079355A" w14:paraId="53409A10" w14:textId="77777777">
        <w:trPr>
          <w:trHeight w:val="999"/>
          <w:jc w:val="center"/>
        </w:trPr>
        <w:tc>
          <w:tcPr>
            <w:tcW w:w="2580" w:type="dxa"/>
            <w:vAlign w:val="center"/>
          </w:tcPr>
          <w:p w14:paraId="468FAE21" w14:textId="77777777" w:rsidR="0079355A" w:rsidRDefault="000A2B2D">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7419C4CD" w14:textId="77777777" w:rsidR="0079355A" w:rsidRDefault="000A2B2D">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7FB83B89" w14:textId="77777777" w:rsidR="0079355A" w:rsidRDefault="000A2B2D">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79355A" w14:paraId="08C6B989" w14:textId="77777777">
        <w:trPr>
          <w:trHeight w:val="558"/>
          <w:jc w:val="center"/>
        </w:trPr>
        <w:tc>
          <w:tcPr>
            <w:tcW w:w="2580" w:type="dxa"/>
            <w:vAlign w:val="center"/>
          </w:tcPr>
          <w:p w14:paraId="7FAC3F2D" w14:textId="77777777" w:rsidR="0079355A" w:rsidRDefault="000A2B2D">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6E3DFC11" w14:textId="53FB43DD" w:rsidR="0079355A" w:rsidRDefault="00C36336">
            <w:pPr>
              <w:pStyle w:val="TableParagraph"/>
              <w:spacing w:before="100" w:beforeAutospacing="1" w:line="360" w:lineRule="auto"/>
              <w:rPr>
                <w:rFonts w:ascii="宋体" w:eastAsia="宋体" w:hAnsi="宋体" w:cs="宋体"/>
                <w:sz w:val="20"/>
                <w:szCs w:val="20"/>
              </w:rPr>
            </w:pPr>
            <w:r>
              <w:rPr>
                <w:rFonts w:ascii="宋体" w:eastAsia="宋体" w:hAnsi="宋体" w:cs="宋体" w:hint="eastAsia"/>
                <w:sz w:val="20"/>
                <w:szCs w:val="20"/>
              </w:rPr>
              <w:t>无</w:t>
            </w:r>
          </w:p>
        </w:tc>
      </w:tr>
      <w:tr w:rsidR="0079355A" w14:paraId="0B4454DA" w14:textId="77777777">
        <w:trPr>
          <w:trHeight w:val="558"/>
          <w:jc w:val="center"/>
        </w:trPr>
        <w:tc>
          <w:tcPr>
            <w:tcW w:w="2580" w:type="dxa"/>
            <w:vAlign w:val="center"/>
          </w:tcPr>
          <w:p w14:paraId="6AF23CBA" w14:textId="77777777" w:rsidR="0079355A" w:rsidRDefault="000A2B2D">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23734595" w14:textId="77777777" w:rsidR="0079355A" w:rsidRDefault="000A2B2D">
            <w:pPr>
              <w:pStyle w:val="TableParagraph"/>
              <w:spacing w:before="100" w:beforeAutospacing="1"/>
              <w:rPr>
                <w:rFonts w:ascii="宋体" w:eastAsia="宋体" w:hAnsi="宋体" w:cs="宋体"/>
                <w:sz w:val="20"/>
                <w:szCs w:val="20"/>
              </w:rPr>
            </w:pPr>
            <w:r>
              <w:rPr>
                <w:rFonts w:ascii="宋体" w:eastAsia="宋体" w:hAnsi="宋体" w:cs="宋体"/>
                <w:sz w:val="20"/>
                <w:szCs w:val="20"/>
              </w:rPr>
              <w:t>2024年10月11日</w:t>
            </w:r>
          </w:p>
        </w:tc>
      </w:tr>
    </w:tbl>
    <w:p w14:paraId="71DB7AF4" w14:textId="77777777" w:rsidR="0079355A" w:rsidRDefault="0079355A">
      <w:pPr>
        <w:rPr>
          <w:rFonts w:ascii="宋体" w:eastAsia="宋体" w:hAnsi="宋体" w:cs="宋体"/>
          <w:sz w:val="28"/>
          <w:szCs w:val="36"/>
        </w:rPr>
      </w:pPr>
    </w:p>
    <w:sectPr w:rsidR="0079355A">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301D32"/>
    <w:rsid w:val="00026CC3"/>
    <w:rsid w:val="00036089"/>
    <w:rsid w:val="00053CFA"/>
    <w:rsid w:val="000633EC"/>
    <w:rsid w:val="00063804"/>
    <w:rsid w:val="000665A2"/>
    <w:rsid w:val="000877AB"/>
    <w:rsid w:val="000A2B2D"/>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9355A"/>
    <w:rsid w:val="007A3EC1"/>
    <w:rsid w:val="007B3368"/>
    <w:rsid w:val="007D0A69"/>
    <w:rsid w:val="007D6DC4"/>
    <w:rsid w:val="007F25E5"/>
    <w:rsid w:val="00853463"/>
    <w:rsid w:val="00893F25"/>
    <w:rsid w:val="00895035"/>
    <w:rsid w:val="008B2B14"/>
    <w:rsid w:val="008C6AED"/>
    <w:rsid w:val="008C7604"/>
    <w:rsid w:val="008E1B27"/>
    <w:rsid w:val="00903379"/>
    <w:rsid w:val="00906975"/>
    <w:rsid w:val="00917F0B"/>
    <w:rsid w:val="00917F8B"/>
    <w:rsid w:val="00960964"/>
    <w:rsid w:val="00965E4D"/>
    <w:rsid w:val="009A0D68"/>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36336"/>
    <w:rsid w:val="00CA1705"/>
    <w:rsid w:val="00CE1A54"/>
    <w:rsid w:val="00CF5FB6"/>
    <w:rsid w:val="00D02518"/>
    <w:rsid w:val="00D17454"/>
    <w:rsid w:val="00D33FBC"/>
    <w:rsid w:val="00D7535C"/>
    <w:rsid w:val="00D76302"/>
    <w:rsid w:val="00DA5CE2"/>
    <w:rsid w:val="00DE10E8"/>
    <w:rsid w:val="00E16FDA"/>
    <w:rsid w:val="00E35F58"/>
    <w:rsid w:val="00E45BD9"/>
    <w:rsid w:val="00E639D2"/>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3FD26C1"/>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2088B"/>
  <w15:docId w15:val="{C836E208-A109-4A9C-BE91-9447C917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semiHidden/>
    <w:rsid w:val="007F25E5"/>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吴 盛岗</cp:lastModifiedBy>
  <cp:revision>2</cp:revision>
  <dcterms:created xsi:type="dcterms:W3CDTF">2024-10-11T06:15:00Z</dcterms:created>
  <dcterms:modified xsi:type="dcterms:W3CDTF">2024-10-11T06:15:00Z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57D148DF2F764966BF4E1C38A6255FA2</vt:lpwstr>
  </property>
</Properties>
</file>