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D9BE" w14:textId="6F79B2B9" w:rsidR="00222D1C" w:rsidRDefault="003324EB">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w:t>
      </w:r>
      <w:r>
        <w:rPr>
          <w:rFonts w:ascii="宋体" w:hAnsi="宋体"/>
          <w:bCs/>
          <w:iCs/>
          <w:color w:val="000000"/>
          <w:sz w:val="24"/>
        </w:rPr>
        <w:t>600032</w:t>
      </w:r>
      <w:r>
        <w:rPr>
          <w:rFonts w:ascii="宋体" w:hAnsi="宋体" w:hint="eastAsia"/>
          <w:bCs/>
          <w:iCs/>
          <w:color w:val="000000"/>
          <w:sz w:val="24"/>
        </w:rPr>
        <w:t xml:space="preserve">              </w:t>
      </w:r>
      <w:r>
        <w:rPr>
          <w:rFonts w:ascii="宋体" w:hAnsi="宋体"/>
          <w:bCs/>
          <w:iCs/>
          <w:color w:val="000000"/>
          <w:sz w:val="24"/>
        </w:rPr>
        <w:t xml:space="preserve">                     </w:t>
      </w:r>
      <w:bookmarkStart w:id="0" w:name="_GoBack"/>
      <w:bookmarkEnd w:id="0"/>
      <w:r>
        <w:rPr>
          <w:rFonts w:ascii="宋体" w:hAnsi="宋体" w:hint="eastAsia"/>
          <w:bCs/>
          <w:iCs/>
          <w:color w:val="000000"/>
          <w:sz w:val="24"/>
        </w:rPr>
        <w:t>证券简称：浙江新能</w:t>
      </w:r>
    </w:p>
    <w:p w14:paraId="0C615111" w14:textId="77777777" w:rsidR="00222D1C" w:rsidRDefault="003324EB">
      <w:pPr>
        <w:spacing w:line="400" w:lineRule="exact"/>
        <w:jc w:val="center"/>
        <w:rPr>
          <w:rFonts w:ascii="宋体" w:hAnsi="宋体"/>
          <w:b/>
          <w:bCs/>
          <w:iCs/>
          <w:color w:val="000000"/>
          <w:sz w:val="32"/>
          <w:szCs w:val="32"/>
        </w:rPr>
      </w:pPr>
      <w:r>
        <w:rPr>
          <w:rFonts w:ascii="宋体" w:hAnsi="宋体" w:hint="eastAsia"/>
          <w:b/>
          <w:bCs/>
          <w:iCs/>
          <w:color w:val="000000"/>
          <w:sz w:val="32"/>
          <w:szCs w:val="32"/>
        </w:rPr>
        <w:t>浙江省新能源投资集团股份有限公司</w:t>
      </w:r>
    </w:p>
    <w:p w14:paraId="69568B16" w14:textId="77777777" w:rsidR="00222D1C" w:rsidRDefault="003324EB">
      <w:pPr>
        <w:spacing w:line="400" w:lineRule="exact"/>
        <w:jc w:val="center"/>
        <w:rPr>
          <w:rFonts w:ascii="宋体" w:hAnsi="宋体"/>
          <w:b/>
          <w:bCs/>
          <w:iCs/>
          <w:color w:val="000000"/>
          <w:sz w:val="32"/>
          <w:szCs w:val="32"/>
        </w:rPr>
      </w:pPr>
      <w:r>
        <w:rPr>
          <w:rFonts w:ascii="宋体" w:hAnsi="宋体" w:hint="eastAsia"/>
          <w:b/>
          <w:bCs/>
          <w:iCs/>
          <w:color w:val="000000"/>
          <w:sz w:val="32"/>
          <w:szCs w:val="32"/>
        </w:rPr>
        <w:t>2024年第三季度投资者关系活动记录表</w:t>
      </w:r>
    </w:p>
    <w:p w14:paraId="10A20077" w14:textId="72C41906" w:rsidR="00222D1C" w:rsidRDefault="003324EB">
      <w:pPr>
        <w:spacing w:line="400" w:lineRule="exact"/>
        <w:jc w:val="right"/>
        <w:rPr>
          <w:rFonts w:ascii="宋体" w:hAnsi="宋体"/>
          <w:bCs/>
          <w:iCs/>
          <w:color w:val="000000"/>
          <w:sz w:val="24"/>
        </w:rPr>
      </w:pPr>
      <w:r>
        <w:rPr>
          <w:rFonts w:ascii="宋体" w:hAnsi="宋体" w:hint="eastAsia"/>
          <w:bCs/>
          <w:iCs/>
          <w:color w:val="000000"/>
          <w:sz w:val="24"/>
        </w:rPr>
        <w:t>编号：2024-004</w:t>
      </w:r>
    </w:p>
    <w:tbl>
      <w:tblPr>
        <w:tblW w:w="9060"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6906"/>
      </w:tblGrid>
      <w:tr w:rsidR="00222D1C" w14:paraId="78BEFEC3" w14:textId="77777777">
        <w:tc>
          <w:tcPr>
            <w:tcW w:w="2154" w:type="dxa"/>
            <w:vAlign w:val="center"/>
          </w:tcPr>
          <w:p w14:paraId="1DEA61A5" w14:textId="77777777" w:rsidR="00222D1C" w:rsidRDefault="003324EB">
            <w:pPr>
              <w:spacing w:line="400" w:lineRule="exact"/>
              <w:rPr>
                <w:rFonts w:ascii="宋体" w:hAnsi="宋体" w:cs="宋体"/>
                <w:bCs/>
                <w:iCs/>
                <w:color w:val="000000"/>
                <w:sz w:val="24"/>
              </w:rPr>
            </w:pPr>
            <w:r>
              <w:rPr>
                <w:rFonts w:ascii="宋体" w:hAnsi="宋体" w:cs="宋体" w:hint="eastAsia"/>
                <w:bCs/>
                <w:iCs/>
                <w:color w:val="000000"/>
                <w:sz w:val="24"/>
              </w:rPr>
              <w:t>投资者关系活动类别</w:t>
            </w:r>
          </w:p>
        </w:tc>
        <w:tc>
          <w:tcPr>
            <w:tcW w:w="6906" w:type="dxa"/>
          </w:tcPr>
          <w:p w14:paraId="2151CBA1" w14:textId="77777777" w:rsidR="00222D1C" w:rsidRDefault="003324EB">
            <w:pPr>
              <w:tabs>
                <w:tab w:val="left" w:pos="3045"/>
                <w:tab w:val="center" w:pos="3199"/>
              </w:tabs>
              <w:spacing w:line="400" w:lineRule="exact"/>
              <w:rPr>
                <w:rFonts w:ascii="宋体" w:hAnsi="宋体" w:cs="宋体"/>
                <w:bCs/>
                <w:iCs/>
                <w:color w:val="000000"/>
                <w:sz w:val="24"/>
              </w:rPr>
            </w:pPr>
            <w:r>
              <w:rPr>
                <w:rFonts w:ascii="宋体" w:hAnsi="宋体" w:cs="宋体" w:hint="eastAsia"/>
                <w:bCs/>
                <w:iCs/>
                <w:color w:val="000000"/>
                <w:sz w:val="24"/>
              </w:rPr>
              <w:sym w:font="Wingdings 2" w:char="0052"/>
            </w:r>
            <w:r>
              <w:rPr>
                <w:rFonts w:ascii="宋体" w:hAnsi="宋体" w:cs="宋体" w:hint="eastAsia"/>
                <w:sz w:val="24"/>
              </w:rPr>
              <w:t xml:space="preserve">特定对象调研       </w:t>
            </w:r>
            <w:r>
              <w:rPr>
                <w:rFonts w:ascii="宋体" w:hAnsi="宋体" w:cs="宋体" w:hint="eastAsia"/>
                <w:bCs/>
                <w:iCs/>
                <w:color w:val="000000"/>
                <w:sz w:val="24"/>
              </w:rPr>
              <w:sym w:font="Wingdings 2" w:char="0052"/>
            </w:r>
            <w:r>
              <w:rPr>
                <w:rFonts w:ascii="宋体" w:hAnsi="宋体" w:cs="宋体" w:hint="eastAsia"/>
                <w:sz w:val="24"/>
              </w:rPr>
              <w:t>分析师会议</w:t>
            </w:r>
          </w:p>
          <w:p w14:paraId="38647AB3" w14:textId="77777777" w:rsidR="00222D1C" w:rsidRDefault="003324EB">
            <w:pPr>
              <w:tabs>
                <w:tab w:val="left" w:pos="3045"/>
                <w:tab w:val="center" w:pos="3199"/>
              </w:tabs>
              <w:spacing w:line="400" w:lineRule="exact"/>
              <w:rPr>
                <w:rFonts w:ascii="宋体" w:hAnsi="宋体" w:cs="宋体"/>
                <w:bCs/>
                <w:iCs/>
                <w:color w:val="000000"/>
                <w:sz w:val="24"/>
              </w:rPr>
            </w:pPr>
            <w:r>
              <w:rPr>
                <w:rFonts w:ascii="宋体" w:hAnsi="宋体" w:cs="宋体" w:hint="eastAsia"/>
                <w:bCs/>
                <w:iCs/>
                <w:color w:val="000000"/>
                <w:sz w:val="24"/>
              </w:rPr>
              <w:t xml:space="preserve">□ </w:t>
            </w:r>
            <w:r>
              <w:rPr>
                <w:rFonts w:ascii="宋体" w:hAnsi="宋体" w:cs="宋体" w:hint="eastAsia"/>
                <w:sz w:val="24"/>
              </w:rPr>
              <w:t xml:space="preserve">媒体采访           </w:t>
            </w:r>
            <w:r>
              <w:rPr>
                <w:rFonts w:ascii="宋体" w:hAnsi="宋体" w:cs="宋体" w:hint="eastAsia"/>
                <w:bCs/>
                <w:iCs/>
                <w:color w:val="000000"/>
                <w:sz w:val="24"/>
              </w:rPr>
              <w:t xml:space="preserve">□ </w:t>
            </w:r>
            <w:r>
              <w:rPr>
                <w:rFonts w:ascii="宋体" w:hAnsi="宋体" w:cs="宋体" w:hint="eastAsia"/>
                <w:sz w:val="24"/>
              </w:rPr>
              <w:t>业绩说明会</w:t>
            </w:r>
          </w:p>
          <w:p w14:paraId="75A11ED7" w14:textId="77777777" w:rsidR="00222D1C" w:rsidRDefault="003324EB">
            <w:pPr>
              <w:tabs>
                <w:tab w:val="left" w:pos="3045"/>
                <w:tab w:val="center" w:pos="3199"/>
              </w:tabs>
              <w:spacing w:line="400" w:lineRule="exact"/>
              <w:rPr>
                <w:rFonts w:ascii="宋体" w:hAnsi="宋体" w:cs="宋体"/>
                <w:bCs/>
                <w:iCs/>
                <w:color w:val="000000"/>
                <w:sz w:val="24"/>
              </w:rPr>
            </w:pPr>
            <w:r>
              <w:rPr>
                <w:rFonts w:ascii="宋体" w:hAnsi="宋体" w:cs="宋体" w:hint="eastAsia"/>
                <w:bCs/>
                <w:iCs/>
                <w:color w:val="000000"/>
                <w:sz w:val="24"/>
              </w:rPr>
              <w:t xml:space="preserve">□ </w:t>
            </w:r>
            <w:r>
              <w:rPr>
                <w:rFonts w:ascii="宋体" w:hAnsi="宋体" w:cs="宋体" w:hint="eastAsia"/>
                <w:sz w:val="24"/>
              </w:rPr>
              <w:t xml:space="preserve">新闻发布会         </w:t>
            </w:r>
            <w:r>
              <w:rPr>
                <w:rFonts w:ascii="宋体" w:hAnsi="宋体" w:cs="宋体" w:hint="eastAsia"/>
                <w:bCs/>
                <w:iCs/>
                <w:color w:val="000000"/>
                <w:sz w:val="24"/>
              </w:rPr>
              <w:t xml:space="preserve">□ </w:t>
            </w:r>
            <w:r>
              <w:rPr>
                <w:rFonts w:ascii="宋体" w:hAnsi="宋体" w:cs="宋体" w:hint="eastAsia"/>
                <w:sz w:val="24"/>
              </w:rPr>
              <w:t>路演活动</w:t>
            </w:r>
          </w:p>
          <w:p w14:paraId="699C67FB" w14:textId="77777777" w:rsidR="00222D1C" w:rsidRDefault="003324EB">
            <w:pPr>
              <w:tabs>
                <w:tab w:val="left" w:pos="3045"/>
                <w:tab w:val="center" w:pos="3199"/>
              </w:tabs>
              <w:spacing w:line="400" w:lineRule="exact"/>
              <w:rPr>
                <w:rFonts w:ascii="宋体" w:hAnsi="宋体" w:cs="宋体"/>
                <w:bCs/>
                <w:iCs/>
                <w:color w:val="000000"/>
                <w:sz w:val="24"/>
              </w:rPr>
            </w:pPr>
            <w:r>
              <w:rPr>
                <w:rFonts w:ascii="宋体" w:hAnsi="宋体" w:cs="宋体" w:hint="eastAsia"/>
                <w:bCs/>
                <w:iCs/>
                <w:color w:val="000000"/>
                <w:sz w:val="24"/>
              </w:rPr>
              <w:t xml:space="preserve">□ </w:t>
            </w:r>
            <w:r>
              <w:rPr>
                <w:rFonts w:ascii="宋体" w:hAnsi="宋体" w:cs="宋体" w:hint="eastAsia"/>
                <w:sz w:val="24"/>
              </w:rPr>
              <w:t xml:space="preserve">现场参观           </w:t>
            </w:r>
            <w:r>
              <w:rPr>
                <w:rFonts w:ascii="宋体" w:hAnsi="宋体" w:cs="宋体" w:hint="eastAsia"/>
                <w:bCs/>
                <w:iCs/>
                <w:color w:val="000000"/>
                <w:sz w:val="24"/>
              </w:rPr>
              <w:sym w:font="Wingdings 2" w:char="00A3"/>
            </w:r>
            <w:r>
              <w:rPr>
                <w:rFonts w:ascii="宋体" w:hAnsi="宋体" w:cs="宋体"/>
                <w:bCs/>
                <w:iCs/>
                <w:color w:val="000000"/>
                <w:sz w:val="24"/>
              </w:rPr>
              <w:t xml:space="preserve"> </w:t>
            </w:r>
            <w:r>
              <w:rPr>
                <w:rFonts w:ascii="宋体" w:hAnsi="宋体" w:cs="宋体" w:hint="eastAsia"/>
                <w:sz w:val="24"/>
              </w:rPr>
              <w:t xml:space="preserve">其他（电话调研）  </w:t>
            </w:r>
          </w:p>
        </w:tc>
      </w:tr>
      <w:tr w:rsidR="00222D1C" w14:paraId="3D580A44" w14:textId="77777777">
        <w:tc>
          <w:tcPr>
            <w:tcW w:w="2154" w:type="dxa"/>
            <w:vAlign w:val="center"/>
          </w:tcPr>
          <w:p w14:paraId="22BEB5DC" w14:textId="77777777" w:rsidR="00222D1C" w:rsidRDefault="003324EB">
            <w:pPr>
              <w:spacing w:line="400" w:lineRule="exact"/>
              <w:rPr>
                <w:rFonts w:ascii="宋体" w:hAnsi="宋体" w:cs="宋体"/>
                <w:bCs/>
                <w:iCs/>
                <w:color w:val="000000"/>
                <w:sz w:val="24"/>
              </w:rPr>
            </w:pPr>
            <w:r>
              <w:rPr>
                <w:rFonts w:ascii="宋体" w:hAnsi="宋体" w:cs="宋体" w:hint="eastAsia"/>
                <w:bCs/>
                <w:iCs/>
                <w:color w:val="000000"/>
                <w:sz w:val="24"/>
              </w:rPr>
              <w:t>参与单位名称</w:t>
            </w:r>
          </w:p>
        </w:tc>
        <w:tc>
          <w:tcPr>
            <w:tcW w:w="6906" w:type="dxa"/>
            <w:vAlign w:val="center"/>
          </w:tcPr>
          <w:p w14:paraId="45813440" w14:textId="77777777" w:rsidR="00222D1C" w:rsidRDefault="003324EB">
            <w:pPr>
              <w:spacing w:line="400" w:lineRule="exact"/>
              <w:rPr>
                <w:bCs/>
                <w:iCs/>
                <w:sz w:val="24"/>
              </w:rPr>
            </w:pPr>
            <w:r>
              <w:rPr>
                <w:rFonts w:hint="eastAsia"/>
                <w:bCs/>
                <w:iCs/>
                <w:sz w:val="24"/>
              </w:rPr>
              <w:t>国新国同、</w:t>
            </w:r>
            <w:proofErr w:type="gramStart"/>
            <w:r>
              <w:rPr>
                <w:rFonts w:hint="eastAsia"/>
                <w:bCs/>
                <w:iCs/>
                <w:sz w:val="24"/>
              </w:rPr>
              <w:t>中信创投</w:t>
            </w:r>
            <w:proofErr w:type="gramEnd"/>
            <w:r>
              <w:rPr>
                <w:rFonts w:hint="eastAsia"/>
                <w:bCs/>
                <w:iCs/>
                <w:sz w:val="24"/>
              </w:rPr>
              <w:t>、</w:t>
            </w:r>
            <w:proofErr w:type="gramStart"/>
            <w:r>
              <w:rPr>
                <w:rFonts w:hint="eastAsia"/>
                <w:bCs/>
                <w:iCs/>
                <w:sz w:val="24"/>
              </w:rPr>
              <w:t>浙商</w:t>
            </w:r>
            <w:proofErr w:type="gramEnd"/>
            <w:r>
              <w:rPr>
                <w:rFonts w:hint="eastAsia"/>
                <w:bCs/>
                <w:iCs/>
                <w:sz w:val="24"/>
              </w:rPr>
              <w:t>资管、国寿投资、</w:t>
            </w:r>
            <w:proofErr w:type="gramStart"/>
            <w:r>
              <w:rPr>
                <w:rFonts w:hint="eastAsia"/>
                <w:bCs/>
                <w:iCs/>
                <w:sz w:val="24"/>
              </w:rPr>
              <w:t>工银瑞</w:t>
            </w:r>
            <w:proofErr w:type="gramEnd"/>
            <w:r>
              <w:rPr>
                <w:rFonts w:hint="eastAsia"/>
                <w:bCs/>
                <w:iCs/>
                <w:sz w:val="24"/>
              </w:rPr>
              <w:t>信、华福证券、华宝基金、</w:t>
            </w:r>
            <w:proofErr w:type="gramStart"/>
            <w:r>
              <w:rPr>
                <w:rFonts w:hint="eastAsia"/>
                <w:bCs/>
                <w:iCs/>
                <w:sz w:val="24"/>
              </w:rPr>
              <w:t>永赢基</w:t>
            </w:r>
            <w:proofErr w:type="gramEnd"/>
            <w:r>
              <w:rPr>
                <w:rFonts w:hint="eastAsia"/>
                <w:bCs/>
                <w:iCs/>
                <w:sz w:val="24"/>
              </w:rPr>
              <w:t>金、富国基金、融通基金、诺安基金、朱雀基金</w:t>
            </w:r>
          </w:p>
        </w:tc>
      </w:tr>
      <w:tr w:rsidR="00222D1C" w14:paraId="39AD9F64" w14:textId="77777777">
        <w:tc>
          <w:tcPr>
            <w:tcW w:w="2154" w:type="dxa"/>
            <w:vAlign w:val="center"/>
          </w:tcPr>
          <w:p w14:paraId="66C9FB79" w14:textId="77777777" w:rsidR="00222D1C" w:rsidRDefault="003324EB">
            <w:pPr>
              <w:spacing w:line="400" w:lineRule="exact"/>
              <w:rPr>
                <w:rFonts w:ascii="宋体" w:hAnsi="宋体" w:cs="宋体"/>
                <w:bCs/>
                <w:iCs/>
                <w:color w:val="000000"/>
                <w:sz w:val="24"/>
              </w:rPr>
            </w:pPr>
            <w:r>
              <w:rPr>
                <w:rFonts w:ascii="宋体" w:hAnsi="宋体" w:cs="宋体" w:hint="eastAsia"/>
                <w:bCs/>
                <w:iCs/>
                <w:color w:val="000000"/>
                <w:sz w:val="24"/>
              </w:rPr>
              <w:t>时间</w:t>
            </w:r>
          </w:p>
        </w:tc>
        <w:tc>
          <w:tcPr>
            <w:tcW w:w="6906" w:type="dxa"/>
            <w:vAlign w:val="center"/>
          </w:tcPr>
          <w:p w14:paraId="69C1F3B9" w14:textId="77777777" w:rsidR="00222D1C" w:rsidRDefault="003324EB">
            <w:pPr>
              <w:spacing w:line="400" w:lineRule="exact"/>
              <w:rPr>
                <w:bCs/>
                <w:iCs/>
                <w:color w:val="000000"/>
                <w:sz w:val="24"/>
              </w:rPr>
            </w:pPr>
            <w:r>
              <w:rPr>
                <w:bCs/>
                <w:iCs/>
                <w:color w:val="000000"/>
                <w:sz w:val="24"/>
              </w:rPr>
              <w:t>202</w:t>
            </w:r>
            <w:r>
              <w:rPr>
                <w:rFonts w:hint="eastAsia"/>
                <w:bCs/>
                <w:iCs/>
                <w:color w:val="000000"/>
                <w:sz w:val="24"/>
              </w:rPr>
              <w:t>4</w:t>
            </w:r>
            <w:r>
              <w:rPr>
                <w:bCs/>
                <w:iCs/>
                <w:color w:val="000000"/>
                <w:sz w:val="24"/>
              </w:rPr>
              <w:t>年</w:t>
            </w:r>
            <w:r>
              <w:rPr>
                <w:rFonts w:hint="eastAsia"/>
                <w:bCs/>
                <w:iCs/>
                <w:color w:val="000000"/>
                <w:sz w:val="24"/>
              </w:rPr>
              <w:t>第三季度</w:t>
            </w:r>
          </w:p>
        </w:tc>
      </w:tr>
      <w:tr w:rsidR="00222D1C" w14:paraId="67A3E602" w14:textId="77777777">
        <w:tc>
          <w:tcPr>
            <w:tcW w:w="2154" w:type="dxa"/>
            <w:vAlign w:val="center"/>
          </w:tcPr>
          <w:p w14:paraId="3C028C91" w14:textId="77777777" w:rsidR="00222D1C" w:rsidRDefault="003324EB">
            <w:pPr>
              <w:spacing w:line="400" w:lineRule="exact"/>
              <w:rPr>
                <w:rFonts w:ascii="宋体" w:hAnsi="宋体" w:cs="宋体"/>
                <w:bCs/>
                <w:iCs/>
                <w:color w:val="000000"/>
                <w:sz w:val="24"/>
              </w:rPr>
            </w:pPr>
            <w:r>
              <w:rPr>
                <w:rFonts w:ascii="宋体" w:hAnsi="宋体" w:cs="宋体" w:hint="eastAsia"/>
                <w:bCs/>
                <w:iCs/>
                <w:color w:val="000000"/>
                <w:sz w:val="24"/>
              </w:rPr>
              <w:t>地点</w:t>
            </w:r>
          </w:p>
        </w:tc>
        <w:tc>
          <w:tcPr>
            <w:tcW w:w="6906" w:type="dxa"/>
            <w:vAlign w:val="center"/>
          </w:tcPr>
          <w:p w14:paraId="03399E59" w14:textId="370AFC07" w:rsidR="00222D1C" w:rsidRDefault="003C03FB">
            <w:pPr>
              <w:spacing w:line="400" w:lineRule="exact"/>
              <w:rPr>
                <w:bCs/>
                <w:iCs/>
                <w:color w:val="000000"/>
                <w:sz w:val="24"/>
              </w:rPr>
            </w:pPr>
            <w:r>
              <w:rPr>
                <w:rFonts w:hint="eastAsia"/>
                <w:bCs/>
                <w:iCs/>
                <w:color w:val="000000"/>
                <w:sz w:val="24"/>
              </w:rPr>
              <w:t>公司会议室</w:t>
            </w:r>
          </w:p>
        </w:tc>
      </w:tr>
      <w:tr w:rsidR="00222D1C" w14:paraId="2E1A80C2" w14:textId="77777777">
        <w:tc>
          <w:tcPr>
            <w:tcW w:w="2154" w:type="dxa"/>
            <w:vAlign w:val="center"/>
          </w:tcPr>
          <w:p w14:paraId="18DA06F2" w14:textId="77777777" w:rsidR="00222D1C" w:rsidRDefault="003324EB">
            <w:pPr>
              <w:spacing w:line="400" w:lineRule="exact"/>
              <w:rPr>
                <w:rFonts w:ascii="宋体" w:hAnsi="宋体" w:cs="宋体"/>
                <w:bCs/>
                <w:iCs/>
                <w:color w:val="000000"/>
                <w:sz w:val="24"/>
              </w:rPr>
            </w:pPr>
            <w:r>
              <w:rPr>
                <w:rFonts w:ascii="宋体" w:hAnsi="宋体" w:cs="宋体" w:hint="eastAsia"/>
                <w:bCs/>
                <w:iCs/>
                <w:color w:val="000000"/>
                <w:sz w:val="24"/>
              </w:rPr>
              <w:t>上市公司接待人员</w:t>
            </w:r>
          </w:p>
        </w:tc>
        <w:tc>
          <w:tcPr>
            <w:tcW w:w="6906" w:type="dxa"/>
            <w:vAlign w:val="center"/>
          </w:tcPr>
          <w:p w14:paraId="6F137DAA" w14:textId="77777777" w:rsidR="00222D1C" w:rsidRDefault="003324EB">
            <w:pPr>
              <w:spacing w:line="400" w:lineRule="exact"/>
              <w:rPr>
                <w:bCs/>
                <w:iCs/>
                <w:color w:val="000000"/>
                <w:sz w:val="24"/>
              </w:rPr>
            </w:pPr>
            <w:r>
              <w:rPr>
                <w:color w:val="000000" w:themeColor="text1"/>
                <w:sz w:val="24"/>
              </w:rPr>
              <w:t>副总经理、董事会秘书</w:t>
            </w:r>
            <w:r>
              <w:rPr>
                <w:rFonts w:hint="eastAsia"/>
                <w:color w:val="000000" w:themeColor="text1"/>
                <w:sz w:val="24"/>
              </w:rPr>
              <w:t xml:space="preserve"> </w:t>
            </w:r>
            <w:r>
              <w:rPr>
                <w:color w:val="000000" w:themeColor="text1"/>
                <w:sz w:val="24"/>
              </w:rPr>
              <w:t>张利</w:t>
            </w:r>
          </w:p>
        </w:tc>
      </w:tr>
      <w:tr w:rsidR="00222D1C" w14:paraId="3784B209" w14:textId="77777777">
        <w:tc>
          <w:tcPr>
            <w:tcW w:w="2154" w:type="dxa"/>
            <w:vAlign w:val="center"/>
          </w:tcPr>
          <w:p w14:paraId="373EACEE" w14:textId="77777777" w:rsidR="00222D1C" w:rsidRDefault="003324EB">
            <w:pPr>
              <w:spacing w:line="400" w:lineRule="exact"/>
              <w:rPr>
                <w:rFonts w:ascii="宋体" w:hAnsi="宋体" w:cs="宋体"/>
                <w:bCs/>
                <w:iCs/>
                <w:color w:val="000000"/>
                <w:sz w:val="24"/>
              </w:rPr>
            </w:pPr>
            <w:r>
              <w:rPr>
                <w:rFonts w:ascii="宋体" w:hAnsi="宋体" w:cs="宋体" w:hint="eastAsia"/>
                <w:bCs/>
                <w:iCs/>
                <w:color w:val="000000"/>
                <w:sz w:val="24"/>
              </w:rPr>
              <w:t>投资者关系活动主要内容介绍</w:t>
            </w:r>
          </w:p>
        </w:tc>
        <w:tc>
          <w:tcPr>
            <w:tcW w:w="6906" w:type="dxa"/>
            <w:vAlign w:val="center"/>
          </w:tcPr>
          <w:p w14:paraId="1E6DCB16" w14:textId="77777777" w:rsidR="00222D1C" w:rsidRDefault="003324EB">
            <w:pPr>
              <w:autoSpaceDE w:val="0"/>
              <w:autoSpaceDN w:val="0"/>
              <w:adjustRightInd w:val="0"/>
              <w:spacing w:line="380" w:lineRule="exact"/>
              <w:ind w:firstLineChars="200" w:firstLine="482"/>
              <w:rPr>
                <w:rFonts w:ascii="宋体" w:hAnsi="宋体" w:cs="宋体"/>
                <w:b/>
                <w:bCs/>
                <w:sz w:val="24"/>
              </w:rPr>
            </w:pPr>
            <w:r>
              <w:rPr>
                <w:rFonts w:ascii="宋体" w:hAnsi="宋体" w:cs="宋体" w:hint="eastAsia"/>
                <w:b/>
                <w:bCs/>
                <w:sz w:val="24"/>
              </w:rPr>
              <w:t>主要问答记录：</w:t>
            </w:r>
          </w:p>
          <w:p w14:paraId="426996D3" w14:textId="77777777" w:rsidR="00222D1C" w:rsidRDefault="003324EB">
            <w:pPr>
              <w:autoSpaceDE w:val="0"/>
              <w:autoSpaceDN w:val="0"/>
              <w:adjustRightInd w:val="0"/>
              <w:spacing w:line="380" w:lineRule="exact"/>
              <w:ind w:firstLineChars="200" w:firstLine="482"/>
              <w:rPr>
                <w:rFonts w:ascii="宋体" w:hAnsi="宋体" w:cs="宋体"/>
                <w:b/>
                <w:sz w:val="24"/>
              </w:rPr>
            </w:pPr>
            <w:r>
              <w:rPr>
                <w:rFonts w:hint="eastAsia"/>
                <w:b/>
                <w:sz w:val="24"/>
              </w:rPr>
              <w:t>1</w:t>
            </w:r>
            <w:r>
              <w:rPr>
                <w:rFonts w:hint="eastAsia"/>
                <w:b/>
                <w:sz w:val="24"/>
              </w:rPr>
              <w:t>、</w:t>
            </w:r>
            <w:r>
              <w:rPr>
                <w:rFonts w:ascii="宋体" w:hAnsi="宋体" w:cs="宋体" w:hint="eastAsia"/>
                <w:b/>
                <w:sz w:val="24"/>
              </w:rPr>
              <w:t>公司目前项目资源获取、区域分布及发展策略？</w:t>
            </w:r>
          </w:p>
          <w:p w14:paraId="33BC2249" w14:textId="77777777" w:rsidR="00222D1C" w:rsidRDefault="003324EB">
            <w:pPr>
              <w:autoSpaceDE w:val="0"/>
              <w:autoSpaceDN w:val="0"/>
              <w:adjustRightInd w:val="0"/>
              <w:spacing w:line="380" w:lineRule="exact"/>
              <w:ind w:firstLineChars="200" w:firstLine="480"/>
              <w:rPr>
                <w:sz w:val="24"/>
              </w:rPr>
            </w:pPr>
            <w:r>
              <w:rPr>
                <w:rFonts w:hint="eastAsia"/>
                <w:sz w:val="24"/>
              </w:rPr>
              <w:t>项目开发方面，公司今年已取得三个海上风</w:t>
            </w:r>
            <w:proofErr w:type="gramStart"/>
            <w:r>
              <w:rPr>
                <w:rFonts w:hint="eastAsia"/>
                <w:sz w:val="24"/>
              </w:rPr>
              <w:t>电项目</w:t>
            </w:r>
            <w:proofErr w:type="gramEnd"/>
            <w:r>
              <w:rPr>
                <w:rFonts w:hint="eastAsia"/>
                <w:sz w:val="24"/>
              </w:rPr>
              <w:t>共</w:t>
            </w:r>
            <w:r>
              <w:rPr>
                <w:rFonts w:hint="eastAsia"/>
                <w:sz w:val="24"/>
              </w:rPr>
              <w:t>145</w:t>
            </w:r>
            <w:r>
              <w:rPr>
                <w:rFonts w:hint="eastAsia"/>
                <w:sz w:val="24"/>
              </w:rPr>
              <w:t>万千瓦开发权，同时重点推进甘肃地区陆上风</w:t>
            </w:r>
            <w:proofErr w:type="gramStart"/>
            <w:r>
              <w:rPr>
                <w:rFonts w:hint="eastAsia"/>
                <w:sz w:val="24"/>
              </w:rPr>
              <w:t>电项</w:t>
            </w:r>
            <w:proofErr w:type="gramEnd"/>
            <w:r>
              <w:rPr>
                <w:rFonts w:hint="eastAsia"/>
                <w:sz w:val="24"/>
              </w:rPr>
              <w:t>目和四川甘孜、江苏、浙江、福建等地区的光</w:t>
            </w:r>
            <w:proofErr w:type="gramStart"/>
            <w:r>
              <w:rPr>
                <w:rFonts w:hint="eastAsia"/>
                <w:sz w:val="24"/>
              </w:rPr>
              <w:t>伏项</w:t>
            </w:r>
            <w:proofErr w:type="gramEnd"/>
            <w:r>
              <w:rPr>
                <w:rFonts w:hint="eastAsia"/>
                <w:sz w:val="24"/>
              </w:rPr>
              <w:t>目前期工作，坚持规模化、基地化开发；项目建设方面，组建专业化技术队伍，加强建设力量集中管理。公司在挑选优质项目的基础上，继续坚持三大业务板块协同发展，</w:t>
            </w:r>
            <w:proofErr w:type="gramStart"/>
            <w:r>
              <w:rPr>
                <w:rFonts w:hint="eastAsia"/>
                <w:sz w:val="24"/>
              </w:rPr>
              <w:t>优化占</w:t>
            </w:r>
            <w:proofErr w:type="gramEnd"/>
            <w:r>
              <w:rPr>
                <w:rFonts w:hint="eastAsia"/>
                <w:sz w:val="24"/>
              </w:rPr>
              <w:t>比布局，塑造“本省为基、区域辐射、海陆同增、全域广布”新格局。</w:t>
            </w:r>
          </w:p>
          <w:p w14:paraId="3A6D3D88" w14:textId="77777777" w:rsidR="00222D1C" w:rsidRDefault="003324EB">
            <w:pPr>
              <w:autoSpaceDE w:val="0"/>
              <w:autoSpaceDN w:val="0"/>
              <w:adjustRightInd w:val="0"/>
              <w:spacing w:line="380" w:lineRule="exact"/>
              <w:ind w:firstLineChars="200" w:firstLine="482"/>
              <w:rPr>
                <w:b/>
                <w:bCs/>
                <w:sz w:val="24"/>
              </w:rPr>
            </w:pPr>
            <w:r>
              <w:rPr>
                <w:rFonts w:hint="eastAsia"/>
                <w:b/>
                <w:bCs/>
                <w:sz w:val="24"/>
              </w:rPr>
              <w:t>2</w:t>
            </w:r>
            <w:r>
              <w:rPr>
                <w:rFonts w:hint="eastAsia"/>
                <w:b/>
                <w:bCs/>
                <w:sz w:val="24"/>
              </w:rPr>
              <w:t>、公司项目投资回报率如何？</w:t>
            </w:r>
          </w:p>
          <w:p w14:paraId="1F1991E2" w14:textId="77777777" w:rsidR="00222D1C" w:rsidRDefault="003324EB">
            <w:pPr>
              <w:autoSpaceDE w:val="0"/>
              <w:autoSpaceDN w:val="0"/>
              <w:adjustRightInd w:val="0"/>
              <w:spacing w:line="380" w:lineRule="exact"/>
              <w:ind w:firstLineChars="200" w:firstLine="480"/>
              <w:rPr>
                <w:sz w:val="24"/>
              </w:rPr>
            </w:pPr>
            <w:r>
              <w:rPr>
                <w:rFonts w:hint="eastAsia"/>
                <w:sz w:val="24"/>
              </w:rPr>
              <w:t>公司对项目投资设置了严格的投资决策程序，通过内外部在法律、财务、技术等方面进行严格审查和风险评估，确保收益率满足公司的投资收益要求。公司秉持稳健的经营理念，确保在风险可控的前提下加大项目投资。</w:t>
            </w:r>
          </w:p>
          <w:p w14:paraId="06E667AA" w14:textId="77777777" w:rsidR="00222D1C" w:rsidRDefault="003324EB">
            <w:pPr>
              <w:autoSpaceDE w:val="0"/>
              <w:autoSpaceDN w:val="0"/>
              <w:adjustRightInd w:val="0"/>
              <w:spacing w:line="380" w:lineRule="exact"/>
              <w:ind w:firstLineChars="200" w:firstLine="482"/>
              <w:rPr>
                <w:b/>
                <w:bCs/>
                <w:sz w:val="24"/>
              </w:rPr>
            </w:pPr>
            <w:r>
              <w:rPr>
                <w:rFonts w:hint="eastAsia"/>
                <w:b/>
                <w:bCs/>
                <w:sz w:val="24"/>
              </w:rPr>
              <w:t>3</w:t>
            </w:r>
            <w:r>
              <w:rPr>
                <w:rFonts w:hint="eastAsia"/>
                <w:b/>
                <w:bCs/>
                <w:sz w:val="24"/>
              </w:rPr>
              <w:t>、公司“十四五”目标完成情况，有没有“十五五”装机规划？</w:t>
            </w:r>
          </w:p>
          <w:p w14:paraId="026A25D7" w14:textId="77777777" w:rsidR="00222D1C" w:rsidRDefault="003324EB">
            <w:pPr>
              <w:autoSpaceDE w:val="0"/>
              <w:autoSpaceDN w:val="0"/>
              <w:adjustRightInd w:val="0"/>
              <w:spacing w:line="380" w:lineRule="exact"/>
              <w:ind w:firstLineChars="200" w:firstLine="480"/>
              <w:rPr>
                <w:sz w:val="24"/>
              </w:rPr>
            </w:pPr>
            <w:r>
              <w:rPr>
                <w:rFonts w:hint="eastAsia"/>
                <w:sz w:val="24"/>
              </w:rPr>
              <w:t>目前公司正处于“十四五”规划的冲刺阶段，整体继续朝着“十四五”既定的规模目标努力，公司将结合市场情况，择优布局，推进项目建设。</w:t>
            </w:r>
          </w:p>
          <w:p w14:paraId="1BD86CBF" w14:textId="77777777" w:rsidR="00222D1C" w:rsidRDefault="003324EB">
            <w:pPr>
              <w:autoSpaceDE w:val="0"/>
              <w:autoSpaceDN w:val="0"/>
              <w:adjustRightInd w:val="0"/>
              <w:spacing w:line="380" w:lineRule="exact"/>
              <w:ind w:firstLineChars="200" w:firstLine="480"/>
              <w:rPr>
                <w:sz w:val="24"/>
              </w:rPr>
            </w:pPr>
            <w:r>
              <w:rPr>
                <w:rFonts w:hint="eastAsia"/>
                <w:sz w:val="24"/>
              </w:rPr>
              <w:t>公司已着手谋划“十五五”相关规划，开展调研及相关政策</w:t>
            </w:r>
            <w:r>
              <w:rPr>
                <w:rFonts w:hint="eastAsia"/>
                <w:sz w:val="24"/>
              </w:rPr>
              <w:lastRenderedPageBreak/>
              <w:t>要求的研究、梳理及其他各项规划编制准备工作。公司将持续努力做好生产经营，积极降本增效，不断争取更好的经营业绩，回报投资者。</w:t>
            </w:r>
          </w:p>
          <w:p w14:paraId="7BF19DD6" w14:textId="77777777" w:rsidR="00222D1C" w:rsidRDefault="003324EB">
            <w:pPr>
              <w:ind w:firstLineChars="200" w:firstLine="482"/>
              <w:rPr>
                <w:rFonts w:ascii="仿宋_GB2312" w:eastAsia="仿宋_GB2312"/>
                <w:b/>
                <w:sz w:val="28"/>
                <w:szCs w:val="28"/>
              </w:rPr>
            </w:pPr>
            <w:r>
              <w:rPr>
                <w:rFonts w:hint="eastAsia"/>
                <w:b/>
                <w:sz w:val="24"/>
              </w:rPr>
              <w:t>4</w:t>
            </w:r>
            <w:r>
              <w:rPr>
                <w:rFonts w:hint="eastAsia"/>
                <w:b/>
                <w:sz w:val="24"/>
              </w:rPr>
              <w:t>、公司</w:t>
            </w:r>
            <w:r>
              <w:rPr>
                <w:rFonts w:hint="eastAsia"/>
                <w:b/>
                <w:sz w:val="24"/>
              </w:rPr>
              <w:t>2024</w:t>
            </w:r>
            <w:r>
              <w:rPr>
                <w:rFonts w:hint="eastAsia"/>
                <w:b/>
                <w:sz w:val="24"/>
              </w:rPr>
              <w:t>年上半年市场化交易情况及未来电价走势？</w:t>
            </w:r>
          </w:p>
          <w:p w14:paraId="7E9B0BD2" w14:textId="77777777" w:rsidR="00222D1C" w:rsidRDefault="003324EB">
            <w:pPr>
              <w:autoSpaceDE w:val="0"/>
              <w:autoSpaceDN w:val="0"/>
              <w:adjustRightInd w:val="0"/>
              <w:spacing w:line="380" w:lineRule="exact"/>
              <w:ind w:firstLineChars="200" w:firstLine="480"/>
              <w:rPr>
                <w:sz w:val="24"/>
              </w:rPr>
            </w:pPr>
            <w:r>
              <w:rPr>
                <w:rFonts w:hint="eastAsia"/>
                <w:sz w:val="24"/>
              </w:rPr>
              <w:t>电力市场化进程加速，公司着重实施电力市场营销、交易组合拳，全力争取省间外送、</w:t>
            </w:r>
            <w:proofErr w:type="gramStart"/>
            <w:r>
              <w:rPr>
                <w:rFonts w:hint="eastAsia"/>
                <w:sz w:val="24"/>
              </w:rPr>
              <w:t>绿电等</w:t>
            </w:r>
            <w:proofErr w:type="gramEnd"/>
            <w:r>
              <w:rPr>
                <w:rFonts w:hint="eastAsia"/>
                <w:sz w:val="24"/>
              </w:rPr>
              <w:t>高电价电力交易机会，</w:t>
            </w:r>
            <w:r>
              <w:rPr>
                <w:rFonts w:hint="eastAsia"/>
                <w:sz w:val="24"/>
              </w:rPr>
              <w:t>2024</w:t>
            </w:r>
            <w:r>
              <w:rPr>
                <w:rFonts w:hint="eastAsia"/>
                <w:sz w:val="24"/>
              </w:rPr>
              <w:t>年上半年完成市场化交易电量约</w:t>
            </w:r>
            <w:r>
              <w:rPr>
                <w:rFonts w:hint="eastAsia"/>
                <w:sz w:val="24"/>
              </w:rPr>
              <w:t>30</w:t>
            </w:r>
            <w:r>
              <w:rPr>
                <w:rFonts w:hint="eastAsia"/>
                <w:sz w:val="24"/>
              </w:rPr>
              <w:t>亿千瓦时。随着电力市场化改革纵深推进，能源结构不断优化调整，竞价机制进一步建立，价格信号有效传导，市场配置资源的作用得以更好地发挥，上网结算电价将更加市场化、灵活化和波动化。</w:t>
            </w:r>
          </w:p>
          <w:p w14:paraId="40CB99F5" w14:textId="77777777" w:rsidR="00222D1C" w:rsidRDefault="003324EB">
            <w:pPr>
              <w:autoSpaceDE w:val="0"/>
              <w:autoSpaceDN w:val="0"/>
              <w:adjustRightInd w:val="0"/>
              <w:spacing w:line="380" w:lineRule="exact"/>
              <w:ind w:firstLineChars="200" w:firstLine="482"/>
              <w:rPr>
                <w:b/>
                <w:sz w:val="24"/>
              </w:rPr>
            </w:pPr>
            <w:r>
              <w:rPr>
                <w:rFonts w:hint="eastAsia"/>
                <w:b/>
                <w:sz w:val="24"/>
              </w:rPr>
              <w:t>5</w:t>
            </w:r>
            <w:r>
              <w:rPr>
                <w:rFonts w:hint="eastAsia"/>
                <w:b/>
                <w:sz w:val="24"/>
              </w:rPr>
              <w:t>、公司如何做好市场化交易工作？</w:t>
            </w:r>
          </w:p>
          <w:p w14:paraId="7E224ECE" w14:textId="77777777" w:rsidR="00222D1C" w:rsidRDefault="003324EB">
            <w:pPr>
              <w:autoSpaceDE w:val="0"/>
              <w:autoSpaceDN w:val="0"/>
              <w:adjustRightInd w:val="0"/>
              <w:spacing w:line="380" w:lineRule="exact"/>
              <w:ind w:firstLineChars="200" w:firstLine="480"/>
              <w:rPr>
                <w:sz w:val="24"/>
                <w:highlight w:val="yellow"/>
              </w:rPr>
            </w:pPr>
            <w:r>
              <w:rPr>
                <w:rFonts w:hint="eastAsia"/>
                <w:sz w:val="24"/>
              </w:rPr>
              <w:t>公司已成立运管公司重点加强电力市场交易专业人才队伍培养，提升营销、交易水平和集约管理效能，主要在三个方面着力提升相关工作：一是技术支撑，编制不同数据统计分析模版，形成全流程数据报送分析体系，制作省间多通道集中竞价出清模型，事前把控低价出清风险；二是组织培训，提升各区域交易人员理论水平和交易技能；三是深挖交易策略，针对政策细化不同模式交易策略，辅助获得超额收益。</w:t>
            </w:r>
          </w:p>
          <w:p w14:paraId="26935A4F" w14:textId="77777777" w:rsidR="00222D1C" w:rsidRDefault="003324EB">
            <w:pPr>
              <w:autoSpaceDE w:val="0"/>
              <w:autoSpaceDN w:val="0"/>
              <w:adjustRightInd w:val="0"/>
              <w:spacing w:line="380" w:lineRule="exact"/>
              <w:ind w:firstLineChars="200" w:firstLine="482"/>
              <w:rPr>
                <w:b/>
                <w:sz w:val="24"/>
              </w:rPr>
            </w:pPr>
            <w:r>
              <w:rPr>
                <w:rFonts w:hint="eastAsia"/>
                <w:b/>
                <w:sz w:val="24"/>
              </w:rPr>
              <w:t>6</w:t>
            </w:r>
            <w:r>
              <w:rPr>
                <w:rFonts w:hint="eastAsia"/>
                <w:b/>
                <w:sz w:val="24"/>
              </w:rPr>
              <w:t>、公司</w:t>
            </w:r>
            <w:proofErr w:type="gramStart"/>
            <w:r>
              <w:rPr>
                <w:rFonts w:hint="eastAsia"/>
                <w:b/>
                <w:sz w:val="24"/>
              </w:rPr>
              <w:t>绿电绿</w:t>
            </w:r>
            <w:proofErr w:type="gramEnd"/>
            <w:r>
              <w:rPr>
                <w:rFonts w:hint="eastAsia"/>
                <w:b/>
                <w:sz w:val="24"/>
              </w:rPr>
              <w:t>证交易情况如何？</w:t>
            </w:r>
          </w:p>
          <w:p w14:paraId="5E781DAB" w14:textId="77777777" w:rsidR="00222D1C" w:rsidRDefault="003324EB">
            <w:pPr>
              <w:autoSpaceDE w:val="0"/>
              <w:autoSpaceDN w:val="0"/>
              <w:adjustRightInd w:val="0"/>
              <w:spacing w:line="380" w:lineRule="exact"/>
              <w:ind w:firstLineChars="200" w:firstLine="480"/>
              <w:rPr>
                <w:sz w:val="24"/>
              </w:rPr>
            </w:pPr>
            <w:r>
              <w:rPr>
                <w:rFonts w:hint="eastAsia"/>
                <w:sz w:val="24"/>
              </w:rPr>
              <w:t>公司全力推进可再生能源项目建档立卡工作，平价新能源项目目前应领尽领，充分挖掘绿色权益价值，拓展绿证销售渠道，完成</w:t>
            </w:r>
            <w:r>
              <w:rPr>
                <w:rFonts w:hint="eastAsia"/>
                <w:sz w:val="24"/>
              </w:rPr>
              <w:t>2023</w:t>
            </w:r>
            <w:r>
              <w:rPr>
                <w:rFonts w:hint="eastAsia"/>
                <w:sz w:val="24"/>
              </w:rPr>
              <w:t>年全部绿证的销售工作，做好</w:t>
            </w:r>
            <w:r>
              <w:rPr>
                <w:rFonts w:hint="eastAsia"/>
                <w:sz w:val="24"/>
              </w:rPr>
              <w:t>2024</w:t>
            </w:r>
            <w:r>
              <w:rPr>
                <w:rFonts w:hint="eastAsia"/>
                <w:sz w:val="24"/>
              </w:rPr>
              <w:t>年绿证申领和划转工作。由于</w:t>
            </w:r>
            <w:proofErr w:type="gramStart"/>
            <w:r>
              <w:rPr>
                <w:rFonts w:hint="eastAsia"/>
                <w:sz w:val="24"/>
              </w:rPr>
              <w:t>目前绿电价格</w:t>
            </w:r>
            <w:proofErr w:type="gramEnd"/>
            <w:r>
              <w:rPr>
                <w:rFonts w:hint="eastAsia"/>
                <w:sz w:val="24"/>
              </w:rPr>
              <w:t>较绿证稍高，公司平价项目优先参与</w:t>
            </w:r>
            <w:proofErr w:type="gramStart"/>
            <w:r>
              <w:rPr>
                <w:rFonts w:hint="eastAsia"/>
                <w:sz w:val="24"/>
              </w:rPr>
              <w:t>绿电交</w:t>
            </w:r>
            <w:proofErr w:type="gramEnd"/>
            <w:r>
              <w:rPr>
                <w:rFonts w:hint="eastAsia"/>
                <w:sz w:val="24"/>
              </w:rPr>
              <w:t>易，</w:t>
            </w:r>
            <w:r>
              <w:rPr>
                <w:rFonts w:hint="eastAsia"/>
                <w:sz w:val="24"/>
              </w:rPr>
              <w:t>2024</w:t>
            </w:r>
            <w:r>
              <w:rPr>
                <w:rFonts w:hint="eastAsia"/>
                <w:sz w:val="24"/>
              </w:rPr>
              <w:t>年上半年完成</w:t>
            </w:r>
            <w:proofErr w:type="gramStart"/>
            <w:r>
              <w:rPr>
                <w:rFonts w:hint="eastAsia"/>
                <w:sz w:val="24"/>
              </w:rPr>
              <w:t>绿电交</w:t>
            </w:r>
            <w:proofErr w:type="gramEnd"/>
            <w:r>
              <w:rPr>
                <w:rFonts w:hint="eastAsia"/>
                <w:sz w:val="24"/>
              </w:rPr>
              <w:t>易约</w:t>
            </w:r>
            <w:r>
              <w:rPr>
                <w:rFonts w:hint="eastAsia"/>
                <w:sz w:val="24"/>
              </w:rPr>
              <w:t>4.7</w:t>
            </w:r>
            <w:r>
              <w:rPr>
                <w:rFonts w:hint="eastAsia"/>
                <w:sz w:val="24"/>
              </w:rPr>
              <w:t>亿千瓦时。</w:t>
            </w:r>
          </w:p>
          <w:p w14:paraId="19A446F3" w14:textId="77777777" w:rsidR="00222D1C" w:rsidRDefault="003324EB">
            <w:pPr>
              <w:autoSpaceDE w:val="0"/>
              <w:autoSpaceDN w:val="0"/>
              <w:adjustRightInd w:val="0"/>
              <w:spacing w:line="380" w:lineRule="exact"/>
              <w:ind w:firstLineChars="200" w:firstLine="480"/>
              <w:rPr>
                <w:sz w:val="24"/>
              </w:rPr>
            </w:pPr>
            <w:r>
              <w:rPr>
                <w:rFonts w:hint="eastAsia"/>
                <w:sz w:val="24"/>
              </w:rPr>
              <w:t>二十届三中全会提出明确构建全国统一大市场的决定，相信随着配套规则和政策陆续出台，通过政策引导和技术创新，电力市场和</w:t>
            </w:r>
            <w:proofErr w:type="gramStart"/>
            <w:r>
              <w:rPr>
                <w:rFonts w:hint="eastAsia"/>
                <w:sz w:val="24"/>
              </w:rPr>
              <w:t>绿电绿</w:t>
            </w:r>
            <w:proofErr w:type="gramEnd"/>
            <w:r>
              <w:rPr>
                <w:rFonts w:hint="eastAsia"/>
                <w:sz w:val="24"/>
              </w:rPr>
              <w:t>证市场的协同机制将不断健全，加快构建和完善电力中长期市场、现货市场和辅助服务市场相衔接的多层次统一电力市场体系，电力价值属性将充分体现。</w:t>
            </w:r>
          </w:p>
          <w:p w14:paraId="5F1F4B35" w14:textId="77777777" w:rsidR="00222D1C" w:rsidRDefault="003324EB">
            <w:pPr>
              <w:autoSpaceDE w:val="0"/>
              <w:autoSpaceDN w:val="0"/>
              <w:adjustRightInd w:val="0"/>
              <w:spacing w:line="380" w:lineRule="exact"/>
              <w:ind w:firstLineChars="200" w:firstLine="482"/>
              <w:rPr>
                <w:rFonts w:ascii="宋体" w:hAnsi="宋体" w:cs="宋体"/>
                <w:b/>
                <w:sz w:val="24"/>
              </w:rPr>
            </w:pPr>
            <w:r>
              <w:rPr>
                <w:rFonts w:ascii="宋体" w:hAnsi="宋体" w:cs="宋体" w:hint="eastAsia"/>
                <w:b/>
                <w:sz w:val="24"/>
              </w:rPr>
              <w:t>7、公司水电电价的模式？</w:t>
            </w:r>
          </w:p>
          <w:p w14:paraId="728AF7F0" w14:textId="77777777" w:rsidR="00222D1C" w:rsidRDefault="003324EB">
            <w:pPr>
              <w:autoSpaceDE w:val="0"/>
              <w:autoSpaceDN w:val="0"/>
              <w:adjustRightInd w:val="0"/>
              <w:spacing w:line="380" w:lineRule="exact"/>
              <w:ind w:firstLineChars="200" w:firstLine="480"/>
              <w:rPr>
                <w:rFonts w:ascii="宋体" w:hAnsi="宋体" w:cs="宋体"/>
                <w:sz w:val="24"/>
              </w:rPr>
            </w:pPr>
            <w:r>
              <w:rPr>
                <w:rFonts w:ascii="宋体" w:hAnsi="宋体" w:cs="宋体" w:hint="eastAsia"/>
                <w:sz w:val="24"/>
              </w:rPr>
              <w:t>浙江省内按电站建设时间、成本等采用一厂一价核定机制，同时省调电站有一定比例电量参与现货市场；四川省按照省电力交易规则以指导价形式，同时有部分电量以中长期、月度交易等安排参与市场化交易，交易品类较多。</w:t>
            </w:r>
          </w:p>
          <w:p w14:paraId="21841477" w14:textId="77777777" w:rsidR="00222D1C" w:rsidRDefault="003324EB">
            <w:pPr>
              <w:autoSpaceDE w:val="0"/>
              <w:autoSpaceDN w:val="0"/>
              <w:adjustRightInd w:val="0"/>
              <w:spacing w:line="380" w:lineRule="exact"/>
              <w:ind w:firstLineChars="200" w:firstLine="482"/>
              <w:rPr>
                <w:rFonts w:ascii="宋体" w:hAnsi="宋体" w:cs="宋体"/>
                <w:b/>
                <w:sz w:val="24"/>
              </w:rPr>
            </w:pPr>
            <w:r>
              <w:rPr>
                <w:rFonts w:ascii="宋体" w:hAnsi="宋体" w:cs="宋体" w:hint="eastAsia"/>
                <w:b/>
                <w:sz w:val="24"/>
              </w:rPr>
              <w:t>8、公司在科技创新方面有没有具体措施？</w:t>
            </w:r>
          </w:p>
          <w:p w14:paraId="1A4B2CC0" w14:textId="77777777" w:rsidR="00222D1C" w:rsidRDefault="003324EB">
            <w:pPr>
              <w:autoSpaceDE w:val="0"/>
              <w:autoSpaceDN w:val="0"/>
              <w:adjustRightInd w:val="0"/>
              <w:spacing w:line="380" w:lineRule="exact"/>
              <w:ind w:firstLineChars="200" w:firstLine="480"/>
              <w:rPr>
                <w:rFonts w:ascii="宋体" w:hAnsi="宋体" w:cs="宋体"/>
                <w:sz w:val="24"/>
              </w:rPr>
            </w:pPr>
            <w:r>
              <w:rPr>
                <w:rFonts w:ascii="宋体" w:hAnsi="宋体" w:cs="宋体" w:hint="eastAsia"/>
                <w:sz w:val="24"/>
              </w:rPr>
              <w:t>新质能源生产力是高质量发展的内在要求，公司以科技创新</w:t>
            </w:r>
            <w:r>
              <w:rPr>
                <w:rFonts w:ascii="宋体" w:hAnsi="宋体" w:cs="宋体" w:hint="eastAsia"/>
                <w:sz w:val="24"/>
              </w:rPr>
              <w:lastRenderedPageBreak/>
              <w:t>和数字化建设服务安全生产、经营管理，着力打造海上风电综合应用一体化平台、基建</w:t>
            </w:r>
            <w:proofErr w:type="gramStart"/>
            <w:r>
              <w:rPr>
                <w:rFonts w:ascii="宋体" w:hAnsi="宋体" w:cs="宋体" w:hint="eastAsia"/>
                <w:sz w:val="24"/>
              </w:rPr>
              <w:t>工地数智化</w:t>
            </w:r>
            <w:proofErr w:type="gramEnd"/>
            <w:r>
              <w:rPr>
                <w:rFonts w:ascii="宋体" w:hAnsi="宋体" w:cs="宋体" w:hint="eastAsia"/>
                <w:sz w:val="24"/>
              </w:rPr>
              <w:t>管控平台、甘肃集控中心数字化建设等智能化平台，整合和培育新能源智能化运营能力；重点开展AI赋能，以海上风电为试点探索AI技术在风电辅助运维管理、故障识别、风机叶片巡检等方面的应用，逐步推广至陆上风光、水电，以实体能源与数字能源相融合，推动信息技术赋能传统产业形成新质生产力。</w:t>
            </w:r>
          </w:p>
          <w:p w14:paraId="672E1B56" w14:textId="77777777" w:rsidR="00222D1C" w:rsidRDefault="003324EB">
            <w:pPr>
              <w:autoSpaceDE w:val="0"/>
              <w:autoSpaceDN w:val="0"/>
              <w:adjustRightInd w:val="0"/>
              <w:spacing w:line="380" w:lineRule="exact"/>
              <w:ind w:firstLineChars="200" w:firstLine="482"/>
              <w:rPr>
                <w:b/>
                <w:sz w:val="24"/>
              </w:rPr>
            </w:pPr>
            <w:r>
              <w:rPr>
                <w:rFonts w:hint="eastAsia"/>
                <w:b/>
                <w:sz w:val="24"/>
              </w:rPr>
              <w:t>9</w:t>
            </w:r>
            <w:r>
              <w:rPr>
                <w:rFonts w:hint="eastAsia"/>
                <w:b/>
                <w:sz w:val="24"/>
              </w:rPr>
              <w:t>、公司</w:t>
            </w:r>
            <w:proofErr w:type="gramStart"/>
            <w:r>
              <w:rPr>
                <w:rFonts w:hint="eastAsia"/>
                <w:b/>
                <w:sz w:val="24"/>
              </w:rPr>
              <w:t>募投项目</w:t>
            </w:r>
            <w:proofErr w:type="gramEnd"/>
            <w:r>
              <w:rPr>
                <w:rFonts w:hint="eastAsia"/>
                <w:b/>
                <w:sz w:val="24"/>
              </w:rPr>
              <w:t>已投产，募集资金还未完全投放，如何处理？</w:t>
            </w:r>
          </w:p>
          <w:p w14:paraId="5E27F462" w14:textId="77777777" w:rsidR="00222D1C" w:rsidRDefault="003324EB">
            <w:pPr>
              <w:autoSpaceDE w:val="0"/>
              <w:autoSpaceDN w:val="0"/>
              <w:adjustRightInd w:val="0"/>
              <w:spacing w:line="380" w:lineRule="exact"/>
              <w:ind w:firstLineChars="200" w:firstLine="480"/>
              <w:rPr>
                <w:sz w:val="24"/>
              </w:rPr>
            </w:pPr>
            <w:r>
              <w:rPr>
                <w:rFonts w:hint="eastAsia"/>
                <w:sz w:val="24"/>
              </w:rPr>
              <w:t>公司</w:t>
            </w:r>
            <w:proofErr w:type="gramStart"/>
            <w:r>
              <w:rPr>
                <w:rFonts w:hint="eastAsia"/>
                <w:sz w:val="24"/>
              </w:rPr>
              <w:t>募投项目</w:t>
            </w:r>
            <w:proofErr w:type="gramEnd"/>
            <w:r>
              <w:rPr>
                <w:rFonts w:hint="eastAsia"/>
                <w:sz w:val="24"/>
              </w:rPr>
              <w:t>还有部分合同款项待支付，公司严格按照募集资金管理办法等规定使用募集资金，并按规定对募集资金使用情况做好信息披露工作。</w:t>
            </w:r>
            <w:r>
              <w:rPr>
                <w:rFonts w:ascii="宋体" w:hAnsi="宋体" w:cs="宋体" w:hint="eastAsia"/>
                <w:sz w:val="24"/>
              </w:rPr>
              <w:t xml:space="preserve"> </w:t>
            </w:r>
          </w:p>
          <w:p w14:paraId="4D6C44EB" w14:textId="77777777" w:rsidR="00222D1C" w:rsidRDefault="003324EB">
            <w:pPr>
              <w:autoSpaceDE w:val="0"/>
              <w:autoSpaceDN w:val="0"/>
              <w:adjustRightInd w:val="0"/>
              <w:spacing w:line="380" w:lineRule="exact"/>
              <w:ind w:firstLineChars="200" w:firstLine="482"/>
              <w:rPr>
                <w:rFonts w:ascii="宋体" w:hAnsi="宋体" w:cs="宋体"/>
                <w:b/>
                <w:sz w:val="24"/>
              </w:rPr>
            </w:pPr>
            <w:r>
              <w:rPr>
                <w:rFonts w:ascii="宋体" w:hAnsi="宋体" w:cs="宋体" w:hint="eastAsia"/>
                <w:b/>
                <w:sz w:val="24"/>
              </w:rPr>
              <w:t>10、公司风光项目目前的单位投资成本是多少?</w:t>
            </w:r>
          </w:p>
          <w:p w14:paraId="745790B6" w14:textId="77777777" w:rsidR="00222D1C" w:rsidRDefault="003324EB">
            <w:pPr>
              <w:autoSpaceDE w:val="0"/>
              <w:autoSpaceDN w:val="0"/>
              <w:adjustRightInd w:val="0"/>
              <w:spacing w:line="380" w:lineRule="exact"/>
              <w:ind w:firstLineChars="200" w:firstLine="480"/>
              <w:rPr>
                <w:rFonts w:ascii="宋体" w:hAnsi="宋体" w:cs="宋体"/>
                <w:sz w:val="24"/>
              </w:rPr>
            </w:pPr>
            <w:r>
              <w:rPr>
                <w:rFonts w:ascii="宋体" w:hAnsi="宋体" w:cs="宋体" w:hint="eastAsia"/>
                <w:sz w:val="24"/>
              </w:rPr>
              <w:t>根据近期建设项目投资成本统计，公司陆风、海风、光</w:t>
            </w:r>
            <w:proofErr w:type="gramStart"/>
            <w:r>
              <w:rPr>
                <w:rFonts w:ascii="宋体" w:hAnsi="宋体" w:cs="宋体" w:hint="eastAsia"/>
                <w:sz w:val="24"/>
              </w:rPr>
              <w:t>伏项目</w:t>
            </w:r>
            <w:proofErr w:type="gramEnd"/>
            <w:r>
              <w:rPr>
                <w:rFonts w:ascii="宋体" w:hAnsi="宋体" w:cs="宋体" w:hint="eastAsia"/>
                <w:sz w:val="24"/>
              </w:rPr>
              <w:t>单位容量投资分别约5-7元/瓦、12-14元/瓦、3.5-4.8元/瓦。</w:t>
            </w:r>
          </w:p>
          <w:p w14:paraId="11FCD90F" w14:textId="77777777" w:rsidR="00222D1C" w:rsidRDefault="003324EB">
            <w:pPr>
              <w:autoSpaceDE w:val="0"/>
              <w:autoSpaceDN w:val="0"/>
              <w:adjustRightInd w:val="0"/>
              <w:spacing w:line="380" w:lineRule="exact"/>
              <w:ind w:firstLineChars="200" w:firstLine="482"/>
              <w:rPr>
                <w:rFonts w:ascii="宋体" w:hAnsi="宋体" w:cs="宋体"/>
                <w:b/>
                <w:sz w:val="24"/>
              </w:rPr>
            </w:pPr>
            <w:r>
              <w:rPr>
                <w:rFonts w:ascii="宋体" w:hAnsi="宋体" w:cs="宋体" w:hint="eastAsia"/>
                <w:b/>
                <w:sz w:val="24"/>
              </w:rPr>
              <w:t>11、公司业绩受自然资源条件影响很大，有没有什么应对策略？</w:t>
            </w:r>
          </w:p>
          <w:p w14:paraId="43DB4F96" w14:textId="77777777" w:rsidR="00222D1C" w:rsidRDefault="003324EB">
            <w:pPr>
              <w:autoSpaceDE w:val="0"/>
              <w:autoSpaceDN w:val="0"/>
              <w:adjustRightInd w:val="0"/>
              <w:spacing w:line="380" w:lineRule="exact"/>
              <w:ind w:firstLineChars="200" w:firstLine="480"/>
              <w:rPr>
                <w:rFonts w:ascii="宋体" w:hAnsi="宋体" w:cs="宋体"/>
                <w:sz w:val="24"/>
              </w:rPr>
            </w:pPr>
            <w:r>
              <w:rPr>
                <w:rFonts w:ascii="宋体" w:hAnsi="宋体" w:cs="宋体" w:hint="eastAsia"/>
                <w:sz w:val="24"/>
              </w:rPr>
              <w:t>自然条件影响公司的生产经营，公司项目盈利状况、经营业绩和公司财产存在因自然条件和气候变化产生波动或受到损失的风险。对此，公司充分做好项目投资研究分析，并在日常运</w:t>
            </w:r>
            <w:proofErr w:type="gramStart"/>
            <w:r>
              <w:rPr>
                <w:rFonts w:ascii="宋体" w:hAnsi="宋体" w:cs="宋体" w:hint="eastAsia"/>
                <w:sz w:val="24"/>
              </w:rPr>
              <w:t>维管理</w:t>
            </w:r>
            <w:proofErr w:type="gramEnd"/>
            <w:r>
              <w:rPr>
                <w:rFonts w:ascii="宋体" w:hAnsi="宋体" w:cs="宋体" w:hint="eastAsia"/>
                <w:sz w:val="24"/>
              </w:rPr>
              <w:t>中强化风险防范和化解，提高项目运营效率。同时，公司积极发挥多业协同优势，通过多种业务布局、广布投资区域的方式，降低特定区域自然资源条件变化对公司整体业绩带来的不利影响，努力保障经营效益的稳定增长。</w:t>
            </w:r>
          </w:p>
          <w:p w14:paraId="64DA59E2" w14:textId="77777777" w:rsidR="00222D1C" w:rsidRDefault="00222D1C">
            <w:pPr>
              <w:autoSpaceDE w:val="0"/>
              <w:autoSpaceDN w:val="0"/>
              <w:adjustRightInd w:val="0"/>
              <w:spacing w:line="380" w:lineRule="exact"/>
              <w:ind w:firstLineChars="200" w:firstLine="480"/>
              <w:rPr>
                <w:rFonts w:ascii="宋体" w:hAnsi="宋体" w:cs="宋体"/>
                <w:sz w:val="24"/>
              </w:rPr>
            </w:pPr>
          </w:p>
        </w:tc>
      </w:tr>
      <w:tr w:rsidR="00222D1C" w14:paraId="0C78992A" w14:textId="77777777">
        <w:tc>
          <w:tcPr>
            <w:tcW w:w="2154" w:type="dxa"/>
            <w:vAlign w:val="center"/>
          </w:tcPr>
          <w:p w14:paraId="5333770B" w14:textId="77777777" w:rsidR="00222D1C" w:rsidRDefault="003324EB">
            <w:pPr>
              <w:spacing w:line="400" w:lineRule="exact"/>
              <w:rPr>
                <w:rFonts w:ascii="宋体" w:hAnsi="宋体" w:cs="宋体"/>
                <w:bCs/>
                <w:iCs/>
                <w:color w:val="000000"/>
                <w:sz w:val="24"/>
              </w:rPr>
            </w:pPr>
            <w:r>
              <w:rPr>
                <w:rFonts w:ascii="宋体" w:hAnsi="宋体" w:cs="宋体" w:hint="eastAsia"/>
                <w:bCs/>
                <w:iCs/>
                <w:color w:val="000000"/>
                <w:sz w:val="24"/>
              </w:rPr>
              <w:lastRenderedPageBreak/>
              <w:t>附件清单</w:t>
            </w:r>
          </w:p>
        </w:tc>
        <w:tc>
          <w:tcPr>
            <w:tcW w:w="6906" w:type="dxa"/>
            <w:vAlign w:val="center"/>
          </w:tcPr>
          <w:p w14:paraId="282CBF12" w14:textId="77777777" w:rsidR="00222D1C" w:rsidRDefault="003324EB">
            <w:pPr>
              <w:spacing w:line="400" w:lineRule="exact"/>
              <w:rPr>
                <w:rFonts w:ascii="宋体" w:hAnsi="宋体" w:cs="宋体"/>
                <w:bCs/>
                <w:iCs/>
                <w:color w:val="000000"/>
                <w:sz w:val="24"/>
              </w:rPr>
            </w:pPr>
            <w:r>
              <w:rPr>
                <w:rFonts w:ascii="宋体" w:hAnsi="宋体" w:cs="宋体" w:hint="eastAsia"/>
                <w:bCs/>
                <w:iCs/>
                <w:color w:val="000000"/>
                <w:sz w:val="24"/>
              </w:rPr>
              <w:t>无</w:t>
            </w:r>
          </w:p>
        </w:tc>
      </w:tr>
      <w:tr w:rsidR="00222D1C" w14:paraId="77CB7B9B" w14:textId="77777777">
        <w:tc>
          <w:tcPr>
            <w:tcW w:w="2154" w:type="dxa"/>
            <w:vAlign w:val="center"/>
          </w:tcPr>
          <w:p w14:paraId="40565C60" w14:textId="77777777" w:rsidR="00222D1C" w:rsidRDefault="003324EB">
            <w:pPr>
              <w:spacing w:line="400" w:lineRule="exact"/>
              <w:rPr>
                <w:bCs/>
                <w:iCs/>
                <w:color w:val="000000"/>
                <w:sz w:val="24"/>
              </w:rPr>
            </w:pPr>
            <w:r>
              <w:rPr>
                <w:bCs/>
                <w:iCs/>
                <w:color w:val="000000"/>
                <w:sz w:val="24"/>
              </w:rPr>
              <w:t>日期</w:t>
            </w:r>
          </w:p>
        </w:tc>
        <w:tc>
          <w:tcPr>
            <w:tcW w:w="6906" w:type="dxa"/>
            <w:vAlign w:val="center"/>
          </w:tcPr>
          <w:p w14:paraId="58308C59" w14:textId="31E0A9BE" w:rsidR="00222D1C" w:rsidRDefault="003324EB">
            <w:pPr>
              <w:spacing w:line="400" w:lineRule="exact"/>
              <w:rPr>
                <w:bCs/>
                <w:iCs/>
                <w:color w:val="000000"/>
                <w:sz w:val="24"/>
              </w:rPr>
            </w:pPr>
            <w:r>
              <w:rPr>
                <w:bCs/>
                <w:iCs/>
                <w:color w:val="000000"/>
                <w:sz w:val="24"/>
              </w:rPr>
              <w:t>202</w:t>
            </w:r>
            <w:r>
              <w:rPr>
                <w:rFonts w:hint="eastAsia"/>
                <w:bCs/>
                <w:iCs/>
                <w:color w:val="000000"/>
                <w:sz w:val="24"/>
              </w:rPr>
              <w:t>4</w:t>
            </w:r>
            <w:r>
              <w:rPr>
                <w:bCs/>
                <w:iCs/>
                <w:color w:val="000000"/>
                <w:sz w:val="24"/>
              </w:rPr>
              <w:t>年</w:t>
            </w:r>
            <w:r>
              <w:rPr>
                <w:rFonts w:hint="eastAsia"/>
                <w:bCs/>
                <w:iCs/>
                <w:color w:val="000000"/>
                <w:sz w:val="24"/>
              </w:rPr>
              <w:t>10</w:t>
            </w:r>
            <w:r>
              <w:rPr>
                <w:bCs/>
                <w:iCs/>
                <w:color w:val="000000"/>
                <w:sz w:val="24"/>
              </w:rPr>
              <w:t>月</w:t>
            </w:r>
            <w:r w:rsidR="003C03FB">
              <w:rPr>
                <w:rFonts w:hint="eastAsia"/>
                <w:bCs/>
                <w:iCs/>
                <w:color w:val="000000"/>
                <w:sz w:val="24"/>
              </w:rPr>
              <w:t>1</w:t>
            </w:r>
            <w:r w:rsidR="003C03FB">
              <w:rPr>
                <w:bCs/>
                <w:iCs/>
                <w:color w:val="000000"/>
                <w:sz w:val="24"/>
              </w:rPr>
              <w:t>1</w:t>
            </w:r>
            <w:r>
              <w:rPr>
                <w:bCs/>
                <w:iCs/>
                <w:color w:val="000000"/>
                <w:sz w:val="24"/>
              </w:rPr>
              <w:t>日</w:t>
            </w:r>
          </w:p>
        </w:tc>
      </w:tr>
    </w:tbl>
    <w:p w14:paraId="3BD4177B" w14:textId="77777777" w:rsidR="00222D1C" w:rsidRDefault="00222D1C"/>
    <w:sectPr w:rsidR="00222D1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ECDEC" w14:textId="77777777" w:rsidR="00FC6F29" w:rsidRDefault="00FC6F29" w:rsidP="003C03FB">
      <w:r>
        <w:separator/>
      </w:r>
    </w:p>
  </w:endnote>
  <w:endnote w:type="continuationSeparator" w:id="0">
    <w:p w14:paraId="1B842774" w14:textId="77777777" w:rsidR="00FC6F29" w:rsidRDefault="00FC6F29" w:rsidP="003C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C4FA" w14:textId="77777777" w:rsidR="00FC6F29" w:rsidRDefault="00FC6F29" w:rsidP="003C03FB">
      <w:r>
        <w:separator/>
      </w:r>
    </w:p>
  </w:footnote>
  <w:footnote w:type="continuationSeparator" w:id="0">
    <w:p w14:paraId="21EA2158" w14:textId="77777777" w:rsidR="00FC6F29" w:rsidRDefault="00FC6F29" w:rsidP="003C0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RmOTEzMDVlYWY2MGY0YWYxNjljNjJiZjc1NmNmNjMifQ=="/>
  </w:docVars>
  <w:rsids>
    <w:rsidRoot w:val="001F5DDC"/>
    <w:rsid w:val="00005898"/>
    <w:rsid w:val="00015952"/>
    <w:rsid w:val="0002024D"/>
    <w:rsid w:val="0002564D"/>
    <w:rsid w:val="00034674"/>
    <w:rsid w:val="00035CB6"/>
    <w:rsid w:val="00037C54"/>
    <w:rsid w:val="00042D63"/>
    <w:rsid w:val="00043962"/>
    <w:rsid w:val="000465F6"/>
    <w:rsid w:val="00053080"/>
    <w:rsid w:val="00060176"/>
    <w:rsid w:val="00062F65"/>
    <w:rsid w:val="00063B16"/>
    <w:rsid w:val="00064A01"/>
    <w:rsid w:val="000657A0"/>
    <w:rsid w:val="00070949"/>
    <w:rsid w:val="00071D10"/>
    <w:rsid w:val="0007203B"/>
    <w:rsid w:val="000720AD"/>
    <w:rsid w:val="000734FC"/>
    <w:rsid w:val="00074A04"/>
    <w:rsid w:val="00076B35"/>
    <w:rsid w:val="000845C6"/>
    <w:rsid w:val="00093B53"/>
    <w:rsid w:val="000A19B7"/>
    <w:rsid w:val="000A3519"/>
    <w:rsid w:val="000A7D9A"/>
    <w:rsid w:val="000B53BB"/>
    <w:rsid w:val="000C51DA"/>
    <w:rsid w:val="000D104C"/>
    <w:rsid w:val="000D105E"/>
    <w:rsid w:val="000D460A"/>
    <w:rsid w:val="000E12D6"/>
    <w:rsid w:val="000E528D"/>
    <w:rsid w:val="000F2DEA"/>
    <w:rsid w:val="001066C4"/>
    <w:rsid w:val="0010688F"/>
    <w:rsid w:val="001077C3"/>
    <w:rsid w:val="00111546"/>
    <w:rsid w:val="001123F5"/>
    <w:rsid w:val="001158DD"/>
    <w:rsid w:val="00115DE8"/>
    <w:rsid w:val="00120771"/>
    <w:rsid w:val="00121CD5"/>
    <w:rsid w:val="00121EA6"/>
    <w:rsid w:val="0012443D"/>
    <w:rsid w:val="001349DF"/>
    <w:rsid w:val="00135670"/>
    <w:rsid w:val="001418E6"/>
    <w:rsid w:val="00150200"/>
    <w:rsid w:val="00152533"/>
    <w:rsid w:val="00153932"/>
    <w:rsid w:val="00154AAD"/>
    <w:rsid w:val="00157CD6"/>
    <w:rsid w:val="00157DF9"/>
    <w:rsid w:val="00160519"/>
    <w:rsid w:val="0016360D"/>
    <w:rsid w:val="0017051E"/>
    <w:rsid w:val="00182DD1"/>
    <w:rsid w:val="00182F79"/>
    <w:rsid w:val="00183F99"/>
    <w:rsid w:val="001871C3"/>
    <w:rsid w:val="001905C6"/>
    <w:rsid w:val="00197520"/>
    <w:rsid w:val="001A2B0F"/>
    <w:rsid w:val="001B0661"/>
    <w:rsid w:val="001B0B1B"/>
    <w:rsid w:val="001B734E"/>
    <w:rsid w:val="001C428D"/>
    <w:rsid w:val="001E3336"/>
    <w:rsid w:val="001F5DDC"/>
    <w:rsid w:val="00205FF7"/>
    <w:rsid w:val="00207F8E"/>
    <w:rsid w:val="00212326"/>
    <w:rsid w:val="00213F20"/>
    <w:rsid w:val="00215CD4"/>
    <w:rsid w:val="00222D1C"/>
    <w:rsid w:val="00233636"/>
    <w:rsid w:val="00243B28"/>
    <w:rsid w:val="00243DA9"/>
    <w:rsid w:val="0024490F"/>
    <w:rsid w:val="00244EA1"/>
    <w:rsid w:val="0024611A"/>
    <w:rsid w:val="00251403"/>
    <w:rsid w:val="0025145C"/>
    <w:rsid w:val="0025564E"/>
    <w:rsid w:val="002612A4"/>
    <w:rsid w:val="0026237A"/>
    <w:rsid w:val="002635AE"/>
    <w:rsid w:val="00267BF6"/>
    <w:rsid w:val="00272C64"/>
    <w:rsid w:val="0027406D"/>
    <w:rsid w:val="00275EC8"/>
    <w:rsid w:val="0028197C"/>
    <w:rsid w:val="002862F6"/>
    <w:rsid w:val="002962C1"/>
    <w:rsid w:val="00296C36"/>
    <w:rsid w:val="002A38CF"/>
    <w:rsid w:val="002A3E6E"/>
    <w:rsid w:val="002A546F"/>
    <w:rsid w:val="002A577A"/>
    <w:rsid w:val="002A6663"/>
    <w:rsid w:val="002B0EF0"/>
    <w:rsid w:val="002B5A8F"/>
    <w:rsid w:val="002B5B6B"/>
    <w:rsid w:val="002C088A"/>
    <w:rsid w:val="002C09D0"/>
    <w:rsid w:val="002C2EA1"/>
    <w:rsid w:val="002C698A"/>
    <w:rsid w:val="002D447F"/>
    <w:rsid w:val="002D4FC0"/>
    <w:rsid w:val="002D6C17"/>
    <w:rsid w:val="002F5B83"/>
    <w:rsid w:val="002F6D44"/>
    <w:rsid w:val="002F7082"/>
    <w:rsid w:val="00304B3E"/>
    <w:rsid w:val="00306736"/>
    <w:rsid w:val="00306983"/>
    <w:rsid w:val="00306EFE"/>
    <w:rsid w:val="00307DDF"/>
    <w:rsid w:val="003100B9"/>
    <w:rsid w:val="0031072B"/>
    <w:rsid w:val="003143F9"/>
    <w:rsid w:val="003148C7"/>
    <w:rsid w:val="00315D2D"/>
    <w:rsid w:val="00316AB5"/>
    <w:rsid w:val="0032667F"/>
    <w:rsid w:val="00330ABD"/>
    <w:rsid w:val="003324EB"/>
    <w:rsid w:val="00332E7E"/>
    <w:rsid w:val="00334DD4"/>
    <w:rsid w:val="00343C9C"/>
    <w:rsid w:val="0034457A"/>
    <w:rsid w:val="00345ED2"/>
    <w:rsid w:val="00346E85"/>
    <w:rsid w:val="0035662B"/>
    <w:rsid w:val="003746D7"/>
    <w:rsid w:val="00377D6F"/>
    <w:rsid w:val="00383D80"/>
    <w:rsid w:val="00385D4C"/>
    <w:rsid w:val="003907E6"/>
    <w:rsid w:val="00391293"/>
    <w:rsid w:val="00392760"/>
    <w:rsid w:val="0039364E"/>
    <w:rsid w:val="003A37F0"/>
    <w:rsid w:val="003B6B4F"/>
    <w:rsid w:val="003C03FB"/>
    <w:rsid w:val="003C5E54"/>
    <w:rsid w:val="003C6748"/>
    <w:rsid w:val="003D6EEC"/>
    <w:rsid w:val="003D77A9"/>
    <w:rsid w:val="003D7DB4"/>
    <w:rsid w:val="003E1CB0"/>
    <w:rsid w:val="003E38C9"/>
    <w:rsid w:val="003E49F4"/>
    <w:rsid w:val="003F391C"/>
    <w:rsid w:val="003F3D67"/>
    <w:rsid w:val="003F6B1C"/>
    <w:rsid w:val="0040035E"/>
    <w:rsid w:val="0040094E"/>
    <w:rsid w:val="004130A2"/>
    <w:rsid w:val="0042506B"/>
    <w:rsid w:val="0043283A"/>
    <w:rsid w:val="00436C27"/>
    <w:rsid w:val="00440EB3"/>
    <w:rsid w:val="00444242"/>
    <w:rsid w:val="00446B6C"/>
    <w:rsid w:val="00450170"/>
    <w:rsid w:val="00454C5F"/>
    <w:rsid w:val="00456243"/>
    <w:rsid w:val="0046457C"/>
    <w:rsid w:val="00467DF0"/>
    <w:rsid w:val="004716A9"/>
    <w:rsid w:val="00473F4A"/>
    <w:rsid w:val="00487CA7"/>
    <w:rsid w:val="00490C33"/>
    <w:rsid w:val="004938CE"/>
    <w:rsid w:val="00495BE8"/>
    <w:rsid w:val="004A2951"/>
    <w:rsid w:val="004A6D59"/>
    <w:rsid w:val="004B502B"/>
    <w:rsid w:val="004C0E7B"/>
    <w:rsid w:val="004C5392"/>
    <w:rsid w:val="004C7214"/>
    <w:rsid w:val="004D232A"/>
    <w:rsid w:val="004D3DE3"/>
    <w:rsid w:val="004E0FA7"/>
    <w:rsid w:val="004F5FE8"/>
    <w:rsid w:val="004F754A"/>
    <w:rsid w:val="004F7ABD"/>
    <w:rsid w:val="00501442"/>
    <w:rsid w:val="00503C66"/>
    <w:rsid w:val="00505CD5"/>
    <w:rsid w:val="00510262"/>
    <w:rsid w:val="00517F01"/>
    <w:rsid w:val="005243E8"/>
    <w:rsid w:val="00525D85"/>
    <w:rsid w:val="005364EA"/>
    <w:rsid w:val="00554383"/>
    <w:rsid w:val="00562AA8"/>
    <w:rsid w:val="00565D4B"/>
    <w:rsid w:val="005671B1"/>
    <w:rsid w:val="00571D60"/>
    <w:rsid w:val="00572EAE"/>
    <w:rsid w:val="00576779"/>
    <w:rsid w:val="005802F2"/>
    <w:rsid w:val="00584BEC"/>
    <w:rsid w:val="00594B62"/>
    <w:rsid w:val="005950D3"/>
    <w:rsid w:val="005A256A"/>
    <w:rsid w:val="005A4E20"/>
    <w:rsid w:val="005B1F1C"/>
    <w:rsid w:val="005C3188"/>
    <w:rsid w:val="005D277D"/>
    <w:rsid w:val="005D29AE"/>
    <w:rsid w:val="005D324F"/>
    <w:rsid w:val="005D54E8"/>
    <w:rsid w:val="005D7063"/>
    <w:rsid w:val="005D7EF4"/>
    <w:rsid w:val="005E024A"/>
    <w:rsid w:val="005E0486"/>
    <w:rsid w:val="005E3B0B"/>
    <w:rsid w:val="005E53F7"/>
    <w:rsid w:val="006013DB"/>
    <w:rsid w:val="00605216"/>
    <w:rsid w:val="00605737"/>
    <w:rsid w:val="006065F2"/>
    <w:rsid w:val="006128E0"/>
    <w:rsid w:val="00612F87"/>
    <w:rsid w:val="00623200"/>
    <w:rsid w:val="006301B1"/>
    <w:rsid w:val="00631652"/>
    <w:rsid w:val="00632C0B"/>
    <w:rsid w:val="00642323"/>
    <w:rsid w:val="00643CEA"/>
    <w:rsid w:val="00646BD1"/>
    <w:rsid w:val="006547E9"/>
    <w:rsid w:val="00655B64"/>
    <w:rsid w:val="00655B7F"/>
    <w:rsid w:val="00656758"/>
    <w:rsid w:val="00665044"/>
    <w:rsid w:val="00674033"/>
    <w:rsid w:val="00680DD8"/>
    <w:rsid w:val="006818F7"/>
    <w:rsid w:val="00681D82"/>
    <w:rsid w:val="006834B3"/>
    <w:rsid w:val="006845FB"/>
    <w:rsid w:val="00692AFB"/>
    <w:rsid w:val="00695A41"/>
    <w:rsid w:val="006A23DF"/>
    <w:rsid w:val="006A355B"/>
    <w:rsid w:val="006A661A"/>
    <w:rsid w:val="006A72C4"/>
    <w:rsid w:val="006A7D67"/>
    <w:rsid w:val="006B1A39"/>
    <w:rsid w:val="006C2FBE"/>
    <w:rsid w:val="006D17E2"/>
    <w:rsid w:val="006F0AAF"/>
    <w:rsid w:val="006F2CE0"/>
    <w:rsid w:val="006F5949"/>
    <w:rsid w:val="006F7198"/>
    <w:rsid w:val="00702554"/>
    <w:rsid w:val="00706B78"/>
    <w:rsid w:val="00710C68"/>
    <w:rsid w:val="007148C0"/>
    <w:rsid w:val="007160F7"/>
    <w:rsid w:val="00716861"/>
    <w:rsid w:val="0072470E"/>
    <w:rsid w:val="0072604D"/>
    <w:rsid w:val="00733FD7"/>
    <w:rsid w:val="00736849"/>
    <w:rsid w:val="007509B9"/>
    <w:rsid w:val="00752623"/>
    <w:rsid w:val="00754331"/>
    <w:rsid w:val="007543F6"/>
    <w:rsid w:val="00756BCF"/>
    <w:rsid w:val="007579EA"/>
    <w:rsid w:val="0076263B"/>
    <w:rsid w:val="007669B8"/>
    <w:rsid w:val="007709CA"/>
    <w:rsid w:val="0078145D"/>
    <w:rsid w:val="00795556"/>
    <w:rsid w:val="00796ABA"/>
    <w:rsid w:val="007A1831"/>
    <w:rsid w:val="007A5949"/>
    <w:rsid w:val="007B0E99"/>
    <w:rsid w:val="007B51B2"/>
    <w:rsid w:val="007B7023"/>
    <w:rsid w:val="007C55CB"/>
    <w:rsid w:val="007D38AE"/>
    <w:rsid w:val="007D3913"/>
    <w:rsid w:val="007D3C6F"/>
    <w:rsid w:val="007E06E7"/>
    <w:rsid w:val="007E4801"/>
    <w:rsid w:val="007E6B81"/>
    <w:rsid w:val="007F28BA"/>
    <w:rsid w:val="00804ECF"/>
    <w:rsid w:val="008077F5"/>
    <w:rsid w:val="008138D8"/>
    <w:rsid w:val="00825D62"/>
    <w:rsid w:val="00840230"/>
    <w:rsid w:val="00843EFE"/>
    <w:rsid w:val="008470C6"/>
    <w:rsid w:val="00851AA9"/>
    <w:rsid w:val="0085308B"/>
    <w:rsid w:val="0085339D"/>
    <w:rsid w:val="008553B5"/>
    <w:rsid w:val="00857940"/>
    <w:rsid w:val="008602EB"/>
    <w:rsid w:val="0086493F"/>
    <w:rsid w:val="00865EE5"/>
    <w:rsid w:val="00870F2E"/>
    <w:rsid w:val="00870F5D"/>
    <w:rsid w:val="00874153"/>
    <w:rsid w:val="00875553"/>
    <w:rsid w:val="00877645"/>
    <w:rsid w:val="00886D5A"/>
    <w:rsid w:val="00894274"/>
    <w:rsid w:val="00895F7F"/>
    <w:rsid w:val="008964B2"/>
    <w:rsid w:val="008A6D8F"/>
    <w:rsid w:val="008B52BF"/>
    <w:rsid w:val="008D7288"/>
    <w:rsid w:val="008E5A1B"/>
    <w:rsid w:val="008F276B"/>
    <w:rsid w:val="00901B36"/>
    <w:rsid w:val="00911178"/>
    <w:rsid w:val="00914A56"/>
    <w:rsid w:val="00916E94"/>
    <w:rsid w:val="009208F1"/>
    <w:rsid w:val="009300EE"/>
    <w:rsid w:val="009346AB"/>
    <w:rsid w:val="0094068B"/>
    <w:rsid w:val="00942427"/>
    <w:rsid w:val="00947613"/>
    <w:rsid w:val="009539F3"/>
    <w:rsid w:val="00956EBD"/>
    <w:rsid w:val="00957217"/>
    <w:rsid w:val="009572E9"/>
    <w:rsid w:val="00960716"/>
    <w:rsid w:val="0096195C"/>
    <w:rsid w:val="0096260F"/>
    <w:rsid w:val="00974F1B"/>
    <w:rsid w:val="00975B15"/>
    <w:rsid w:val="00975FD9"/>
    <w:rsid w:val="0097727D"/>
    <w:rsid w:val="009A1D25"/>
    <w:rsid w:val="009A3B13"/>
    <w:rsid w:val="009A5B18"/>
    <w:rsid w:val="009B351D"/>
    <w:rsid w:val="009B3A3F"/>
    <w:rsid w:val="009C1839"/>
    <w:rsid w:val="009D5E5F"/>
    <w:rsid w:val="009E5537"/>
    <w:rsid w:val="009F2CA2"/>
    <w:rsid w:val="009F6EED"/>
    <w:rsid w:val="00A00553"/>
    <w:rsid w:val="00A10EE6"/>
    <w:rsid w:val="00A12819"/>
    <w:rsid w:val="00A15414"/>
    <w:rsid w:val="00A20CCF"/>
    <w:rsid w:val="00A23EC8"/>
    <w:rsid w:val="00A246B1"/>
    <w:rsid w:val="00A3254E"/>
    <w:rsid w:val="00A3348E"/>
    <w:rsid w:val="00A3557A"/>
    <w:rsid w:val="00A35B75"/>
    <w:rsid w:val="00A37F06"/>
    <w:rsid w:val="00A4328F"/>
    <w:rsid w:val="00A4359D"/>
    <w:rsid w:val="00A43C4F"/>
    <w:rsid w:val="00A44A98"/>
    <w:rsid w:val="00A53346"/>
    <w:rsid w:val="00A56DD4"/>
    <w:rsid w:val="00A576DD"/>
    <w:rsid w:val="00A620A8"/>
    <w:rsid w:val="00A721AF"/>
    <w:rsid w:val="00A7771E"/>
    <w:rsid w:val="00A81E10"/>
    <w:rsid w:val="00A84BD4"/>
    <w:rsid w:val="00A8605D"/>
    <w:rsid w:val="00A8615F"/>
    <w:rsid w:val="00A905DD"/>
    <w:rsid w:val="00A9194D"/>
    <w:rsid w:val="00AA2151"/>
    <w:rsid w:val="00AA6537"/>
    <w:rsid w:val="00AB0712"/>
    <w:rsid w:val="00AC18D1"/>
    <w:rsid w:val="00AC416C"/>
    <w:rsid w:val="00AC421A"/>
    <w:rsid w:val="00AC4FBC"/>
    <w:rsid w:val="00AC7E0F"/>
    <w:rsid w:val="00AD17B6"/>
    <w:rsid w:val="00AD4AED"/>
    <w:rsid w:val="00AE3CE5"/>
    <w:rsid w:val="00AE6A23"/>
    <w:rsid w:val="00AF240A"/>
    <w:rsid w:val="00AF56E3"/>
    <w:rsid w:val="00B05541"/>
    <w:rsid w:val="00B05969"/>
    <w:rsid w:val="00B07C36"/>
    <w:rsid w:val="00B11D08"/>
    <w:rsid w:val="00B132A7"/>
    <w:rsid w:val="00B156F0"/>
    <w:rsid w:val="00B15A22"/>
    <w:rsid w:val="00B166B0"/>
    <w:rsid w:val="00B2055D"/>
    <w:rsid w:val="00B27CC5"/>
    <w:rsid w:val="00B34580"/>
    <w:rsid w:val="00B34FEE"/>
    <w:rsid w:val="00B43601"/>
    <w:rsid w:val="00B44489"/>
    <w:rsid w:val="00B4704B"/>
    <w:rsid w:val="00B52489"/>
    <w:rsid w:val="00B532F2"/>
    <w:rsid w:val="00B56794"/>
    <w:rsid w:val="00B5759E"/>
    <w:rsid w:val="00B62CAC"/>
    <w:rsid w:val="00B63906"/>
    <w:rsid w:val="00B70C19"/>
    <w:rsid w:val="00B71541"/>
    <w:rsid w:val="00B725BD"/>
    <w:rsid w:val="00B77A92"/>
    <w:rsid w:val="00B841A8"/>
    <w:rsid w:val="00B86277"/>
    <w:rsid w:val="00B91025"/>
    <w:rsid w:val="00B97B51"/>
    <w:rsid w:val="00BA32BE"/>
    <w:rsid w:val="00BA34A8"/>
    <w:rsid w:val="00BA6838"/>
    <w:rsid w:val="00BB0F1E"/>
    <w:rsid w:val="00BC021E"/>
    <w:rsid w:val="00BC096A"/>
    <w:rsid w:val="00BD0B99"/>
    <w:rsid w:val="00BD21C5"/>
    <w:rsid w:val="00BE0264"/>
    <w:rsid w:val="00BE4457"/>
    <w:rsid w:val="00BE4B93"/>
    <w:rsid w:val="00BE7C61"/>
    <w:rsid w:val="00BF3AF3"/>
    <w:rsid w:val="00BF4E58"/>
    <w:rsid w:val="00BF6C0D"/>
    <w:rsid w:val="00C00CD8"/>
    <w:rsid w:val="00C02667"/>
    <w:rsid w:val="00C10FE6"/>
    <w:rsid w:val="00C118AF"/>
    <w:rsid w:val="00C12E5C"/>
    <w:rsid w:val="00C24A20"/>
    <w:rsid w:val="00C27392"/>
    <w:rsid w:val="00C300A1"/>
    <w:rsid w:val="00C31061"/>
    <w:rsid w:val="00C3413C"/>
    <w:rsid w:val="00C34836"/>
    <w:rsid w:val="00C35DA6"/>
    <w:rsid w:val="00C36DE2"/>
    <w:rsid w:val="00C372EE"/>
    <w:rsid w:val="00C411E9"/>
    <w:rsid w:val="00C43E99"/>
    <w:rsid w:val="00C50EB7"/>
    <w:rsid w:val="00C55FDA"/>
    <w:rsid w:val="00C565ED"/>
    <w:rsid w:val="00C61B0C"/>
    <w:rsid w:val="00C6482E"/>
    <w:rsid w:val="00C76FAF"/>
    <w:rsid w:val="00C8087D"/>
    <w:rsid w:val="00C906AC"/>
    <w:rsid w:val="00C93375"/>
    <w:rsid w:val="00CA32A4"/>
    <w:rsid w:val="00CA6835"/>
    <w:rsid w:val="00CA6FD5"/>
    <w:rsid w:val="00CB22BD"/>
    <w:rsid w:val="00CB4693"/>
    <w:rsid w:val="00CC2B77"/>
    <w:rsid w:val="00CC5B2A"/>
    <w:rsid w:val="00CD323D"/>
    <w:rsid w:val="00CE0707"/>
    <w:rsid w:val="00CE1EAA"/>
    <w:rsid w:val="00CE3D5A"/>
    <w:rsid w:val="00CF1C31"/>
    <w:rsid w:val="00D011A6"/>
    <w:rsid w:val="00D019BB"/>
    <w:rsid w:val="00D01A26"/>
    <w:rsid w:val="00D024EC"/>
    <w:rsid w:val="00D04D63"/>
    <w:rsid w:val="00D10653"/>
    <w:rsid w:val="00D10DC0"/>
    <w:rsid w:val="00D10ECC"/>
    <w:rsid w:val="00D14270"/>
    <w:rsid w:val="00D1686D"/>
    <w:rsid w:val="00D23359"/>
    <w:rsid w:val="00D2777B"/>
    <w:rsid w:val="00D278FF"/>
    <w:rsid w:val="00D30092"/>
    <w:rsid w:val="00D306BD"/>
    <w:rsid w:val="00D37F59"/>
    <w:rsid w:val="00D4462B"/>
    <w:rsid w:val="00D504B2"/>
    <w:rsid w:val="00D567F8"/>
    <w:rsid w:val="00D64C88"/>
    <w:rsid w:val="00D82E5B"/>
    <w:rsid w:val="00D86F08"/>
    <w:rsid w:val="00DA2B0A"/>
    <w:rsid w:val="00DA5217"/>
    <w:rsid w:val="00DB1764"/>
    <w:rsid w:val="00DB5BFE"/>
    <w:rsid w:val="00DB622F"/>
    <w:rsid w:val="00DB7EB0"/>
    <w:rsid w:val="00DC01ED"/>
    <w:rsid w:val="00DC0885"/>
    <w:rsid w:val="00DC6324"/>
    <w:rsid w:val="00DD0A91"/>
    <w:rsid w:val="00DD2BBF"/>
    <w:rsid w:val="00DE139B"/>
    <w:rsid w:val="00DF754D"/>
    <w:rsid w:val="00DF7BC3"/>
    <w:rsid w:val="00E02964"/>
    <w:rsid w:val="00E109D2"/>
    <w:rsid w:val="00E143C3"/>
    <w:rsid w:val="00E15738"/>
    <w:rsid w:val="00E160C6"/>
    <w:rsid w:val="00E3184F"/>
    <w:rsid w:val="00E36E09"/>
    <w:rsid w:val="00E37588"/>
    <w:rsid w:val="00E415BA"/>
    <w:rsid w:val="00E41BCF"/>
    <w:rsid w:val="00E439A2"/>
    <w:rsid w:val="00E467F0"/>
    <w:rsid w:val="00E51343"/>
    <w:rsid w:val="00E62483"/>
    <w:rsid w:val="00E625D6"/>
    <w:rsid w:val="00E70E4E"/>
    <w:rsid w:val="00E72091"/>
    <w:rsid w:val="00E7492F"/>
    <w:rsid w:val="00E81B8A"/>
    <w:rsid w:val="00E83E95"/>
    <w:rsid w:val="00E85240"/>
    <w:rsid w:val="00E90CC9"/>
    <w:rsid w:val="00E912FA"/>
    <w:rsid w:val="00E9203F"/>
    <w:rsid w:val="00E95FDC"/>
    <w:rsid w:val="00EA0D27"/>
    <w:rsid w:val="00EA163C"/>
    <w:rsid w:val="00EA1B50"/>
    <w:rsid w:val="00EA5480"/>
    <w:rsid w:val="00EA613F"/>
    <w:rsid w:val="00EB249F"/>
    <w:rsid w:val="00EB2DC6"/>
    <w:rsid w:val="00EB5A1C"/>
    <w:rsid w:val="00EB7D2A"/>
    <w:rsid w:val="00EC4CB9"/>
    <w:rsid w:val="00ED1F0B"/>
    <w:rsid w:val="00EE150A"/>
    <w:rsid w:val="00EE2E5C"/>
    <w:rsid w:val="00EE62E3"/>
    <w:rsid w:val="00EE7A4B"/>
    <w:rsid w:val="00EF0BAE"/>
    <w:rsid w:val="00F0069F"/>
    <w:rsid w:val="00F107E6"/>
    <w:rsid w:val="00F10968"/>
    <w:rsid w:val="00F119B5"/>
    <w:rsid w:val="00F14407"/>
    <w:rsid w:val="00F15D03"/>
    <w:rsid w:val="00F16EC5"/>
    <w:rsid w:val="00F2092E"/>
    <w:rsid w:val="00F27785"/>
    <w:rsid w:val="00F31E38"/>
    <w:rsid w:val="00F32953"/>
    <w:rsid w:val="00F3455A"/>
    <w:rsid w:val="00F37B1B"/>
    <w:rsid w:val="00F41C51"/>
    <w:rsid w:val="00F4530D"/>
    <w:rsid w:val="00F50D6D"/>
    <w:rsid w:val="00F56DB7"/>
    <w:rsid w:val="00F5757B"/>
    <w:rsid w:val="00F65701"/>
    <w:rsid w:val="00F667AA"/>
    <w:rsid w:val="00F771F1"/>
    <w:rsid w:val="00F8240C"/>
    <w:rsid w:val="00F84638"/>
    <w:rsid w:val="00F971D6"/>
    <w:rsid w:val="00F97988"/>
    <w:rsid w:val="00FA39E5"/>
    <w:rsid w:val="00FA3AF4"/>
    <w:rsid w:val="00FA60D7"/>
    <w:rsid w:val="00FA78E6"/>
    <w:rsid w:val="00FB2586"/>
    <w:rsid w:val="00FC1E38"/>
    <w:rsid w:val="00FC2810"/>
    <w:rsid w:val="00FC2835"/>
    <w:rsid w:val="00FC30B3"/>
    <w:rsid w:val="00FC6F29"/>
    <w:rsid w:val="00FD1CAA"/>
    <w:rsid w:val="00FD4C17"/>
    <w:rsid w:val="00FD5FB2"/>
    <w:rsid w:val="00FE0793"/>
    <w:rsid w:val="00FE3647"/>
    <w:rsid w:val="00FE7C6E"/>
    <w:rsid w:val="00FF0798"/>
    <w:rsid w:val="00FF1137"/>
    <w:rsid w:val="00FF24AF"/>
    <w:rsid w:val="00FF5DDB"/>
    <w:rsid w:val="00FF6C68"/>
    <w:rsid w:val="01E46D89"/>
    <w:rsid w:val="09353E43"/>
    <w:rsid w:val="0C721436"/>
    <w:rsid w:val="150B2427"/>
    <w:rsid w:val="191C4C03"/>
    <w:rsid w:val="19687E48"/>
    <w:rsid w:val="19FE255B"/>
    <w:rsid w:val="1E235EB3"/>
    <w:rsid w:val="1EDF295B"/>
    <w:rsid w:val="1F62533A"/>
    <w:rsid w:val="23A61C99"/>
    <w:rsid w:val="267D0C0C"/>
    <w:rsid w:val="26DB76A4"/>
    <w:rsid w:val="277125BE"/>
    <w:rsid w:val="28EA2628"/>
    <w:rsid w:val="29B844D4"/>
    <w:rsid w:val="2D680CD0"/>
    <w:rsid w:val="34346E4D"/>
    <w:rsid w:val="38152AF0"/>
    <w:rsid w:val="38A345A1"/>
    <w:rsid w:val="40015734"/>
    <w:rsid w:val="42894808"/>
    <w:rsid w:val="44986F84"/>
    <w:rsid w:val="4C340327"/>
    <w:rsid w:val="4ED33CE1"/>
    <w:rsid w:val="520B6FE7"/>
    <w:rsid w:val="55085A60"/>
    <w:rsid w:val="5794182D"/>
    <w:rsid w:val="580544D9"/>
    <w:rsid w:val="5A333D6C"/>
    <w:rsid w:val="5B865931"/>
    <w:rsid w:val="6A0B47D1"/>
    <w:rsid w:val="6C557385"/>
    <w:rsid w:val="6D590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AEE8F"/>
  <w15:docId w15:val="{AB507950-7074-4A2F-BFFC-8D19440C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Emphasis"/>
    <w:basedOn w:val="a0"/>
    <w:uiPriority w:val="20"/>
    <w:qFormat/>
    <w:rPr>
      <w:i/>
      <w:iCs/>
    </w:rPr>
  </w:style>
  <w:style w:type="character" w:styleId="ab">
    <w:name w:val="Hyperlink"/>
    <w:basedOn w:val="a0"/>
    <w:uiPriority w:val="99"/>
    <w:semiHidden/>
    <w:unhideWhenUsed/>
    <w:rPr>
      <w:color w:val="0000FF"/>
      <w:u w:val="single"/>
    </w:rPr>
  </w:style>
  <w:style w:type="paragraph" w:styleId="ac">
    <w:name w:val="List Paragraph"/>
    <w:basedOn w:val="a"/>
    <w:uiPriority w:val="99"/>
    <w:qFormat/>
    <w:pPr>
      <w:ind w:firstLineChars="200" w:firstLine="420"/>
    </w:p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kern w:val="2"/>
      <w:sz w:val="18"/>
      <w:szCs w:val="18"/>
    </w:rPr>
  </w:style>
  <w:style w:type="paragraph" w:customStyle="1" w:styleId="1">
    <w:name w:val="修订1"/>
    <w:hidden/>
    <w:uiPriority w:val="99"/>
    <w:unhideWhenUsed/>
    <w:qFormat/>
    <w:rPr>
      <w:kern w:val="2"/>
      <w:sz w:val="21"/>
      <w:szCs w:val="24"/>
    </w:rPr>
  </w:style>
  <w:style w:type="character" w:styleId="a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张弦</dc:creator>
  <cp:lastModifiedBy>ZZ</cp:lastModifiedBy>
  <cp:revision>3</cp:revision>
  <cp:lastPrinted>2024-07-04T00:21:00Z</cp:lastPrinted>
  <dcterms:created xsi:type="dcterms:W3CDTF">2024-10-11T09:18:00Z</dcterms:created>
  <dcterms:modified xsi:type="dcterms:W3CDTF">2024-10-11T09:19:00Z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4C3B1CBB9E204F4AB6DF98F19ACBF6BB_13</vt:lpwstr>
  </property>
</Properties>
</file>