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F7065">
      <w:pPr>
        <w:jc w:val="left"/>
        <w:rPr>
          <w:rFonts w:ascii="宋体" w:hAnsi="宋体" w:cs="宋体"/>
          <w:bCs/>
          <w:iCs/>
          <w:color w:val="000000"/>
          <w:sz w:val="24"/>
        </w:rPr>
      </w:pPr>
      <w:bookmarkStart w:id="1" w:name="_GoBack"/>
      <w:bookmarkEnd w:id="1"/>
      <w:r>
        <w:rPr>
          <w:rFonts w:hint="eastAsia" w:ascii="宋体" w:hAnsi="宋体" w:cs="宋体"/>
          <w:bCs/>
          <w:iCs/>
          <w:color w:val="000000"/>
          <w:sz w:val="24"/>
        </w:rPr>
        <w:t>证券代码：</w:t>
      </w:r>
      <w:r>
        <w:rPr>
          <w:bCs/>
          <w:iCs/>
          <w:color w:val="000000"/>
          <w:sz w:val="24"/>
        </w:rPr>
        <w:t>603390</w:t>
      </w:r>
      <w:r>
        <w:rPr>
          <w:rFonts w:hint="eastAsia" w:ascii="宋体" w:hAnsi="宋体" w:cs="宋体"/>
          <w:bCs/>
          <w:iCs/>
          <w:color w:val="000000"/>
          <w:sz w:val="24"/>
        </w:rPr>
        <w:t xml:space="preserve">                                  证券简称：通达电气</w:t>
      </w:r>
    </w:p>
    <w:p w14:paraId="50E781D2">
      <w:pPr>
        <w:spacing w:before="468" w:beforeLines="150" w:after="156" w:afterLines="50" w:line="400" w:lineRule="exact"/>
        <w:jc w:val="center"/>
        <w:rPr>
          <w:rFonts w:ascii="宋体" w:hAnsi="宋体" w:cs="宋体"/>
          <w:b/>
          <w:bCs/>
          <w:iCs/>
          <w:color w:val="000000"/>
          <w:sz w:val="32"/>
          <w:szCs w:val="32"/>
        </w:rPr>
      </w:pPr>
      <w:r>
        <w:rPr>
          <w:rFonts w:hint="eastAsia" w:ascii="宋体" w:hAnsi="宋体" w:cs="宋体"/>
          <w:b/>
          <w:bCs/>
          <w:iCs/>
          <w:color w:val="000000"/>
          <w:sz w:val="32"/>
          <w:szCs w:val="32"/>
        </w:rPr>
        <w:t>广州通达汽车电气股份有限公司</w:t>
      </w:r>
    </w:p>
    <w:p w14:paraId="5C6C38CB">
      <w:pPr>
        <w:spacing w:before="156" w:beforeLines="50" w:after="468" w:afterLines="150" w:line="400" w:lineRule="exact"/>
        <w:jc w:val="center"/>
        <w:rPr>
          <w:rFonts w:ascii="宋体" w:hAnsi="宋体" w:cs="宋体"/>
          <w:b/>
          <w:bCs/>
          <w:iCs/>
          <w:color w:val="000000"/>
          <w:sz w:val="32"/>
          <w:szCs w:val="32"/>
        </w:rPr>
      </w:pPr>
      <w:r>
        <w:rPr>
          <w:rFonts w:hint="eastAsia" w:ascii="宋体" w:hAnsi="宋体" w:cs="宋体"/>
          <w:b/>
          <w:bCs/>
          <w:iCs/>
          <w:color w:val="000000"/>
          <w:sz w:val="32"/>
          <w:szCs w:val="32"/>
        </w:rPr>
        <w:t>投资者关系活动记录表</w:t>
      </w:r>
    </w:p>
    <w:p w14:paraId="3ECBBCFB">
      <w:pPr>
        <w:wordWrap w:val="0"/>
        <w:spacing w:line="400" w:lineRule="exact"/>
        <w:ind w:right="-57" w:rightChars="-27"/>
        <w:jc w:val="right"/>
        <w:rPr>
          <w:bCs/>
          <w:iCs/>
          <w:color w:val="000000"/>
        </w:rPr>
      </w:pPr>
      <w:r>
        <w:rPr>
          <w:bCs/>
          <w:iCs/>
          <w:color w:val="000000"/>
        </w:rPr>
        <w:t>编号：</w:t>
      </w:r>
      <w:r>
        <w:rPr>
          <w:rFonts w:hint="eastAsia"/>
          <w:bCs/>
          <w:iCs/>
          <w:color w:val="000000"/>
        </w:rPr>
        <w:t>202</w:t>
      </w:r>
      <w:r>
        <w:rPr>
          <w:bCs/>
          <w:iCs/>
          <w:color w:val="000000"/>
        </w:rPr>
        <w:t>4</w:t>
      </w:r>
      <w:r>
        <w:rPr>
          <w:rFonts w:hint="eastAsia"/>
          <w:bCs/>
          <w:iCs/>
          <w:color w:val="000000"/>
        </w:rPr>
        <w:t>-00</w:t>
      </w:r>
      <w:r>
        <w:rPr>
          <w:bCs/>
          <w:iCs/>
          <w:color w:val="000000"/>
        </w:rPr>
        <w:t>2</w:t>
      </w:r>
    </w:p>
    <w:tbl>
      <w:tblPr>
        <w:tblStyle w:val="8"/>
        <w:tblW w:w="51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6830"/>
      </w:tblGrid>
      <w:tr w14:paraId="38ED6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1101" w:type="pct"/>
            <w:vAlign w:val="center"/>
          </w:tcPr>
          <w:p w14:paraId="291DBEFA">
            <w:pPr>
              <w:spacing w:line="480" w:lineRule="atLeast"/>
              <w:jc w:val="center"/>
              <w:rPr>
                <w:b/>
                <w:bCs/>
                <w:iCs/>
                <w:color w:val="000000"/>
                <w:sz w:val="24"/>
              </w:rPr>
            </w:pPr>
            <w:r>
              <w:rPr>
                <w:rFonts w:hint="eastAsia" w:ascii="宋体" w:hAnsi="宋体" w:cs="宋体"/>
                <w:b/>
                <w:bCs/>
                <w:iCs/>
                <w:color w:val="000000"/>
                <w:sz w:val="24"/>
              </w:rPr>
              <w:t>投资者关系活动类别</w:t>
            </w:r>
          </w:p>
        </w:tc>
        <w:tc>
          <w:tcPr>
            <w:tcW w:w="3899" w:type="pct"/>
            <w:vAlign w:val="center"/>
          </w:tcPr>
          <w:p w14:paraId="753455D5">
            <w:pPr>
              <w:spacing w:line="480" w:lineRule="atLeast"/>
              <w:ind w:firstLine="120" w:firstLineChars="50"/>
              <w:rPr>
                <w:sz w:val="24"/>
              </w:rPr>
            </w:pPr>
            <w:r>
              <w:rPr>
                <w:sz w:val="24"/>
              </w:rPr>
              <w:sym w:font="Wingdings 2" w:char="00A3"/>
            </w:r>
            <w:r>
              <w:rPr>
                <w:bCs/>
                <w:iCs/>
                <w:color w:val="000000"/>
                <w:sz w:val="24"/>
              </w:rPr>
              <w:t xml:space="preserve"> </w:t>
            </w:r>
            <w:r>
              <w:rPr>
                <w:sz w:val="24"/>
              </w:rPr>
              <w:t xml:space="preserve">特定对象调研   </w:t>
            </w:r>
            <w:r>
              <w:rPr>
                <w:sz w:val="24"/>
              </w:rPr>
              <w:sym w:font="Wingdings 2" w:char="00A3"/>
            </w:r>
            <w:r>
              <w:rPr>
                <w:rFonts w:hint="eastAsia"/>
                <w:sz w:val="24"/>
              </w:rPr>
              <w:t xml:space="preserve"> </w:t>
            </w:r>
            <w:r>
              <w:rPr>
                <w:sz w:val="24"/>
              </w:rPr>
              <w:t xml:space="preserve">分析师会议      </w:t>
            </w:r>
            <w:r>
              <w:rPr>
                <w:bCs/>
                <w:iCs/>
                <w:color w:val="000000"/>
                <w:sz w:val="24"/>
              </w:rPr>
              <w:sym w:font="Wingdings 2" w:char="00A3"/>
            </w:r>
            <w:r>
              <w:rPr>
                <w:rFonts w:hint="eastAsia"/>
                <w:bCs/>
                <w:iCs/>
                <w:color w:val="000000"/>
                <w:sz w:val="24"/>
              </w:rPr>
              <w:t xml:space="preserve"> </w:t>
            </w:r>
            <w:r>
              <w:rPr>
                <w:sz w:val="24"/>
              </w:rPr>
              <w:t xml:space="preserve">媒体采访   </w:t>
            </w:r>
          </w:p>
          <w:p w14:paraId="73CDC47C">
            <w:pPr>
              <w:spacing w:line="480" w:lineRule="atLeast"/>
              <w:ind w:firstLine="120" w:firstLineChars="50"/>
              <w:rPr>
                <w:sz w:val="24"/>
              </w:rPr>
            </w:pPr>
            <w:r>
              <w:rPr>
                <w:rFonts w:ascii="Segoe UI Symbol" w:hAnsi="Segoe UI Symbol" w:cs="Segoe UI Symbol"/>
                <w:sz w:val="24"/>
              </w:rPr>
              <w:t>☑</w:t>
            </w:r>
            <w:r>
              <w:rPr>
                <w:rFonts w:hint="eastAsia"/>
                <w:sz w:val="24"/>
              </w:rPr>
              <w:t xml:space="preserve"> </w:t>
            </w:r>
            <w:r>
              <w:rPr>
                <w:sz w:val="24"/>
              </w:rPr>
              <w:t>业绩说明会</w:t>
            </w:r>
            <w:r>
              <w:rPr>
                <w:rFonts w:hint="eastAsia"/>
                <w:sz w:val="24"/>
              </w:rPr>
              <w:t xml:space="preserve">     </w:t>
            </w:r>
            <w:r>
              <w:rPr>
                <w:bCs/>
                <w:iCs/>
                <w:color w:val="000000"/>
                <w:sz w:val="24"/>
              </w:rPr>
              <w:sym w:font="Wingdings 2" w:char="00A3"/>
            </w:r>
            <w:r>
              <w:rPr>
                <w:rFonts w:hint="eastAsia"/>
                <w:bCs/>
                <w:iCs/>
                <w:color w:val="000000"/>
                <w:sz w:val="24"/>
              </w:rPr>
              <w:t xml:space="preserve"> </w:t>
            </w:r>
            <w:r>
              <w:rPr>
                <w:sz w:val="24"/>
              </w:rPr>
              <w:t xml:space="preserve">新闻发布会    </w:t>
            </w:r>
            <w:r>
              <w:rPr>
                <w:rFonts w:hint="eastAsia"/>
                <w:sz w:val="24"/>
              </w:rPr>
              <w:t xml:space="preserve"> </w:t>
            </w:r>
            <w:r>
              <w:rPr>
                <w:sz w:val="24"/>
              </w:rPr>
              <w:t xml:space="preserve"> </w:t>
            </w:r>
            <w:r>
              <w:rPr>
                <w:bCs/>
                <w:iCs/>
                <w:color w:val="000000"/>
                <w:sz w:val="24"/>
              </w:rPr>
              <w:sym w:font="Wingdings 2" w:char="00A3"/>
            </w:r>
            <w:r>
              <w:rPr>
                <w:rFonts w:hint="eastAsia"/>
                <w:bCs/>
                <w:iCs/>
                <w:color w:val="000000"/>
                <w:sz w:val="24"/>
              </w:rPr>
              <w:t xml:space="preserve"> </w:t>
            </w:r>
            <w:r>
              <w:rPr>
                <w:sz w:val="24"/>
              </w:rPr>
              <w:t xml:space="preserve">路演活动    </w:t>
            </w:r>
          </w:p>
          <w:p w14:paraId="37F7CFD8">
            <w:pPr>
              <w:spacing w:line="480" w:lineRule="atLeast"/>
              <w:ind w:firstLine="120" w:firstLineChars="50"/>
              <w:rPr>
                <w:bCs/>
                <w:iCs/>
                <w:color w:val="000000"/>
                <w:sz w:val="24"/>
              </w:rPr>
            </w:pPr>
            <w:r>
              <w:rPr>
                <w:bCs/>
                <w:iCs/>
                <w:color w:val="000000"/>
                <w:sz w:val="24"/>
              </w:rPr>
              <w:sym w:font="Wingdings 2" w:char="00A3"/>
            </w:r>
            <w:r>
              <w:rPr>
                <w:rFonts w:hint="eastAsia"/>
                <w:bCs/>
                <w:iCs/>
                <w:color w:val="000000"/>
                <w:sz w:val="24"/>
              </w:rPr>
              <w:t xml:space="preserve"> </w:t>
            </w:r>
            <w:r>
              <w:rPr>
                <w:sz w:val="24"/>
              </w:rPr>
              <w:t>现场</w:t>
            </w:r>
            <w:r>
              <w:rPr>
                <w:rFonts w:hint="eastAsia"/>
                <w:sz w:val="24"/>
              </w:rPr>
              <w:t>交流</w:t>
            </w:r>
            <w:r>
              <w:rPr>
                <w:sz w:val="24"/>
              </w:rPr>
              <w:t xml:space="preserve">    </w:t>
            </w:r>
            <w:r>
              <w:rPr>
                <w:rFonts w:hint="eastAsia"/>
                <w:sz w:val="24"/>
              </w:rPr>
              <w:t xml:space="preserve">   </w:t>
            </w:r>
            <w:r>
              <w:rPr>
                <w:bCs/>
                <w:iCs/>
                <w:color w:val="000000"/>
                <w:sz w:val="24"/>
              </w:rPr>
              <w:sym w:font="Wingdings 2" w:char="00A3"/>
            </w:r>
            <w:r>
              <w:rPr>
                <w:bCs/>
                <w:iCs/>
                <w:color w:val="000000"/>
                <w:sz w:val="24"/>
              </w:rPr>
              <w:t xml:space="preserve"> </w:t>
            </w:r>
            <w:r>
              <w:rPr>
                <w:rFonts w:hint="eastAsia"/>
                <w:sz w:val="24"/>
              </w:rPr>
              <w:t xml:space="preserve">电话会议        </w:t>
            </w:r>
            <w:r>
              <w:rPr>
                <w:bCs/>
                <w:iCs/>
                <w:color w:val="000000"/>
                <w:sz w:val="24"/>
              </w:rPr>
              <w:sym w:font="Wingdings 2" w:char="00A3"/>
            </w:r>
            <w:r>
              <w:rPr>
                <w:rFonts w:hint="eastAsia"/>
                <w:sz w:val="24"/>
              </w:rPr>
              <w:t xml:space="preserve"> 投资者交流会</w:t>
            </w:r>
          </w:p>
        </w:tc>
      </w:tr>
      <w:tr w14:paraId="162E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101" w:type="pct"/>
            <w:vAlign w:val="center"/>
          </w:tcPr>
          <w:p w14:paraId="05ED1660">
            <w:pPr>
              <w:spacing w:line="480" w:lineRule="atLeast"/>
              <w:jc w:val="center"/>
              <w:rPr>
                <w:b/>
                <w:bCs/>
                <w:iCs/>
                <w:color w:val="000000"/>
                <w:sz w:val="24"/>
              </w:rPr>
            </w:pPr>
            <w:r>
              <w:rPr>
                <w:rFonts w:hint="eastAsia" w:ascii="宋体" w:hAnsi="宋体" w:cs="宋体"/>
                <w:b/>
                <w:bCs/>
                <w:iCs/>
                <w:color w:val="000000"/>
                <w:sz w:val="24"/>
              </w:rPr>
              <w:t>参与单位及人员</w:t>
            </w:r>
          </w:p>
        </w:tc>
        <w:tc>
          <w:tcPr>
            <w:tcW w:w="3899" w:type="pct"/>
            <w:vAlign w:val="center"/>
          </w:tcPr>
          <w:p w14:paraId="73802595">
            <w:pPr>
              <w:pStyle w:val="6"/>
              <w:widowControl/>
              <w:spacing w:before="156" w:beforeLines="50" w:beforeAutospacing="0" w:after="156" w:afterLines="50" w:afterAutospacing="0" w:line="400" w:lineRule="exact"/>
              <w:rPr>
                <w:rFonts w:ascii="宋体" w:hAnsi="宋体" w:eastAsia="宋体" w:cs="宋体"/>
                <w:bCs/>
                <w:iCs/>
                <w:color w:val="000000"/>
              </w:rPr>
            </w:pPr>
            <w:r>
              <w:rPr>
                <w:rFonts w:hint="eastAsia" w:ascii="宋体" w:hAnsi="宋体" w:eastAsia="宋体" w:cs="宋体"/>
                <w:bCs/>
                <w:iCs/>
                <w:color w:val="000000"/>
              </w:rPr>
              <w:t>通过网络文字互动的方式参加公司</w:t>
            </w:r>
            <w:r>
              <w:rPr>
                <w:rFonts w:hint="eastAsia" w:eastAsia="宋体"/>
                <w:bCs/>
                <w:iCs/>
                <w:color w:val="000000"/>
              </w:rPr>
              <w:t>2024年半年度业绩说明会</w:t>
            </w:r>
            <w:r>
              <w:rPr>
                <w:rFonts w:hint="eastAsia" w:ascii="宋体" w:hAnsi="宋体" w:eastAsia="宋体" w:cs="宋体"/>
                <w:bCs/>
                <w:iCs/>
                <w:color w:val="000000"/>
              </w:rPr>
              <w:t>的投资者</w:t>
            </w:r>
          </w:p>
        </w:tc>
      </w:tr>
      <w:tr w14:paraId="10D6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01" w:type="pct"/>
            <w:vAlign w:val="center"/>
          </w:tcPr>
          <w:p w14:paraId="18D41C65">
            <w:pPr>
              <w:spacing w:line="480" w:lineRule="atLeast"/>
              <w:jc w:val="center"/>
              <w:rPr>
                <w:rFonts w:ascii="宋体" w:hAnsi="宋体" w:cs="宋体"/>
                <w:b/>
                <w:bCs/>
                <w:iCs/>
                <w:color w:val="000000"/>
                <w:sz w:val="24"/>
              </w:rPr>
            </w:pPr>
            <w:r>
              <w:rPr>
                <w:rFonts w:hint="eastAsia" w:ascii="宋体" w:hAnsi="宋体" w:cs="宋体"/>
                <w:b/>
                <w:bCs/>
                <w:iCs/>
                <w:color w:val="000000"/>
                <w:sz w:val="24"/>
              </w:rPr>
              <w:t>时间</w:t>
            </w:r>
          </w:p>
        </w:tc>
        <w:tc>
          <w:tcPr>
            <w:tcW w:w="3899" w:type="pct"/>
          </w:tcPr>
          <w:p w14:paraId="1C51FFFF">
            <w:pPr>
              <w:spacing w:line="480" w:lineRule="atLeast"/>
              <w:jc w:val="left"/>
              <w:rPr>
                <w:rFonts w:ascii="宋体" w:hAnsi="宋体" w:cs="宋体"/>
                <w:bCs/>
                <w:iCs/>
                <w:color w:val="000000"/>
                <w:sz w:val="24"/>
              </w:rPr>
            </w:pPr>
            <w:r>
              <w:rPr>
                <w:rFonts w:hint="eastAsia"/>
                <w:color w:val="000000"/>
                <w:kern w:val="0"/>
                <w:sz w:val="24"/>
              </w:rPr>
              <w:t>2</w:t>
            </w:r>
            <w:r>
              <w:rPr>
                <w:rFonts w:hint="eastAsia" w:cs="宋体"/>
                <w:color w:val="000000"/>
                <w:kern w:val="0"/>
                <w:sz w:val="24"/>
              </w:rPr>
              <w:t>02</w:t>
            </w:r>
            <w:r>
              <w:rPr>
                <w:rFonts w:cs="宋体"/>
                <w:color w:val="000000"/>
                <w:kern w:val="0"/>
                <w:sz w:val="24"/>
              </w:rPr>
              <w:t>4</w:t>
            </w:r>
            <w:r>
              <w:rPr>
                <w:rFonts w:hint="eastAsia" w:cs="宋体"/>
                <w:color w:val="000000"/>
                <w:kern w:val="0"/>
                <w:sz w:val="24"/>
              </w:rPr>
              <w:t>年1</w:t>
            </w:r>
            <w:r>
              <w:rPr>
                <w:rFonts w:cs="宋体"/>
                <w:color w:val="000000"/>
                <w:kern w:val="0"/>
                <w:sz w:val="24"/>
              </w:rPr>
              <w:t>0</w:t>
            </w:r>
            <w:r>
              <w:rPr>
                <w:rFonts w:hint="eastAsia" w:cs="宋体"/>
                <w:color w:val="000000"/>
                <w:kern w:val="0"/>
                <w:sz w:val="24"/>
              </w:rPr>
              <w:t>月</w:t>
            </w:r>
            <w:r>
              <w:rPr>
                <w:rFonts w:cs="宋体"/>
                <w:color w:val="000000"/>
                <w:kern w:val="0"/>
                <w:sz w:val="24"/>
              </w:rPr>
              <w:t>16</w:t>
            </w:r>
            <w:r>
              <w:rPr>
                <w:rFonts w:hint="eastAsia" w:cs="宋体"/>
                <w:color w:val="000000"/>
                <w:kern w:val="0"/>
                <w:sz w:val="24"/>
              </w:rPr>
              <w:t>日上午1</w:t>
            </w:r>
            <w:r>
              <w:rPr>
                <w:rFonts w:cs="宋体"/>
                <w:color w:val="000000"/>
                <w:kern w:val="0"/>
                <w:sz w:val="24"/>
              </w:rPr>
              <w:t>0</w:t>
            </w:r>
            <w:r>
              <w:rPr>
                <w:rFonts w:hint="eastAsia" w:cs="宋体"/>
                <w:color w:val="000000"/>
                <w:kern w:val="0"/>
                <w:sz w:val="24"/>
              </w:rPr>
              <w:t>:00-1</w:t>
            </w:r>
            <w:r>
              <w:rPr>
                <w:rFonts w:cs="宋体"/>
                <w:color w:val="000000"/>
                <w:kern w:val="0"/>
                <w:sz w:val="24"/>
              </w:rPr>
              <w:t>1</w:t>
            </w:r>
            <w:r>
              <w:rPr>
                <w:rFonts w:hint="eastAsia" w:cs="宋体"/>
                <w:color w:val="000000"/>
                <w:kern w:val="0"/>
                <w:sz w:val="24"/>
              </w:rPr>
              <w:t>:</w:t>
            </w:r>
            <w:r>
              <w:rPr>
                <w:rFonts w:cs="宋体"/>
                <w:color w:val="000000"/>
                <w:kern w:val="0"/>
                <w:sz w:val="24"/>
              </w:rPr>
              <w:t>0</w:t>
            </w:r>
            <w:r>
              <w:rPr>
                <w:rFonts w:hint="eastAsia" w:cs="宋体"/>
                <w:color w:val="000000"/>
                <w:kern w:val="0"/>
                <w:sz w:val="24"/>
              </w:rPr>
              <w:t>0</w:t>
            </w:r>
          </w:p>
        </w:tc>
      </w:tr>
      <w:tr w14:paraId="60CE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01" w:type="pct"/>
            <w:vAlign w:val="center"/>
          </w:tcPr>
          <w:p w14:paraId="14ED00CF">
            <w:pPr>
              <w:spacing w:line="480" w:lineRule="atLeast"/>
              <w:jc w:val="center"/>
              <w:rPr>
                <w:rFonts w:ascii="宋体" w:hAnsi="宋体" w:cs="宋体"/>
                <w:b/>
                <w:bCs/>
                <w:iCs/>
                <w:color w:val="000000"/>
                <w:sz w:val="24"/>
              </w:rPr>
            </w:pPr>
            <w:r>
              <w:rPr>
                <w:rFonts w:hint="eastAsia" w:ascii="宋体" w:hAnsi="宋体" w:cs="宋体"/>
                <w:b/>
                <w:bCs/>
                <w:iCs/>
                <w:color w:val="000000"/>
                <w:sz w:val="24"/>
              </w:rPr>
              <w:t>地点</w:t>
            </w:r>
          </w:p>
        </w:tc>
        <w:tc>
          <w:tcPr>
            <w:tcW w:w="3899" w:type="pct"/>
          </w:tcPr>
          <w:p w14:paraId="6344C88F">
            <w:pPr>
              <w:spacing w:line="480" w:lineRule="atLeast"/>
              <w:jc w:val="left"/>
              <w:rPr>
                <w:rFonts w:ascii="宋体" w:hAnsi="宋体" w:cs="宋体"/>
                <w:bCs/>
                <w:iCs/>
                <w:color w:val="000000"/>
                <w:sz w:val="24"/>
              </w:rPr>
            </w:pPr>
            <w:r>
              <w:rPr>
                <w:rFonts w:hint="eastAsia" w:ascii="宋体" w:hAnsi="宋体" w:cs="宋体"/>
                <w:bCs/>
                <w:iCs/>
                <w:color w:val="000000"/>
                <w:sz w:val="24"/>
              </w:rPr>
              <w:t>上证路演中心</w:t>
            </w:r>
            <w:bookmarkStart w:id="0" w:name="OLE_LINK1"/>
            <w:r>
              <w:rPr>
                <w:rFonts w:hint="eastAsia" w:ascii="宋体" w:hAnsi="宋体" w:cs="宋体"/>
                <w:bCs/>
                <w:iCs/>
                <w:color w:val="000000"/>
                <w:sz w:val="24"/>
              </w:rPr>
              <w:t>（</w:t>
            </w:r>
            <w:r>
              <w:rPr>
                <w:bCs/>
                <w:iCs/>
                <w:color w:val="000000"/>
                <w:sz w:val="24"/>
              </w:rPr>
              <w:t>roadshow.sseinfo.com</w:t>
            </w:r>
            <w:r>
              <w:rPr>
                <w:rFonts w:hint="eastAsia" w:ascii="宋体" w:hAnsi="宋体" w:cs="宋体"/>
                <w:bCs/>
                <w:iCs/>
                <w:color w:val="000000"/>
                <w:sz w:val="24"/>
              </w:rPr>
              <w:t>）</w:t>
            </w:r>
            <w:bookmarkEnd w:id="0"/>
          </w:p>
        </w:tc>
      </w:tr>
      <w:tr w14:paraId="730F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01" w:type="pct"/>
            <w:vAlign w:val="center"/>
          </w:tcPr>
          <w:p w14:paraId="7F83F686">
            <w:pPr>
              <w:spacing w:line="480" w:lineRule="atLeast"/>
              <w:jc w:val="center"/>
              <w:rPr>
                <w:rFonts w:ascii="宋体" w:hAnsi="宋体" w:cs="宋体"/>
                <w:b/>
                <w:bCs/>
                <w:iCs/>
                <w:color w:val="000000"/>
                <w:sz w:val="24"/>
              </w:rPr>
            </w:pPr>
            <w:r>
              <w:rPr>
                <w:rFonts w:hint="eastAsia" w:ascii="宋体" w:hAnsi="宋体" w:cs="宋体"/>
                <w:b/>
                <w:bCs/>
                <w:iCs/>
                <w:color w:val="000000"/>
                <w:sz w:val="24"/>
              </w:rPr>
              <w:t>公司接待人员</w:t>
            </w:r>
          </w:p>
        </w:tc>
        <w:tc>
          <w:tcPr>
            <w:tcW w:w="3899" w:type="pct"/>
          </w:tcPr>
          <w:p w14:paraId="049569F8">
            <w:pPr>
              <w:spacing w:line="480" w:lineRule="atLeast"/>
              <w:jc w:val="left"/>
              <w:rPr>
                <w:rFonts w:ascii="宋体" w:hAnsi="宋体" w:cs="宋体"/>
                <w:bCs/>
                <w:iCs/>
                <w:color w:val="000000"/>
                <w:sz w:val="24"/>
              </w:rPr>
            </w:pPr>
            <w:r>
              <w:rPr>
                <w:rFonts w:hint="eastAsia" w:ascii="宋体" w:hAnsi="宋体" w:cs="宋体"/>
                <w:color w:val="000000"/>
                <w:kern w:val="0"/>
                <w:sz w:val="24"/>
              </w:rPr>
              <w:t>公司董事长陈丽娜女士、总经理蔡琳琳先生、独立董事郭向东先生、董事会秘书黄璇女士、财务总监吴淑妃女士及相关工作人员</w:t>
            </w:r>
          </w:p>
        </w:tc>
      </w:tr>
      <w:tr w14:paraId="23B5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101" w:type="pct"/>
            <w:vAlign w:val="center"/>
          </w:tcPr>
          <w:p w14:paraId="22DF6155">
            <w:pPr>
              <w:spacing w:line="480" w:lineRule="atLeast"/>
              <w:jc w:val="center"/>
              <w:rPr>
                <w:rFonts w:ascii="宋体" w:hAnsi="宋体" w:cs="宋体"/>
                <w:b/>
                <w:bCs/>
                <w:iCs/>
                <w:color w:val="000000"/>
                <w:sz w:val="24"/>
              </w:rPr>
            </w:pPr>
            <w:r>
              <w:rPr>
                <w:rFonts w:hint="eastAsia" w:ascii="宋体" w:hAnsi="宋体" w:cs="宋体"/>
                <w:b/>
                <w:bCs/>
                <w:iCs/>
                <w:color w:val="000000"/>
                <w:sz w:val="24"/>
              </w:rPr>
              <w:t>投资者关系活动主要内容介绍</w:t>
            </w:r>
          </w:p>
        </w:tc>
        <w:tc>
          <w:tcPr>
            <w:tcW w:w="3899" w:type="pct"/>
          </w:tcPr>
          <w:p w14:paraId="6EA5C208">
            <w:pPr>
              <w:spacing w:line="360" w:lineRule="auto"/>
              <w:ind w:firstLine="480"/>
              <w:rPr>
                <w:sz w:val="24"/>
              </w:rPr>
            </w:pPr>
            <w:r>
              <w:rPr>
                <w:rFonts w:hint="eastAsia"/>
                <w:sz w:val="24"/>
              </w:rPr>
              <w:t>参与</w:t>
            </w:r>
            <w:r>
              <w:rPr>
                <w:sz w:val="24"/>
              </w:rPr>
              <w:t>本次业绩说明会</w:t>
            </w:r>
            <w:r>
              <w:rPr>
                <w:rFonts w:hint="eastAsia"/>
                <w:sz w:val="24"/>
              </w:rPr>
              <w:t>的公司接待人员，在法律、法规及规范性文件等相关规定允许的范围内就投资者关注的问题予以及时答复，</w:t>
            </w:r>
            <w:r>
              <w:rPr>
                <w:sz w:val="24"/>
              </w:rPr>
              <w:t>不涉及应当披露的重大信息</w:t>
            </w:r>
            <w:r>
              <w:rPr>
                <w:rFonts w:hint="eastAsia"/>
                <w:sz w:val="24"/>
              </w:rPr>
              <w:t>，</w:t>
            </w:r>
            <w:r>
              <w:rPr>
                <w:sz w:val="24"/>
              </w:rPr>
              <w:t>公司就本次</w:t>
            </w:r>
            <w:r>
              <w:rPr>
                <w:rFonts w:hint="eastAsia"/>
                <w:sz w:val="24"/>
              </w:rPr>
              <w:t>业绩</w:t>
            </w:r>
            <w:r>
              <w:rPr>
                <w:sz w:val="24"/>
              </w:rPr>
              <w:t>说明会</w:t>
            </w:r>
            <w:r>
              <w:rPr>
                <w:rFonts w:hint="eastAsia"/>
                <w:sz w:val="24"/>
              </w:rPr>
              <w:t>网络文字互动环节主要内容</w:t>
            </w:r>
            <w:r>
              <w:rPr>
                <w:sz w:val="24"/>
              </w:rPr>
              <w:t>如下：</w:t>
            </w:r>
          </w:p>
          <w:p w14:paraId="6811AA09">
            <w:pPr>
              <w:numPr>
                <w:ilvl w:val="0"/>
                <w:numId w:val="1"/>
              </w:numPr>
              <w:spacing w:line="360" w:lineRule="auto"/>
              <w:ind w:firstLine="480"/>
              <w:rPr>
                <w:sz w:val="24"/>
              </w:rPr>
            </w:pPr>
            <w:r>
              <w:rPr>
                <w:sz w:val="24"/>
              </w:rPr>
              <w:t>公司多次提到加大海外客车市场开拓力度，请问做了哪些工作，是否有取得订单？</w:t>
            </w:r>
          </w:p>
          <w:p w14:paraId="08B5024D">
            <w:pPr>
              <w:spacing w:line="360" w:lineRule="auto"/>
              <w:ind w:firstLine="480" w:firstLineChars="200"/>
              <w:rPr>
                <w:rFonts w:ascii="宋体" w:hAnsi="宋体" w:cs="宋体"/>
                <w:sz w:val="24"/>
              </w:rPr>
            </w:pPr>
            <w:r>
              <w:rPr>
                <w:rFonts w:hint="eastAsia"/>
                <w:sz w:val="24"/>
              </w:rPr>
              <w:t>答：公司</w:t>
            </w:r>
            <w:r>
              <w:rPr>
                <w:rFonts w:ascii="宋体" w:hAnsi="宋体" w:cs="宋体"/>
                <w:sz w:val="24"/>
                <w:szCs w:val="24"/>
              </w:rPr>
              <w:t>产品出口模式包括为国内整车厂商提供配套产品、经销代理及直接出口等。为加大出口产品数量，公司一方面进一步完善相关业务部门及其人才队伍建设，并安排业务人员考察海外目标市场环境，制定具体的海外市场开拓计划；另一方面，主动与海外目标市场当地车企建立联系，做好直接出口业务及配套服务，为公司的海外市场拓展工作做好示范</w:t>
            </w:r>
            <w:r>
              <w:rPr>
                <w:sz w:val="24"/>
                <w:szCs w:val="24"/>
              </w:rPr>
              <w:t>。2024年</w:t>
            </w:r>
            <w:r>
              <w:rPr>
                <w:rFonts w:ascii="宋体" w:hAnsi="宋体" w:cs="宋体"/>
                <w:sz w:val="24"/>
                <w:szCs w:val="24"/>
              </w:rPr>
              <w:t>上半年，公司直接出口模式产生的营业收入占公司主营业务收入比例低，约为</w:t>
            </w:r>
            <w:r>
              <w:rPr>
                <w:sz w:val="24"/>
                <w:szCs w:val="24"/>
              </w:rPr>
              <w:t>0.74%，</w:t>
            </w:r>
            <w:r>
              <w:rPr>
                <w:rFonts w:ascii="宋体" w:hAnsi="宋体" w:cs="宋体"/>
                <w:sz w:val="24"/>
                <w:szCs w:val="24"/>
              </w:rPr>
              <w:t>较上年同期直接出口营业收入增长</w:t>
            </w:r>
            <w:r>
              <w:rPr>
                <w:sz w:val="24"/>
                <w:szCs w:val="24"/>
              </w:rPr>
              <w:t>约190%。</w:t>
            </w:r>
          </w:p>
          <w:p w14:paraId="2325EE16">
            <w:pPr>
              <w:numPr>
                <w:ilvl w:val="0"/>
                <w:numId w:val="1"/>
              </w:numPr>
              <w:spacing w:line="360" w:lineRule="auto"/>
              <w:ind w:firstLine="480"/>
              <w:rPr>
                <w:rFonts w:ascii="宋体" w:hAnsi="宋体" w:cs="宋体"/>
                <w:sz w:val="24"/>
              </w:rPr>
            </w:pPr>
            <w:r>
              <w:rPr>
                <w:rFonts w:ascii="宋体" w:hAnsi="宋体" w:cs="宋体"/>
                <w:sz w:val="24"/>
                <w:szCs w:val="24"/>
              </w:rPr>
              <w:t>今年新的新能源补贴政策是否对公司利好？</w:t>
            </w:r>
          </w:p>
          <w:p w14:paraId="012B789E">
            <w:pPr>
              <w:spacing w:line="360" w:lineRule="auto"/>
              <w:ind w:firstLine="480" w:firstLineChars="200"/>
              <w:rPr>
                <w:rFonts w:ascii="宋体" w:hAnsi="宋体" w:cs="宋体"/>
                <w:sz w:val="24"/>
              </w:rPr>
            </w:pPr>
            <w:r>
              <w:rPr>
                <w:rFonts w:hint="eastAsia" w:ascii="宋体" w:hAnsi="宋体" w:cs="宋体"/>
                <w:sz w:val="24"/>
                <w:szCs w:val="24"/>
              </w:rPr>
              <w:t>答：</w:t>
            </w:r>
            <w:r>
              <w:rPr>
                <w:sz w:val="24"/>
                <w:szCs w:val="24"/>
              </w:rPr>
              <w:t>2024年7</w:t>
            </w:r>
            <w:r>
              <w:rPr>
                <w:rFonts w:ascii="宋体" w:hAnsi="宋体" w:cs="宋体"/>
                <w:sz w:val="24"/>
                <w:szCs w:val="24"/>
              </w:rPr>
              <w:t>月颁布的《新能源城市公交车及动力电池更新补贴实施细则》《关于实施老旧营运货车报废更新的通知》等政策文件，明确了城市公交企业更换新能源城市公交车及更换动力电池、报废旧标准营运柴油货车及更换高标准新能源货车补贴政策；相关政策对公司下游市场需求会产生积极影响，预计对公司的产品销售会起到一定的促进作用。</w:t>
            </w:r>
          </w:p>
          <w:p w14:paraId="7BBF08D5">
            <w:pPr>
              <w:numPr>
                <w:ilvl w:val="0"/>
                <w:numId w:val="1"/>
              </w:numPr>
              <w:spacing w:line="360" w:lineRule="auto"/>
              <w:ind w:firstLine="480"/>
              <w:rPr>
                <w:rFonts w:ascii="宋体" w:hAnsi="宋体" w:cs="宋体"/>
                <w:sz w:val="24"/>
              </w:rPr>
            </w:pPr>
            <w:r>
              <w:rPr>
                <w:rFonts w:ascii="宋体" w:hAnsi="宋体" w:cs="宋体"/>
                <w:sz w:val="24"/>
                <w:szCs w:val="24"/>
              </w:rPr>
              <w:t>公司除客车业务外的市场开拓工作有没有什么具体的成果？业绩怎么样？</w:t>
            </w:r>
          </w:p>
          <w:p w14:paraId="6AC2BF80">
            <w:pPr>
              <w:spacing w:line="360" w:lineRule="auto"/>
              <w:ind w:firstLine="480" w:firstLineChars="200"/>
              <w:rPr>
                <w:rFonts w:ascii="宋体" w:hAnsi="宋体" w:cs="宋体"/>
                <w:sz w:val="24"/>
              </w:rPr>
            </w:pPr>
            <w:r>
              <w:rPr>
                <w:rFonts w:hint="eastAsia" w:ascii="宋体" w:hAnsi="宋体" w:cs="宋体"/>
                <w:sz w:val="24"/>
                <w:szCs w:val="24"/>
              </w:rPr>
              <w:t>答：</w:t>
            </w:r>
            <w:r>
              <w:rPr>
                <w:sz w:val="24"/>
                <w:szCs w:val="24"/>
              </w:rPr>
              <w:t>2024</w:t>
            </w:r>
            <w:r>
              <w:rPr>
                <w:rFonts w:ascii="宋体" w:hAnsi="宋体" w:cs="宋体"/>
                <w:sz w:val="24"/>
                <w:szCs w:val="24"/>
              </w:rPr>
              <w:t>年上半年，公司获得</w:t>
            </w:r>
            <w:r>
              <w:rPr>
                <w:sz w:val="24"/>
                <w:szCs w:val="24"/>
              </w:rPr>
              <w:t>2</w:t>
            </w:r>
            <w:r>
              <w:rPr>
                <w:rFonts w:ascii="宋体" w:hAnsi="宋体" w:cs="宋体"/>
                <w:sz w:val="24"/>
                <w:szCs w:val="24"/>
              </w:rPr>
              <w:t>家商用车厂商供应体系准入资格，预计将对公司营业收入的增加产生一定促进作用。在移动医疗业务领域，基于移动医疗车研制经验，公司可提供医疗车辆等专用车改造方案设计等服务，形成新业务模式。电池托盘产品在乘用车市场领域的开拓工作稳步、持续推进。</w:t>
            </w:r>
          </w:p>
          <w:p w14:paraId="4C397B13">
            <w:pPr>
              <w:numPr>
                <w:ilvl w:val="0"/>
                <w:numId w:val="1"/>
              </w:numPr>
              <w:spacing w:line="360" w:lineRule="auto"/>
              <w:ind w:firstLine="480"/>
              <w:rPr>
                <w:rFonts w:ascii="宋体" w:hAnsi="宋体" w:cs="宋体"/>
                <w:sz w:val="24"/>
              </w:rPr>
            </w:pPr>
            <w:r>
              <w:rPr>
                <w:rFonts w:ascii="宋体" w:hAnsi="宋体" w:cs="宋体"/>
                <w:sz w:val="24"/>
                <w:szCs w:val="24"/>
              </w:rPr>
              <w:t>公司有参与承建哪些“车路云一体化”应用试点建设项目，就相关产品具体有什么业务规划？</w:t>
            </w:r>
          </w:p>
          <w:p w14:paraId="54335F1E">
            <w:pPr>
              <w:spacing w:line="360" w:lineRule="auto"/>
              <w:ind w:firstLine="480"/>
              <w:rPr>
                <w:sz w:val="24"/>
              </w:rPr>
            </w:pPr>
            <w:r>
              <w:rPr>
                <w:rFonts w:hint="eastAsia"/>
                <w:sz w:val="24"/>
              </w:rPr>
              <w:t>答：</w:t>
            </w:r>
            <w:r>
              <w:rPr>
                <w:rFonts w:ascii="宋体" w:hAnsi="宋体" w:cs="宋体"/>
                <w:sz w:val="24"/>
                <w:szCs w:val="24"/>
              </w:rPr>
              <w:t>目前，公司未参与承建最近批次“车路云一体化”应用试点建设。公司基于车载电气产品数据采集、云端数据分析及挖掘，面向车企、行业监管部门及市民用户分发个性</w:t>
            </w:r>
            <w:r>
              <w:rPr>
                <w:rFonts w:hint="eastAsia" w:ascii="宋体" w:hAnsi="宋体" w:cs="宋体"/>
                <w:sz w:val="24"/>
                <w:szCs w:val="24"/>
              </w:rPr>
              <w:t>化</w:t>
            </w:r>
            <w:r>
              <w:rPr>
                <w:rFonts w:ascii="宋体" w:hAnsi="宋体" w:cs="宋体"/>
                <w:sz w:val="24"/>
                <w:szCs w:val="24"/>
              </w:rPr>
              <w:t>的数据服务，公司将对现有智慧交通管理云平台产品进行迭代，就数据处理、展示等应用模块进行功能整合、数据融合，以更快捷响应客户需求；同时，也将进一步加大面向监管职能部门的应用平台的开发及市场开拓力度。</w:t>
            </w:r>
          </w:p>
          <w:p w14:paraId="707716E1">
            <w:pPr>
              <w:spacing w:line="360" w:lineRule="auto"/>
              <w:ind w:firstLine="480"/>
              <w:rPr>
                <w:rFonts w:ascii="宋体" w:hAnsi="宋体" w:cs="宋体"/>
                <w:sz w:val="24"/>
              </w:rPr>
            </w:pPr>
            <w:r>
              <w:rPr>
                <w:rFonts w:hint="eastAsia" w:ascii="宋体" w:hAnsi="宋体" w:cs="宋体"/>
                <w:sz w:val="24"/>
              </w:rPr>
              <w:t>关于本次说明会的具体情况，投资者可登录上证路演中心（</w:t>
            </w:r>
            <w:r>
              <w:rPr>
                <w:sz w:val="24"/>
              </w:rPr>
              <w:t>roadshow.sseinfo.com</w:t>
            </w:r>
            <w:r>
              <w:rPr>
                <w:rFonts w:hint="eastAsia" w:ascii="宋体" w:hAnsi="宋体" w:cs="宋体"/>
                <w:sz w:val="24"/>
              </w:rPr>
              <w:t>）查看。</w:t>
            </w:r>
          </w:p>
        </w:tc>
      </w:tr>
      <w:tr w14:paraId="6E68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01" w:type="pct"/>
          </w:tcPr>
          <w:p w14:paraId="095D1AFB">
            <w:pPr>
              <w:spacing w:line="480" w:lineRule="atLeast"/>
              <w:jc w:val="center"/>
              <w:rPr>
                <w:rFonts w:ascii="宋体" w:hAnsi="宋体" w:cs="宋体"/>
                <w:b/>
                <w:bCs/>
                <w:iCs/>
                <w:color w:val="000000"/>
                <w:sz w:val="24"/>
              </w:rPr>
            </w:pPr>
            <w:r>
              <w:rPr>
                <w:rFonts w:hint="eastAsia" w:ascii="宋体" w:hAnsi="宋体" w:cs="宋体"/>
                <w:b/>
                <w:bCs/>
                <w:iCs/>
                <w:color w:val="000000"/>
                <w:sz w:val="24"/>
              </w:rPr>
              <w:t>整理日期</w:t>
            </w:r>
          </w:p>
        </w:tc>
        <w:tc>
          <w:tcPr>
            <w:tcW w:w="3899" w:type="pct"/>
          </w:tcPr>
          <w:p w14:paraId="53E0B40C">
            <w:pPr>
              <w:spacing w:line="480" w:lineRule="atLeast"/>
              <w:jc w:val="left"/>
              <w:rPr>
                <w:bCs/>
                <w:iCs/>
                <w:color w:val="000000"/>
                <w:sz w:val="24"/>
              </w:rPr>
            </w:pPr>
            <w:r>
              <w:rPr>
                <w:bCs/>
                <w:iCs/>
                <w:color w:val="000000"/>
                <w:sz w:val="24"/>
              </w:rPr>
              <w:t>2024年10月16日</w:t>
            </w:r>
          </w:p>
        </w:tc>
      </w:tr>
    </w:tbl>
    <w:p w14:paraId="2A787FE3"/>
    <w:p w14:paraId="6BCEF982"/>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91353">
    <w:pPr>
      <w:pStyle w:val="4"/>
      <w:jc w:val="center"/>
    </w:pPr>
    <w:r>
      <w:fldChar w:fldCharType="begin"/>
    </w:r>
    <w:r>
      <w:instrText xml:space="preserve"> PAGE   \* MERGEFORMAT </w:instrText>
    </w:r>
    <w:r>
      <w:fldChar w:fldCharType="separate"/>
    </w:r>
    <w: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A770B"/>
    <w:multiLevelType w:val="singleLevel"/>
    <w:tmpl w:val="F3FA770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0NmUwNjYxMWZjZDhjNGVlZGMwMTI5ZDRjNDg2NWMifQ=="/>
  </w:docVars>
  <w:rsids>
    <w:rsidRoot w:val="00424937"/>
    <w:rsid w:val="000660FD"/>
    <w:rsid w:val="000C72F5"/>
    <w:rsid w:val="001135BD"/>
    <w:rsid w:val="00114922"/>
    <w:rsid w:val="00140D2A"/>
    <w:rsid w:val="00160351"/>
    <w:rsid w:val="00167E28"/>
    <w:rsid w:val="00181C7C"/>
    <w:rsid w:val="001B129E"/>
    <w:rsid w:val="001E0A8C"/>
    <w:rsid w:val="001F37D2"/>
    <w:rsid w:val="00237A3A"/>
    <w:rsid w:val="002440FF"/>
    <w:rsid w:val="0026467F"/>
    <w:rsid w:val="00286794"/>
    <w:rsid w:val="00286C53"/>
    <w:rsid w:val="002B4A6A"/>
    <w:rsid w:val="002E3833"/>
    <w:rsid w:val="002F6020"/>
    <w:rsid w:val="0030290D"/>
    <w:rsid w:val="003504C4"/>
    <w:rsid w:val="00370C7E"/>
    <w:rsid w:val="003F6125"/>
    <w:rsid w:val="00406179"/>
    <w:rsid w:val="00424937"/>
    <w:rsid w:val="00443C06"/>
    <w:rsid w:val="00447659"/>
    <w:rsid w:val="00463D24"/>
    <w:rsid w:val="004850AB"/>
    <w:rsid w:val="00490553"/>
    <w:rsid w:val="004A0DA9"/>
    <w:rsid w:val="00570F02"/>
    <w:rsid w:val="005B5046"/>
    <w:rsid w:val="005C0DED"/>
    <w:rsid w:val="005F2A72"/>
    <w:rsid w:val="005F4A9C"/>
    <w:rsid w:val="00617C46"/>
    <w:rsid w:val="00632158"/>
    <w:rsid w:val="006375B6"/>
    <w:rsid w:val="00670690"/>
    <w:rsid w:val="00687F8F"/>
    <w:rsid w:val="006D1375"/>
    <w:rsid w:val="00717434"/>
    <w:rsid w:val="007500AE"/>
    <w:rsid w:val="00780188"/>
    <w:rsid w:val="0078630A"/>
    <w:rsid w:val="00790597"/>
    <w:rsid w:val="007A5969"/>
    <w:rsid w:val="008311DB"/>
    <w:rsid w:val="00865725"/>
    <w:rsid w:val="008A0F4B"/>
    <w:rsid w:val="008A3F32"/>
    <w:rsid w:val="008C04F9"/>
    <w:rsid w:val="009210AE"/>
    <w:rsid w:val="00977B41"/>
    <w:rsid w:val="00995962"/>
    <w:rsid w:val="009E1E42"/>
    <w:rsid w:val="00A008A9"/>
    <w:rsid w:val="00A54167"/>
    <w:rsid w:val="00AB2F2D"/>
    <w:rsid w:val="00AB5D82"/>
    <w:rsid w:val="00AC14A4"/>
    <w:rsid w:val="00AC1EB0"/>
    <w:rsid w:val="00B63E26"/>
    <w:rsid w:val="00B77146"/>
    <w:rsid w:val="00B800FD"/>
    <w:rsid w:val="00BA25AC"/>
    <w:rsid w:val="00BA30C2"/>
    <w:rsid w:val="00BD03F8"/>
    <w:rsid w:val="00BD6F4C"/>
    <w:rsid w:val="00BE7893"/>
    <w:rsid w:val="00CE0CC9"/>
    <w:rsid w:val="00D07144"/>
    <w:rsid w:val="00D23168"/>
    <w:rsid w:val="00D34A4F"/>
    <w:rsid w:val="00DF5BE3"/>
    <w:rsid w:val="00E01BCB"/>
    <w:rsid w:val="00E46B4A"/>
    <w:rsid w:val="00E5655F"/>
    <w:rsid w:val="00EC103B"/>
    <w:rsid w:val="00ED079F"/>
    <w:rsid w:val="00EF2611"/>
    <w:rsid w:val="00F90B3D"/>
    <w:rsid w:val="00FC6099"/>
    <w:rsid w:val="00FF21D6"/>
    <w:rsid w:val="0A2A7085"/>
    <w:rsid w:val="0DAE0BA6"/>
    <w:rsid w:val="13CF7127"/>
    <w:rsid w:val="14F93B44"/>
    <w:rsid w:val="1F7F3994"/>
    <w:rsid w:val="201B5C14"/>
    <w:rsid w:val="28150BBD"/>
    <w:rsid w:val="2B353E5D"/>
    <w:rsid w:val="451078BA"/>
    <w:rsid w:val="485C1EAF"/>
    <w:rsid w:val="48E7672C"/>
    <w:rsid w:val="48F01CCF"/>
    <w:rsid w:val="4AAB55FC"/>
    <w:rsid w:val="4B2D736B"/>
    <w:rsid w:val="4E732176"/>
    <w:rsid w:val="5C823B46"/>
    <w:rsid w:val="79675312"/>
    <w:rsid w:val="7CBF2237"/>
    <w:rsid w:val="7DD40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rPr>
      <w:rFonts w:eastAsia="等线"/>
      <w:szCs w:val="24"/>
    </w:rPr>
  </w:style>
  <w:style w:type="paragraph" w:styleId="3">
    <w:name w:val="Balloon Text"/>
    <w:basedOn w:val="1"/>
    <w:link w:val="14"/>
    <w:semiHidden/>
    <w:unhideWhenUsed/>
    <w:qFormat/>
    <w:uiPriority w:val="99"/>
    <w:rPr>
      <w:rFonts w:eastAsia="等线"/>
      <w:sz w:val="18"/>
      <w:szCs w:val="18"/>
    </w:rPr>
  </w:style>
  <w:style w:type="paragraph" w:styleId="4">
    <w:name w:val="footer"/>
    <w:basedOn w:val="1"/>
    <w:link w:val="12"/>
    <w:unhideWhenUsed/>
    <w:qFormat/>
    <w:uiPriority w:val="99"/>
    <w:pPr>
      <w:tabs>
        <w:tab w:val="center" w:pos="4153"/>
        <w:tab w:val="right" w:pos="8306"/>
      </w:tabs>
      <w:snapToGrid w:val="0"/>
      <w:jc w:val="left"/>
    </w:pPr>
    <w:rPr>
      <w:kern w:val="0"/>
      <w:sz w:val="18"/>
      <w:szCs w:val="18"/>
      <w:lang w:val="zh-CN"/>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eastAsia="等线"/>
      <w:sz w:val="18"/>
      <w:szCs w:val="18"/>
    </w:rPr>
  </w:style>
  <w:style w:type="paragraph" w:styleId="6">
    <w:name w:val="Normal (Web)"/>
    <w:basedOn w:val="1"/>
    <w:unhideWhenUsed/>
    <w:qFormat/>
    <w:uiPriority w:val="99"/>
    <w:pPr>
      <w:spacing w:beforeAutospacing="1" w:afterAutospacing="1"/>
      <w:jc w:val="left"/>
    </w:pPr>
    <w:rPr>
      <w:rFonts w:eastAsia="等线"/>
      <w:kern w:val="0"/>
      <w:sz w:val="24"/>
      <w:szCs w:val="24"/>
    </w:rPr>
  </w:style>
  <w:style w:type="paragraph" w:styleId="7">
    <w:name w:val="annotation subject"/>
    <w:basedOn w:val="2"/>
    <w:next w:val="2"/>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脚 字符"/>
    <w:basedOn w:val="9"/>
    <w:semiHidden/>
    <w:qFormat/>
    <w:uiPriority w:val="99"/>
    <w:rPr>
      <w:rFonts w:ascii="Times New Roman" w:hAnsi="Times New Roman" w:eastAsia="等线" w:cs="Times New Roman"/>
      <w:sz w:val="18"/>
      <w:szCs w:val="18"/>
    </w:rPr>
  </w:style>
  <w:style w:type="character" w:customStyle="1" w:styleId="12">
    <w:name w:val="页脚 字符1"/>
    <w:link w:val="4"/>
    <w:qFormat/>
    <w:uiPriority w:val="99"/>
    <w:rPr>
      <w:rFonts w:ascii="Times New Roman" w:hAnsi="Times New Roman" w:eastAsia="宋体" w:cs="Times New Roman"/>
      <w:kern w:val="0"/>
      <w:sz w:val="18"/>
      <w:szCs w:val="18"/>
      <w:lang w:val="zh-CN" w:eastAsia="zh-CN"/>
    </w:rPr>
  </w:style>
  <w:style w:type="character" w:customStyle="1" w:styleId="13">
    <w:name w:val="页眉 字符"/>
    <w:basedOn w:val="9"/>
    <w:link w:val="5"/>
    <w:qFormat/>
    <w:uiPriority w:val="99"/>
    <w:rPr>
      <w:rFonts w:eastAsia="等线"/>
      <w:kern w:val="2"/>
      <w:sz w:val="18"/>
      <w:szCs w:val="18"/>
    </w:rPr>
  </w:style>
  <w:style w:type="character" w:customStyle="1" w:styleId="14">
    <w:name w:val="批注框文本 字符"/>
    <w:basedOn w:val="9"/>
    <w:link w:val="3"/>
    <w:semiHidden/>
    <w:qFormat/>
    <w:uiPriority w:val="99"/>
    <w:rPr>
      <w:rFonts w:eastAsia="等线"/>
      <w:kern w:val="2"/>
      <w:sz w:val="18"/>
      <w:szCs w:val="18"/>
    </w:rPr>
  </w:style>
  <w:style w:type="character" w:customStyle="1" w:styleId="15">
    <w:name w:val="批注文字 字符"/>
    <w:basedOn w:val="9"/>
    <w:link w:val="2"/>
    <w:semiHidden/>
    <w:qFormat/>
    <w:uiPriority w:val="99"/>
    <w:rPr>
      <w:rFonts w:eastAsia="等线"/>
      <w:kern w:val="2"/>
      <w:sz w:val="21"/>
      <w:szCs w:val="24"/>
    </w:rPr>
  </w:style>
  <w:style w:type="character" w:customStyle="1" w:styleId="16">
    <w:name w:val="批注主题 字符"/>
    <w:basedOn w:val="15"/>
    <w:link w:val="7"/>
    <w:semiHidden/>
    <w:qFormat/>
    <w:uiPriority w:val="99"/>
    <w:rPr>
      <w:rFonts w:eastAsia="等线"/>
      <w:b/>
      <w:bCs/>
      <w:kern w:val="2"/>
      <w:sz w:val="21"/>
      <w:szCs w:val="24"/>
    </w:rPr>
  </w:style>
  <w:style w:type="paragraph" w:customStyle="1" w:styleId="17">
    <w:name w:val="修订1"/>
    <w:hidden/>
    <w:unhideWhenUsed/>
    <w:qFormat/>
    <w:uiPriority w:val="99"/>
    <w:rPr>
      <w:rFonts w:ascii="Times New Roman" w:hAnsi="Times New Roman" w:eastAsia="等线" w:cs="Times New Roman"/>
      <w:kern w:val="2"/>
      <w:sz w:val="21"/>
      <w:szCs w:val="24"/>
      <w:lang w:val="en-US" w:eastAsia="zh-CN" w:bidi="ar-SA"/>
    </w:rPr>
  </w:style>
  <w:style w:type="paragraph" w:customStyle="1" w:styleId="18">
    <w:name w:val="修订2"/>
    <w:hidden/>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2</Pages>
  <Words>1189</Words>
  <Characters>1278</Characters>
  <Lines>9</Lines>
  <Paragraphs>2</Paragraphs>
  <TotalTime>2</TotalTime>
  <ScaleCrop>false</ScaleCrop>
  <LinksUpToDate>false</LinksUpToDate>
  <CharactersWithSpaces>1363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2024-10-16T07:34:00Z</dcterms:created>
  <dc:creator>shalldo-zzhou</dc:creator>
  <cp:lastModifiedBy>Doris</cp:lastModifiedBy>
  <cp:lastPrinted>2024-06-27T13:32:00Z</cp:lastPrinted>
  <dcterms:modified xsi:type="dcterms:W3CDTF">2024-10-16T07:41:23Z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38AD3C34FAC6487893E94DAE819160C8_13</vt:lpwstr>
  </property>
</Properties>
</file>