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95DF0" w14:textId="77777777" w:rsidR="00611393" w:rsidRPr="004E286B" w:rsidRDefault="00CF18F2">
      <w:pPr>
        <w:pStyle w:val="1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4E286B">
        <w:rPr>
          <w:rFonts w:ascii="Times New Roman" w:eastAsia="宋体" w:hAnsi="Times New Roman" w:cs="Times New Roman"/>
          <w:sz w:val="24"/>
          <w:szCs w:val="24"/>
          <w:lang w:val="en-US"/>
        </w:rPr>
        <w:t>证券代码：</w:t>
      </w:r>
      <w:r w:rsidRPr="004E286B">
        <w:rPr>
          <w:rFonts w:ascii="Times New Roman" w:eastAsia="宋体" w:hAnsi="Times New Roman" w:cs="Times New Roman"/>
          <w:sz w:val="24"/>
          <w:szCs w:val="24"/>
          <w:lang w:val="en-US"/>
        </w:rPr>
        <w:t>688</w:t>
      </w:r>
      <w:r w:rsidR="004E286B">
        <w:rPr>
          <w:rFonts w:ascii="Times New Roman" w:eastAsia="宋体" w:hAnsi="Times New Roman" w:cs="Times New Roman" w:hint="eastAsia"/>
          <w:sz w:val="24"/>
          <w:szCs w:val="24"/>
          <w:lang w:val="en-US"/>
        </w:rPr>
        <w:t>372</w:t>
      </w:r>
      <w:r w:rsidRPr="004E286B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       </w:t>
      </w:r>
      <w:r w:rsidR="004E286B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                          </w:t>
      </w:r>
      <w:r w:rsidRPr="004E286B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r w:rsidRPr="004E286B">
        <w:rPr>
          <w:rFonts w:ascii="Times New Roman" w:eastAsia="宋体" w:hAnsi="Times New Roman" w:cs="Times New Roman"/>
          <w:sz w:val="24"/>
          <w:szCs w:val="24"/>
          <w:lang w:val="en-US"/>
        </w:rPr>
        <w:t>证券简称：</w:t>
      </w:r>
      <w:r w:rsidR="004E286B">
        <w:rPr>
          <w:rFonts w:ascii="Times New Roman" w:eastAsia="宋体" w:hAnsi="Times New Roman" w:cs="Times New Roman" w:hint="eastAsia"/>
          <w:sz w:val="24"/>
          <w:szCs w:val="24"/>
          <w:lang w:val="en-US"/>
        </w:rPr>
        <w:t>伟测</w:t>
      </w:r>
      <w:r w:rsidRPr="004E286B">
        <w:rPr>
          <w:rFonts w:ascii="Times New Roman" w:eastAsia="宋体" w:hAnsi="Times New Roman" w:cs="Times New Roman"/>
          <w:sz w:val="24"/>
          <w:szCs w:val="24"/>
          <w:lang w:val="en-US"/>
        </w:rPr>
        <w:t>科技</w:t>
      </w:r>
    </w:p>
    <w:p w14:paraId="29A5929C" w14:textId="77777777" w:rsidR="0051181D" w:rsidRDefault="0051181D" w:rsidP="0051181D">
      <w:pPr>
        <w:rPr>
          <w:rFonts w:ascii="Times New Roman" w:eastAsia="宋体" w:hAnsi="Times New Roman"/>
          <w:lang w:val="en-US"/>
        </w:rPr>
      </w:pPr>
    </w:p>
    <w:p w14:paraId="4FF63D04" w14:textId="77777777" w:rsidR="00D67CC9" w:rsidRPr="006F672A" w:rsidRDefault="00D67CC9" w:rsidP="0051181D">
      <w:pPr>
        <w:rPr>
          <w:rFonts w:ascii="Times New Roman" w:eastAsia="宋体" w:hAnsi="Times New Roman"/>
          <w:lang w:val="en-US"/>
        </w:rPr>
      </w:pPr>
    </w:p>
    <w:p w14:paraId="348FB432" w14:textId="77777777" w:rsidR="00611393" w:rsidRPr="004E286B" w:rsidRDefault="004E286B">
      <w:pPr>
        <w:spacing w:line="360" w:lineRule="auto"/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 w:rsidRPr="004E286B">
        <w:rPr>
          <w:rFonts w:ascii="Times New Roman" w:eastAsia="宋体" w:hAnsi="Times New Roman" w:cs="宋体" w:hint="eastAsia"/>
          <w:b/>
          <w:bCs/>
          <w:sz w:val="30"/>
          <w:szCs w:val="30"/>
        </w:rPr>
        <w:t>上海伟测半导体科技</w:t>
      </w:r>
      <w:r w:rsidR="00CF18F2" w:rsidRPr="004E286B">
        <w:rPr>
          <w:rFonts w:ascii="Times New Roman" w:eastAsia="宋体" w:hAnsi="Times New Roman" w:cs="宋体" w:hint="eastAsia"/>
          <w:b/>
          <w:bCs/>
          <w:sz w:val="30"/>
          <w:szCs w:val="30"/>
        </w:rPr>
        <w:t>股份有限公司</w:t>
      </w:r>
    </w:p>
    <w:p w14:paraId="0800B1AB" w14:textId="77777777" w:rsidR="00611393" w:rsidRPr="004E286B" w:rsidRDefault="00CF18F2">
      <w:pPr>
        <w:spacing w:line="360" w:lineRule="auto"/>
        <w:jc w:val="center"/>
        <w:rPr>
          <w:rFonts w:ascii="Times New Roman" w:eastAsia="宋体" w:hAnsi="Times New Roman" w:cs="宋体"/>
          <w:sz w:val="30"/>
          <w:szCs w:val="30"/>
        </w:rPr>
      </w:pPr>
      <w:r w:rsidRPr="004E286B">
        <w:rPr>
          <w:rFonts w:ascii="Times New Roman" w:eastAsia="宋体" w:hAnsi="Times New Roman" w:cs="宋体" w:hint="eastAsia"/>
          <w:b/>
          <w:bCs/>
          <w:sz w:val="30"/>
          <w:szCs w:val="30"/>
        </w:rPr>
        <w:t>投资者关系活动记录表</w:t>
      </w:r>
    </w:p>
    <w:p w14:paraId="1DAC95E2" w14:textId="15658B56" w:rsidR="00611393" w:rsidRPr="00A955CE" w:rsidRDefault="00CF18F2" w:rsidP="00675B49">
      <w:pPr>
        <w:spacing w:before="51" w:after="32"/>
        <w:ind w:right="19"/>
        <w:jc w:val="right"/>
        <w:rPr>
          <w:rFonts w:ascii="Times New Roman" w:eastAsia="宋体" w:hAnsi="Times New Roman" w:cs="宋体"/>
          <w:sz w:val="24"/>
          <w:szCs w:val="24"/>
          <w:lang w:val="en-US"/>
        </w:rPr>
      </w:pPr>
      <w:r w:rsidRPr="00A955CE">
        <w:rPr>
          <w:rFonts w:ascii="Times New Roman" w:eastAsia="宋体" w:hAnsi="Times New Roman" w:cs="宋体" w:hint="eastAsia"/>
          <w:sz w:val="24"/>
          <w:szCs w:val="24"/>
        </w:rPr>
        <w:t>编号：</w:t>
      </w:r>
      <w:r w:rsidRPr="00A955CE">
        <w:rPr>
          <w:rFonts w:ascii="Times New Roman" w:eastAsia="宋体" w:hAnsi="Times New Roman" w:cs="宋体" w:hint="eastAsia"/>
          <w:sz w:val="24"/>
          <w:szCs w:val="24"/>
          <w:lang w:val="en-US"/>
        </w:rPr>
        <w:t>202</w:t>
      </w:r>
      <w:r w:rsidR="009A20C4">
        <w:rPr>
          <w:rFonts w:ascii="Times New Roman" w:eastAsia="宋体" w:hAnsi="Times New Roman" w:cs="宋体" w:hint="eastAsia"/>
          <w:sz w:val="24"/>
          <w:szCs w:val="24"/>
          <w:lang w:val="en-US"/>
        </w:rPr>
        <w:t>4</w:t>
      </w:r>
      <w:r w:rsidRPr="00A955CE">
        <w:rPr>
          <w:rFonts w:ascii="Times New Roman" w:eastAsia="宋体" w:hAnsi="Times New Roman" w:cs="宋体" w:hint="eastAsia"/>
          <w:sz w:val="24"/>
          <w:szCs w:val="24"/>
        </w:rPr>
        <w:t>-</w:t>
      </w:r>
      <w:r w:rsidR="00675B49" w:rsidRPr="00A955CE">
        <w:rPr>
          <w:rFonts w:ascii="Times New Roman" w:eastAsia="宋体" w:hAnsi="Times New Roman" w:cs="宋体" w:hint="eastAsia"/>
          <w:sz w:val="24"/>
          <w:szCs w:val="24"/>
        </w:rPr>
        <w:t>00</w:t>
      </w:r>
      <w:r w:rsidR="00854959">
        <w:rPr>
          <w:rFonts w:ascii="Times New Roman" w:eastAsia="宋体" w:hAnsi="Times New Roman" w:cs="宋体" w:hint="eastAsia"/>
          <w:sz w:val="24"/>
          <w:szCs w:val="24"/>
          <w:lang w:val="en-US"/>
        </w:rPr>
        <w:t>7</w:t>
      </w:r>
    </w:p>
    <w:tbl>
      <w:tblPr>
        <w:tblW w:w="8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6999"/>
      </w:tblGrid>
      <w:tr w:rsidR="00611393" w:rsidRPr="00A955CE" w14:paraId="7431F09B" w14:textId="77777777" w:rsidTr="0013206B">
        <w:trPr>
          <w:trHeight w:val="2801"/>
          <w:jc w:val="center"/>
        </w:trPr>
        <w:tc>
          <w:tcPr>
            <w:tcW w:w="1603" w:type="dxa"/>
            <w:vAlign w:val="center"/>
          </w:tcPr>
          <w:p w14:paraId="00FED1C0" w14:textId="77777777" w:rsidR="00611393" w:rsidRPr="00A955CE" w:rsidRDefault="00CF18F2" w:rsidP="004146AD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A955C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6999" w:type="dxa"/>
          </w:tcPr>
          <w:p w14:paraId="4AC173A3" w14:textId="77777777" w:rsidR="00611393" w:rsidRPr="00E24110" w:rsidRDefault="00611393">
            <w:pPr>
              <w:pStyle w:val="TableParagraph"/>
              <w:spacing w:before="7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A7E1997" w14:textId="77777777" w:rsidR="00611393" w:rsidRPr="00E24110" w:rsidRDefault="00BE6AC5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2425" w:rsidRPr="00E2411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特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定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象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调研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18F2" w:rsidRPr="00E2411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析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师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会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议</w:t>
            </w:r>
          </w:p>
          <w:p w14:paraId="52A8B84E" w14:textId="77777777" w:rsidR="00611393" w:rsidRPr="00E24110" w:rsidRDefault="00611393">
            <w:pPr>
              <w:pStyle w:val="TableParagraph"/>
              <w:spacing w:before="11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DB36B51" w14:textId="1B168A4C" w:rsidR="00611393" w:rsidRPr="00E24110" w:rsidRDefault="00BE6AC5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5B49" w:rsidRPr="00E2411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媒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体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采访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4959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绩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明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14:paraId="5728DA3E" w14:textId="77777777" w:rsidR="00611393" w:rsidRPr="00E24110" w:rsidRDefault="00611393">
            <w:pPr>
              <w:pStyle w:val="TableParagraph"/>
              <w:spacing w:before="8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4951DE" w14:textId="77777777" w:rsidR="00611393" w:rsidRPr="00E24110" w:rsidRDefault="00BE6AC5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5B49" w:rsidRPr="00E2411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新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闻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发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布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18F2" w:rsidRPr="00E2411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路</w:t>
            </w:r>
            <w:r w:rsidR="00CF18F2" w:rsidRPr="00E2411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演</w:t>
            </w:r>
            <w:r w:rsidR="00CF18F2" w:rsidRPr="00E24110">
              <w:rPr>
                <w:rFonts w:ascii="宋体" w:eastAsia="宋体" w:hAnsi="宋体" w:cs="宋体" w:hint="eastAsia"/>
                <w:sz w:val="24"/>
                <w:szCs w:val="24"/>
              </w:rPr>
              <w:t>活动</w:t>
            </w:r>
          </w:p>
          <w:p w14:paraId="78D68737" w14:textId="77777777" w:rsidR="00611393" w:rsidRPr="00E24110" w:rsidRDefault="00611393">
            <w:pPr>
              <w:pStyle w:val="TableParagraph"/>
              <w:spacing w:before="8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90E3374" w14:textId="3CBA1B5B" w:rsidR="00611393" w:rsidRPr="00E24110" w:rsidRDefault="00BE6AC5">
            <w:pPr>
              <w:pStyle w:val="TableParagraph"/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B288C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050A08">
              <w:rPr>
                <w:rFonts w:ascii="宋体" w:eastAsia="宋体" w:hAnsi="宋体" w:cs="宋体" w:hint="eastAsia"/>
                <w:sz w:val="24"/>
                <w:szCs w:val="24"/>
              </w:rPr>
              <w:t>现场参观</w:t>
            </w:r>
            <w:r w:rsidR="00A955CE" w:rsidRPr="00E24110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</w:t>
            </w:r>
            <w:r w:rsidR="00812425" w:rsidRPr="00E24110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C40873" w:rsidRPr="00E24110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20441104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4959">
                  <w:rPr>
                    <w:rFonts w:ascii="宋体" w:eastAsia="宋体" w:hAnsi="宋体" w:cs="宋体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="00C40873" w:rsidRPr="00E24110">
              <w:rPr>
                <w:rFonts w:ascii="宋体" w:eastAsia="宋体" w:hAnsi="宋体" w:cs="宋体" w:hint="eastAsia"/>
                <w:sz w:val="24"/>
                <w:szCs w:val="24"/>
              </w:rPr>
              <w:t>电话会议</w:t>
            </w:r>
          </w:p>
          <w:p w14:paraId="10D8C754" w14:textId="77777777" w:rsidR="00611393" w:rsidRPr="00E24110" w:rsidRDefault="00611393">
            <w:pPr>
              <w:pStyle w:val="TableParagraph"/>
              <w:spacing w:before="11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763A15A" w14:textId="77777777" w:rsidR="00611393" w:rsidRPr="00A955CE" w:rsidRDefault="00BE6AC5" w:rsidP="00C40873">
            <w:pPr>
              <w:pStyle w:val="TableParagraph"/>
              <w:ind w:left="107"/>
              <w:rPr>
                <w:rFonts w:ascii="Times New Roman" w:eastAsia="宋体" w:hAnsi="Times New Roman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C19" w:rsidRPr="00E2411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C549B" w:rsidRPr="00E24110">
              <w:rPr>
                <w:rFonts w:ascii="宋体" w:eastAsia="宋体" w:hAnsi="宋体" w:cs="宋体" w:hint="eastAsia"/>
                <w:sz w:val="24"/>
                <w:szCs w:val="24"/>
              </w:rPr>
              <w:t xml:space="preserve">其他 </w:t>
            </w:r>
            <w:r w:rsidR="002C549B" w:rsidRPr="00E24110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</w:p>
        </w:tc>
      </w:tr>
      <w:tr w:rsidR="00611393" w:rsidRPr="00A955CE" w14:paraId="4E03B3B1" w14:textId="77777777" w:rsidTr="0013206B">
        <w:trPr>
          <w:trHeight w:val="485"/>
          <w:jc w:val="center"/>
        </w:trPr>
        <w:tc>
          <w:tcPr>
            <w:tcW w:w="1603" w:type="dxa"/>
            <w:vAlign w:val="center"/>
          </w:tcPr>
          <w:p w14:paraId="3AE84E43" w14:textId="77777777" w:rsidR="00611393" w:rsidRPr="00A955CE" w:rsidRDefault="00CF18F2" w:rsidP="005540AA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A955C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参与单位名称</w:t>
            </w:r>
          </w:p>
        </w:tc>
        <w:tc>
          <w:tcPr>
            <w:tcW w:w="6999" w:type="dxa"/>
            <w:vAlign w:val="center"/>
          </w:tcPr>
          <w:p w14:paraId="7D0F462A" w14:textId="1E7B4D80" w:rsidR="00611393" w:rsidRPr="00A955CE" w:rsidRDefault="00854959" w:rsidP="00BB6250">
            <w:pPr>
              <w:pStyle w:val="TableParagraph"/>
              <w:spacing w:line="300" w:lineRule="auto"/>
              <w:jc w:val="both"/>
              <w:rPr>
                <w:rFonts w:ascii="Times New Roman" w:eastAsia="宋体" w:hAnsi="Times New Roman" w:cs="宋体"/>
                <w:sz w:val="24"/>
                <w:szCs w:val="24"/>
              </w:rPr>
            </w:pP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浙商基金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、长城财富保险资管、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途灵资产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上海雷钧私募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、交银人寿、中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信建投证券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、中欧基金、汇华理财、中金公司、</w:t>
            </w:r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 xml:space="preserve">Pinpoint Asset Management </w:t>
            </w:r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、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鹏扬基金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、中航基金、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浙商上海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资管、</w:t>
            </w:r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LCRICH CAPITAL MANAGEMENT</w:t>
            </w:r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、南方基金、山西证券、中华财险、中银基金、博时基金、东方阿尔法基金、杭州正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鑫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私募、长盛基金、广发基金、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九泰基金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、季胜投资、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恒盈资产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、人保资产、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源乘私募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、华泰保兴基金、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凯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石基金、东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证资管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、第五公理投资、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雪石资产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、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创金合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信基金、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光证资管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、理</w:t>
            </w:r>
            <w:proofErr w:type="gramStart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臻</w:t>
            </w:r>
            <w:proofErr w:type="gramEnd"/>
            <w:r w:rsidRPr="00854959">
              <w:rPr>
                <w:rFonts w:ascii="Times New Roman" w:eastAsia="宋体" w:hAnsi="Times New Roman" w:cs="宋体"/>
                <w:sz w:val="24"/>
                <w:szCs w:val="24"/>
              </w:rPr>
              <w:t>投资、财通基金、太平洋资管、泰</w:t>
            </w:r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康资产、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嘉合基金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、上海保银私募、财通证券资管、五地私募、正圆私募、中金基金、东方基金、金鹰基金、国投证券、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汇添富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基金、长江资管、中加基金、中意资产、中兵投资、国金基金、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圆信永丰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基金、西部利得基金、中海基金、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百嘉基金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、富国基金、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磐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厚动量、路博迈基金、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汐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泰投资、民生加银基金、国寿安保基金、青岛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朋元资管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、中邮证券、广发证券、平安基金、中信证券资管、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浦银安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盛基金、星石投资、中银理财、中银国际证券、兴合基金、东兴基金、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利位投资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、德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睿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恒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丰资管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、汇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丰晋信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基金、中国人寿养老保险、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敦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和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资管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、同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犇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投资、</w:t>
            </w:r>
            <w:proofErr w:type="gramStart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盘京投资</w:t>
            </w:r>
            <w:proofErr w:type="gramEnd"/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、银华基金、全天候私募证券基金、沣杨资产、光大保德信基金、英大国际信托、财通证券、国金证券、招商基金管理有限公司、长城证券、国联证券、西部证券、华泰证券、天风证券、德邦证券资管、嘉实基金、中信建投、杭银理财、中信保诚基金、浙商证券、中泰证券、信达澳亚基金、太平基金、</w:t>
            </w:r>
            <w:r w:rsidRP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lastRenderedPageBreak/>
              <w:t>南土资产、平安证券、国信证券、易鑫安资管、易方达基金。</w:t>
            </w:r>
          </w:p>
        </w:tc>
      </w:tr>
      <w:tr w:rsidR="00611393" w:rsidRPr="00A955CE" w14:paraId="07FEBF3A" w14:textId="77777777" w:rsidTr="0013206B">
        <w:trPr>
          <w:trHeight w:val="558"/>
          <w:jc w:val="center"/>
        </w:trPr>
        <w:tc>
          <w:tcPr>
            <w:tcW w:w="1603" w:type="dxa"/>
            <w:vAlign w:val="center"/>
          </w:tcPr>
          <w:p w14:paraId="7F115FA5" w14:textId="77777777" w:rsidR="00611393" w:rsidRPr="00A955CE" w:rsidRDefault="00CF18F2" w:rsidP="004146AD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A955C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6999" w:type="dxa"/>
            <w:vAlign w:val="center"/>
          </w:tcPr>
          <w:p w14:paraId="588F2EAE" w14:textId="34A7C02B" w:rsidR="00611393" w:rsidRPr="00A955CE" w:rsidRDefault="006159E3" w:rsidP="00854959">
            <w:pPr>
              <w:pStyle w:val="TableParagraph"/>
              <w:spacing w:line="360" w:lineRule="auto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A955CE">
              <w:rPr>
                <w:rFonts w:ascii="Times New Roman" w:eastAsia="宋体" w:hAnsi="Times New Roman" w:cs="宋体" w:hint="eastAsia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4</w:t>
            </w:r>
            <w:r w:rsidR="00CF18F2" w:rsidRPr="00A955CE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="006B288C">
              <w:rPr>
                <w:rFonts w:ascii="Times New Roman" w:eastAsia="宋体" w:hAnsi="Times New Roman" w:cs="宋体" w:hint="eastAsia"/>
                <w:sz w:val="24"/>
                <w:szCs w:val="24"/>
              </w:rPr>
              <w:t>10</w:t>
            </w:r>
            <w:r w:rsidR="00CF18F2" w:rsidRPr="00A955CE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="00854959">
              <w:rPr>
                <w:rFonts w:ascii="Times New Roman" w:eastAsia="宋体" w:hAnsi="Times New Roman" w:cs="宋体" w:hint="eastAsia"/>
                <w:sz w:val="24"/>
                <w:szCs w:val="24"/>
              </w:rPr>
              <w:t>16</w:t>
            </w:r>
            <w:r w:rsidR="00CF18F2" w:rsidRPr="00A955CE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</w:tr>
      <w:tr w:rsidR="00611393" w:rsidRPr="00A955CE" w14:paraId="45555F18" w14:textId="77777777" w:rsidTr="0013206B">
        <w:trPr>
          <w:trHeight w:val="561"/>
          <w:jc w:val="center"/>
        </w:trPr>
        <w:tc>
          <w:tcPr>
            <w:tcW w:w="1603" w:type="dxa"/>
            <w:vAlign w:val="center"/>
          </w:tcPr>
          <w:p w14:paraId="52FACAC4" w14:textId="77777777" w:rsidR="00611393" w:rsidRPr="00A955CE" w:rsidRDefault="00CF18F2" w:rsidP="004146AD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A955C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6999" w:type="dxa"/>
            <w:vAlign w:val="center"/>
          </w:tcPr>
          <w:p w14:paraId="7A41B1F8" w14:textId="23897481" w:rsidR="00611393" w:rsidRPr="00A955CE" w:rsidRDefault="00854959" w:rsidP="00A63B43">
            <w:pPr>
              <w:pStyle w:val="TableParagraph"/>
              <w:spacing w:line="360" w:lineRule="auto"/>
              <w:jc w:val="both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电话会议</w:t>
            </w:r>
          </w:p>
        </w:tc>
      </w:tr>
      <w:tr w:rsidR="00611393" w:rsidRPr="00A955CE" w14:paraId="70B04B4C" w14:textId="77777777" w:rsidTr="001778F6">
        <w:trPr>
          <w:trHeight w:val="643"/>
          <w:jc w:val="center"/>
        </w:trPr>
        <w:tc>
          <w:tcPr>
            <w:tcW w:w="1603" w:type="dxa"/>
            <w:vAlign w:val="center"/>
          </w:tcPr>
          <w:p w14:paraId="772DFA0D" w14:textId="77777777" w:rsidR="00611393" w:rsidRPr="00A955CE" w:rsidRDefault="00CF18F2" w:rsidP="004146AD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A955C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6999" w:type="dxa"/>
            <w:vAlign w:val="center"/>
          </w:tcPr>
          <w:p w14:paraId="3066BEBE" w14:textId="68DF63D9" w:rsidR="006B288C" w:rsidRPr="00A955CE" w:rsidRDefault="001778F6" w:rsidP="00C94DAA">
            <w:pPr>
              <w:pStyle w:val="TableParagraph"/>
              <w:spacing w:line="276" w:lineRule="auto"/>
              <w:jc w:val="both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sz w:val="24"/>
                <w:szCs w:val="24"/>
              </w:rPr>
              <w:t>董事、</w:t>
            </w:r>
            <w:r w:rsidR="004E286B" w:rsidRPr="00A955CE">
              <w:rPr>
                <w:rFonts w:ascii="Times New Roman" w:eastAsia="宋体" w:hAnsi="Times New Roman" w:cs="宋体"/>
                <w:sz w:val="24"/>
                <w:szCs w:val="24"/>
              </w:rPr>
              <w:t>副总经理</w:t>
            </w:r>
            <w:r w:rsidR="004E286B" w:rsidRPr="00A955CE">
              <w:rPr>
                <w:rFonts w:ascii="Times New Roman" w:eastAsia="宋体" w:hAnsi="Times New Roman" w:cs="宋体" w:hint="eastAsia"/>
                <w:sz w:val="24"/>
                <w:szCs w:val="24"/>
              </w:rPr>
              <w:t>、</w:t>
            </w:r>
            <w:r w:rsidR="004E286B" w:rsidRPr="00A955CE">
              <w:rPr>
                <w:rFonts w:ascii="Times New Roman" w:eastAsia="宋体" w:hAnsi="Times New Roman" w:cs="宋体"/>
                <w:sz w:val="24"/>
                <w:szCs w:val="24"/>
              </w:rPr>
              <w:t>董事会秘书</w:t>
            </w:r>
            <w:r w:rsidR="004E286B" w:rsidRPr="00A955CE">
              <w:rPr>
                <w:rFonts w:ascii="Times New Roman" w:eastAsia="宋体" w:hAnsi="Times New Roman" w:cs="宋体" w:hint="eastAsia"/>
                <w:sz w:val="24"/>
                <w:szCs w:val="24"/>
              </w:rPr>
              <w:t>、</w:t>
            </w:r>
            <w:r w:rsidR="004E286B" w:rsidRPr="00A955CE">
              <w:rPr>
                <w:rFonts w:ascii="Times New Roman" w:eastAsia="宋体" w:hAnsi="Times New Roman" w:cs="宋体"/>
                <w:sz w:val="24"/>
                <w:szCs w:val="24"/>
              </w:rPr>
              <w:t>财务总监王沛女士</w:t>
            </w:r>
          </w:p>
        </w:tc>
      </w:tr>
      <w:tr w:rsidR="00611393" w:rsidRPr="00A955CE" w14:paraId="39FE0E10" w14:textId="77777777" w:rsidTr="0048203F">
        <w:trPr>
          <w:trHeight w:val="2400"/>
          <w:jc w:val="center"/>
        </w:trPr>
        <w:tc>
          <w:tcPr>
            <w:tcW w:w="1603" w:type="dxa"/>
            <w:vAlign w:val="center"/>
          </w:tcPr>
          <w:p w14:paraId="36459F5E" w14:textId="77777777" w:rsidR="00611393" w:rsidRPr="00A955CE" w:rsidRDefault="00CF18F2" w:rsidP="004146AD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A955C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6999" w:type="dxa"/>
          </w:tcPr>
          <w:p w14:paraId="75217309" w14:textId="7A84CB51" w:rsidR="00854959" w:rsidRPr="003300C1" w:rsidRDefault="00854959" w:rsidP="00694618">
            <w:pPr>
              <w:autoSpaceDE/>
              <w:autoSpaceDN/>
              <w:spacing w:line="360" w:lineRule="auto"/>
              <w:ind w:firstLineChars="200" w:firstLine="482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一、</w:t>
            </w:r>
            <w:r w:rsidRPr="001778F6">
              <w:rPr>
                <w:rFonts w:ascii="Times New Roman" w:eastAsia="宋体" w:hAnsi="Times New Roman" w:cs="宋体"/>
                <w:b/>
                <w:sz w:val="24"/>
                <w:szCs w:val="24"/>
              </w:rPr>
              <w:t>董事、副总经理</w:t>
            </w:r>
            <w:r w:rsidRPr="001778F6">
              <w:rPr>
                <w:rFonts w:ascii="Times New Roman" w:eastAsia="宋体" w:hAnsi="Times New Roman" w:cs="宋体" w:hint="eastAsia"/>
                <w:b/>
                <w:sz w:val="24"/>
                <w:szCs w:val="24"/>
              </w:rPr>
              <w:t>、</w:t>
            </w:r>
            <w:r w:rsidRPr="001778F6">
              <w:rPr>
                <w:rFonts w:ascii="Times New Roman" w:eastAsia="宋体" w:hAnsi="Times New Roman" w:cs="宋体"/>
                <w:b/>
                <w:sz w:val="24"/>
                <w:szCs w:val="24"/>
              </w:rPr>
              <w:t>董事会秘书</w:t>
            </w:r>
            <w:r w:rsidRPr="001778F6">
              <w:rPr>
                <w:rFonts w:ascii="Times New Roman" w:eastAsia="宋体" w:hAnsi="Times New Roman" w:cs="宋体" w:hint="eastAsia"/>
                <w:b/>
                <w:sz w:val="24"/>
                <w:szCs w:val="24"/>
              </w:rPr>
              <w:t>、</w:t>
            </w:r>
            <w:r w:rsidRPr="001778F6">
              <w:rPr>
                <w:rFonts w:ascii="Times New Roman" w:eastAsia="宋体" w:hAnsi="Times New Roman" w:cs="宋体"/>
                <w:b/>
                <w:sz w:val="24"/>
                <w:szCs w:val="24"/>
              </w:rPr>
              <w:t>财务总监王沛女士</w:t>
            </w:r>
            <w:r w:rsidRPr="001778F6">
              <w:rPr>
                <w:rFonts w:ascii="Times New Roman" w:eastAsia="宋体" w:hAnsi="Times New Roman" w:cs="宋体" w:hint="eastAsia"/>
                <w:b/>
                <w:sz w:val="24"/>
                <w:szCs w:val="24"/>
              </w:rPr>
              <w:t>介绍公</w:t>
            </w:r>
            <w:r w:rsidRPr="00C640AB">
              <w:rPr>
                <w:rFonts w:ascii="Times New Roman" w:eastAsia="宋体" w:hAnsi="Times New Roman" w:cs="宋体" w:hint="eastAsia"/>
                <w:b/>
                <w:sz w:val="24"/>
                <w:szCs w:val="24"/>
              </w:rPr>
              <w:t>司</w:t>
            </w:r>
            <w:r w:rsidRPr="00C640AB">
              <w:rPr>
                <w:rFonts w:ascii="Times New Roman" w:eastAsia="宋体" w:hAnsi="Times New Roman" w:cs="宋体"/>
                <w:b/>
                <w:bCs/>
                <w:kern w:val="2"/>
                <w:sz w:val="24"/>
                <w:szCs w:val="24"/>
                <w:lang w:val="en-US" w:bidi="ar-SA"/>
              </w:rPr>
              <w:t>2024</w:t>
            </w:r>
            <w:r w:rsidRPr="00C640AB">
              <w:rPr>
                <w:rFonts w:ascii="Times New Roman" w:eastAsia="宋体" w:hAnsi="Times New Roman" w:cs="宋体"/>
                <w:b/>
                <w:bCs/>
                <w:kern w:val="2"/>
                <w:sz w:val="24"/>
                <w:szCs w:val="24"/>
                <w:lang w:val="en-US" w:bidi="ar-SA"/>
              </w:rPr>
              <w:t>年三季度业绩与经营情况</w:t>
            </w:r>
          </w:p>
          <w:p w14:paraId="7602D6EC" w14:textId="7DAD6318" w:rsidR="003300C1" w:rsidRDefault="003300C1" w:rsidP="003300C1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公司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2024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年第三季度实现营收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3.1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0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亿元，同比增长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52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.47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%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，环比增长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26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.03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%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。</w:t>
            </w:r>
            <w:r w:rsidRPr="00226C6A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公司</w:t>
            </w:r>
            <w:r w:rsidRPr="00226C6A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2024</w:t>
            </w:r>
            <w:r w:rsidRPr="00226C6A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年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第三季度</w:t>
            </w:r>
            <w:r w:rsidRPr="00C40B9C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实现归属于上市公司股东的净利润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5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116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万元，同比增长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171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.09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%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，环比增长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358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.34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%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，</w:t>
            </w:r>
            <w:proofErr w:type="gramStart"/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扣非后</w:t>
            </w:r>
            <w:proofErr w:type="gramEnd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的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净利润为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4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843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万元，同比增长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246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.47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%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。</w:t>
            </w:r>
            <w:r w:rsid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目前公司所处</w:t>
            </w:r>
            <w:r w:rsidR="00A12FA6" w:rsidRPr="009D0C9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行业</w:t>
            </w:r>
            <w:r w:rsid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正处于</w:t>
            </w:r>
            <w:r w:rsidR="00A12FA6" w:rsidRPr="009D0C9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上游设计公司库存逐步消化</w:t>
            </w:r>
            <w:r w:rsid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及</w:t>
            </w:r>
            <w:r w:rsidR="00A12FA6" w:rsidRPr="009D0C9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下游需求逐步回暖</w:t>
            </w:r>
            <w:r w:rsid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的阶段，</w:t>
            </w:r>
            <w:r w:rsidR="00A12FA6" w:rsidRPr="009D0C9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同时第三季度</w:t>
            </w:r>
            <w:r w:rsid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一般</w:t>
            </w:r>
            <w:r w:rsidR="00A12FA6" w:rsidRPr="009D0C9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是电子行业的传统旺季，</w:t>
            </w:r>
            <w:r w:rsid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受益于</w:t>
            </w:r>
            <w:r w:rsidR="00A12FA6" w:rsidRPr="009D0C9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市场对测试的需求</w:t>
            </w:r>
            <w:r w:rsid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明显</w:t>
            </w:r>
            <w:r w:rsidR="00A12FA6" w:rsidRPr="009D0C9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增加</w:t>
            </w:r>
            <w:r w:rsid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、部分</w:t>
            </w:r>
            <w:r w:rsidR="00A12FA6" w:rsidRPr="009D0C9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新客户导入</w:t>
            </w:r>
            <w:r w:rsid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和老</w:t>
            </w:r>
            <w:r w:rsidR="00A12FA6" w:rsidRPr="009D0C9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客户的新产品通过验证并且进入到量产，公司第三季度的营收和利润同比和环比都取得比较大的增幅。</w:t>
            </w:r>
          </w:p>
          <w:p w14:paraId="5A8FC1D6" w14:textId="2BD2A3DD" w:rsidR="009D0C98" w:rsidRDefault="003300C1" w:rsidP="009D0C98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公司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2024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年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前三季度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总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营业收入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合计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为</w:t>
            </w:r>
            <w:r w:rsidR="00395152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7.4</w:t>
            </w:r>
            <w:r w:rsidR="0059133B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0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亿元，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已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超过去年全年，同比增长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43.62%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。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公司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2024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年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前三季度</w:t>
            </w:r>
            <w:r w:rsidRPr="00C40B9C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归属于上市公司股东的净利润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为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6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202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万元，同比下降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30.81%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，</w:t>
            </w:r>
            <w:proofErr w:type="gramStart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扣非后</w:t>
            </w:r>
            <w:proofErr w:type="gramEnd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的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净利润为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5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265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万元，同比下降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</w:t>
            </w:r>
            <w:r w:rsidR="000B0419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0.98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%</w:t>
            </w:r>
            <w:r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。</w:t>
            </w:r>
            <w:r w:rsidR="000F2187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公司</w:t>
            </w:r>
            <w:r w:rsidR="000F2187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2024</w:t>
            </w:r>
            <w:r w:rsidR="000F2187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年</w:t>
            </w:r>
            <w:r w:rsidR="000F2187"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上半年</w:t>
            </w:r>
            <w:r w:rsidR="000F2187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股份支付费用</w:t>
            </w:r>
            <w:r w:rsidR="000F2187"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为</w:t>
            </w:r>
            <w:r w:rsidR="000F2187"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</w:t>
            </w:r>
            <w:r w:rsidR="000F2187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,382.52</w:t>
            </w:r>
            <w:r w:rsidR="000F2187"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万元，第三季度为</w:t>
            </w:r>
            <w:r w:rsidR="000F2187"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</w:t>
            </w:r>
            <w:r w:rsidR="000F2187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 w:rsidR="000F2187"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037</w:t>
            </w:r>
            <w:r w:rsidR="000F2187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.72</w:t>
            </w:r>
            <w:r w:rsidR="000F2187"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</w:t>
            </w:r>
            <w:r w:rsidR="000F2187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</w:t>
            </w:r>
            <w:r w:rsidR="000B0419" w:rsidRPr="003300C1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前三季度</w:t>
            </w:r>
            <w:r w:rsid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共产生股份支付费用</w:t>
            </w:r>
            <w:r w:rsid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4,420.24</w:t>
            </w:r>
            <w:r w:rsidR="000B0419"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</w:t>
            </w:r>
            <w:r w:rsid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，如果</w:t>
            </w:r>
            <w:r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剔除股份支付</w:t>
            </w:r>
            <w:r w:rsid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的影响</w:t>
            </w:r>
            <w:r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，前三季度净利润为</w:t>
            </w:r>
            <w:r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1.06</w:t>
            </w:r>
            <w:r w:rsid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亿元</w:t>
            </w:r>
            <w:r w:rsidRPr="000B0419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。</w:t>
            </w:r>
          </w:p>
          <w:p w14:paraId="68D0C629" w14:textId="498231A9" w:rsidR="003300C1" w:rsidRDefault="00A12FA6" w:rsidP="003300C1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今年</w:t>
            </w:r>
            <w:r w:rsidR="003300C1" w:rsidRPr="00C40B9C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公司继续</w:t>
            </w:r>
            <w:proofErr w:type="gramStart"/>
            <w:r w:rsidR="003300C1" w:rsidRPr="00C40B9C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在高算力高</w:t>
            </w:r>
            <w:proofErr w:type="gramEnd"/>
            <w:r w:rsidR="003300C1" w:rsidRPr="00C40B9C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性能芯片、车</w:t>
            </w:r>
            <w:proofErr w:type="gramStart"/>
            <w:r w:rsidR="003300C1" w:rsidRPr="00C40B9C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规</w:t>
            </w:r>
            <w:proofErr w:type="gramEnd"/>
            <w:r w:rsidR="003300C1" w:rsidRPr="00C40B9C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级及工业级高可靠性芯片等方向进行重点研发，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公司第三季度研发投入为</w:t>
            </w:r>
            <w:r w:rsidRPr="00A12FA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3,690</w:t>
            </w:r>
            <w:r w:rsidRPr="00A12FA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元</w:t>
            </w:r>
            <w:r w:rsidRPr="00A12FA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</w:t>
            </w:r>
            <w:proofErr w:type="gramStart"/>
            <w:r w:rsidRPr="00A12FA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占营收</w:t>
            </w:r>
            <w:proofErr w:type="gramEnd"/>
            <w:r w:rsidRPr="00A12FA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的比重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为</w:t>
            </w:r>
            <w:r w:rsidRPr="00A12FA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1.88</w:t>
            </w:r>
            <w:r w:rsidRPr="00A12FA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%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。</w:t>
            </w:r>
            <w:r w:rsidRP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随着一些研发项目的量产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及</w:t>
            </w:r>
            <w:r w:rsidRP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营收提升之后，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第三季度</w:t>
            </w:r>
            <w:r w:rsidRP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研发费用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占营收的</w:t>
            </w:r>
            <w:r w:rsidRP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比重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同比</w:t>
            </w:r>
            <w:r w:rsidRPr="00A12FA6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略有下降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；前三季度</w:t>
            </w:r>
            <w:r w:rsidR="003300C1" w:rsidRPr="00C40B9C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研发投入合计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1.01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亿元</w:t>
            </w:r>
            <w:r w:rsidR="003300C1" w:rsidRPr="00C40B9C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，较上年同期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增加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43.73%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，主要是因为研发人员和薪酬以及</w:t>
            </w:r>
            <w:r w:rsidR="003300C1" w:rsidRPr="00C40B9C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研发费用中</w:t>
            </w:r>
            <w:r w:rsidR="00696253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的</w:t>
            </w:r>
            <w:r w:rsidR="003300C1" w:rsidRPr="00C40B9C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股份支付费用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较上年同期增幅较大。</w:t>
            </w:r>
          </w:p>
          <w:p w14:paraId="2C4F0B62" w14:textId="5BB968B1" w:rsidR="003300C1" w:rsidRPr="001778F6" w:rsidRDefault="003300C1" w:rsidP="003300C1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 w:rsidRPr="004D4BC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lastRenderedPageBreak/>
              <w:t>公司在南京的</w:t>
            </w:r>
            <w:proofErr w:type="gramStart"/>
            <w:r w:rsidRPr="004D4BC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募投项目伟测</w:t>
            </w:r>
            <w:proofErr w:type="gramEnd"/>
            <w:r w:rsidRPr="004D4BC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集成电路芯</w:t>
            </w:r>
            <w:proofErr w:type="gramStart"/>
            <w:r w:rsidRPr="004D4BC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片晶圆级及</w:t>
            </w:r>
            <w:proofErr w:type="gramEnd"/>
            <w:r w:rsidRPr="004D4BC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成品测试基地项目</w:t>
            </w:r>
            <w:r w:rsidR="00696253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已于</w:t>
            </w:r>
            <w:r w:rsidR="00696253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7</w:t>
            </w:r>
            <w:r w:rsidR="00696253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月下旬</w:t>
            </w:r>
            <w:r w:rsidRPr="004D4BC6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完成了厂房竣工验收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</w:t>
            </w:r>
            <w:r w:rsidR="00696253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8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月份</w:t>
            </w:r>
            <w:r w:rsidR="00696253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已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开始</w:t>
            </w:r>
            <w:r w:rsidR="00AD1EF7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试生产，后续</w:t>
            </w:r>
            <w:r w:rsidR="00696253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陆续</w:t>
            </w:r>
            <w:r w:rsidR="00AD1EF7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还</w:t>
            </w:r>
            <w:r w:rsidR="00696253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有设备进厂；无锡的项目目前还在施工中，预计明年底会完成土建工作；天津子公司目前已有部分机台进厂进行部分研发工作；上海两个厂目前满产；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深圳厂也已经实现量产。</w:t>
            </w:r>
          </w:p>
          <w:p w14:paraId="5378D3CB" w14:textId="339F62E2" w:rsidR="00854959" w:rsidRPr="00854959" w:rsidRDefault="00854959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宋体"/>
                <w:b/>
                <w:bCs/>
                <w:kern w:val="2"/>
                <w:sz w:val="24"/>
                <w:szCs w:val="24"/>
                <w:lang w:val="en-US" w:bidi="ar-SA"/>
              </w:rPr>
            </w:pPr>
            <w:r w:rsidRPr="00854959">
              <w:rPr>
                <w:rFonts w:ascii="Times New Roman" w:eastAsia="宋体" w:hAnsi="Times New Roman" w:cs="宋体" w:hint="eastAsia"/>
                <w:b/>
                <w:bCs/>
                <w:kern w:val="2"/>
                <w:sz w:val="24"/>
                <w:szCs w:val="24"/>
                <w:lang w:val="en-US" w:bidi="ar-SA"/>
              </w:rPr>
              <w:t>二、投资者提问</w:t>
            </w:r>
          </w:p>
          <w:p w14:paraId="4D353BF6" w14:textId="47C70279" w:rsidR="00696253" w:rsidRDefault="00260FAB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60FA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260FA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、</w:t>
            </w:r>
            <w:r w:rsidR="0069625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按产品拆分下第三季度的毛利率？</w:t>
            </w:r>
          </w:p>
          <w:p w14:paraId="0130BDA4" w14:textId="300A0D2C" w:rsidR="00696253" w:rsidRDefault="00BB6250" w:rsidP="005F696B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6962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不同产品毛利率水平按高低排序是高端产品的</w:t>
            </w:r>
            <w:r w:rsidR="006962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CP</w:t>
            </w:r>
            <w:r w:rsidR="006962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测试、高端产品的</w:t>
            </w:r>
            <w:r w:rsidR="006962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FT</w:t>
            </w:r>
            <w:r w:rsidR="006962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测试、中</w:t>
            </w:r>
            <w:proofErr w:type="gramStart"/>
            <w:r w:rsidR="006962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端产品</w:t>
            </w:r>
            <w:proofErr w:type="gramEnd"/>
            <w:r w:rsidR="006962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6962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CP</w:t>
            </w:r>
            <w:r w:rsidR="006962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测试</w:t>
            </w:r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和中</w:t>
            </w:r>
            <w:proofErr w:type="gramStart"/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端产品</w:t>
            </w:r>
            <w:proofErr w:type="gramEnd"/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FT</w:t>
            </w:r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测试。公司</w:t>
            </w:r>
            <w:r w:rsidR="00DF6E19" w:rsidRP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第一季度主营业务毛利</w:t>
            </w:r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率</w:t>
            </w:r>
            <w:r w:rsidR="00DF6E19" w:rsidRP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="00DF6E19" w:rsidRPr="00DF6E19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.36</w:t>
            </w:r>
            <w:r w:rsidR="00DF6E19" w:rsidRPr="00DF6E19"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 w:rsidR="00DF6E19" w:rsidRPr="00DF6E19">
              <w:rPr>
                <w:rFonts w:ascii="Times New Roman" w:eastAsia="宋体" w:hAnsi="Times New Roman" w:cs="Times New Roman"/>
                <w:sz w:val="24"/>
                <w:szCs w:val="24"/>
              </w:rPr>
              <w:t>，第二季度是</w:t>
            </w:r>
            <w:r w:rsidR="00DF6E19" w:rsidRPr="00DF6E1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0.06</w:t>
            </w:r>
            <w:r w:rsidR="00DF6E19" w:rsidRPr="00DF6E19"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 w:rsidR="00DF6E19" w:rsidRPr="00DF6E19">
              <w:rPr>
                <w:rFonts w:ascii="Times New Roman" w:eastAsia="宋体" w:hAnsi="Times New Roman" w:cs="Times New Roman"/>
                <w:sz w:val="24"/>
                <w:szCs w:val="24"/>
              </w:rPr>
              <w:t>，第三季度</w:t>
            </w:r>
            <w:r w:rsidR="00DF6E19">
              <w:rPr>
                <w:rFonts w:ascii="Times New Roman" w:eastAsia="宋体" w:hAnsi="Times New Roman" w:cs="Times New Roman"/>
                <w:sz w:val="24"/>
                <w:szCs w:val="24"/>
              </w:rPr>
              <w:t>由于高端产品占比有明显提升使得</w:t>
            </w:r>
            <w:r w:rsidR="00DF6E19" w:rsidRP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主营业务毛利</w:t>
            </w:r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率</w:t>
            </w:r>
            <w:r w:rsidR="00DF6E19">
              <w:rPr>
                <w:rFonts w:ascii="Times New Roman" w:eastAsia="宋体" w:hAnsi="Times New Roman" w:cs="Times New Roman"/>
                <w:sz w:val="24"/>
                <w:szCs w:val="24"/>
              </w:rPr>
              <w:t>上升</w:t>
            </w:r>
            <w:r w:rsidR="00DF6E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至</w:t>
            </w:r>
            <w:r w:rsidR="00DF6E19" w:rsidRPr="00DF6E19">
              <w:rPr>
                <w:rFonts w:ascii="Times New Roman" w:eastAsia="宋体" w:hAnsi="Times New Roman" w:cs="Times New Roman"/>
                <w:sz w:val="24"/>
                <w:szCs w:val="24"/>
              </w:rPr>
              <w:t>41.75%</w:t>
            </w:r>
            <w:r w:rsidR="00024662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6DC40D52" w14:textId="77777777" w:rsidR="00024662" w:rsidRDefault="00024662" w:rsidP="00260FAB">
            <w:pPr>
              <w:pStyle w:val="TableParagraph"/>
              <w:spacing w:line="360" w:lineRule="auto"/>
              <w:ind w:left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D05413E" w14:textId="383D9ABB" w:rsidR="00260FAB" w:rsidRPr="00260FAB" w:rsidRDefault="00260FAB" w:rsidP="00260FAB">
            <w:pPr>
              <w:pStyle w:val="TableParagraph"/>
              <w:spacing w:line="360" w:lineRule="auto"/>
              <w:ind w:left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60FA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260FA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、</w:t>
            </w:r>
            <w:r w:rsidR="000246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后续毛利率的</w:t>
            </w:r>
            <w:r w:rsidR="00024662" w:rsidRPr="000246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展望？</w:t>
            </w:r>
          </w:p>
          <w:p w14:paraId="2135A9FC" w14:textId="72F236AC" w:rsidR="00024662" w:rsidRDefault="005F696B" w:rsidP="00024662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答：</w:t>
            </w:r>
            <w:r w:rsidR="00024662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四季度</w:t>
            </w:r>
            <w:r w:rsid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行业的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景气程度</w:t>
            </w:r>
            <w:r w:rsid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预计好于第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三季度。</w:t>
            </w:r>
            <w:r w:rsid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目前市场对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高端</w:t>
            </w:r>
            <w:r w:rsid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测试需求是比较旺盛的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高端</w:t>
            </w:r>
            <w:r w:rsid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的产能</w:t>
            </w:r>
            <w:r w:rsid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也在不断增加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024662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="00024662" w:rsidRP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四季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度</w:t>
            </w:r>
            <w:r w:rsidR="00024662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营收</w:t>
            </w:r>
            <w:r w:rsidR="00024662">
              <w:rPr>
                <w:rFonts w:ascii="Times New Roman" w:eastAsia="宋体" w:hAnsi="Times New Roman" w:cs="Times New Roman"/>
                <w:sz w:val="24"/>
                <w:szCs w:val="24"/>
              </w:rPr>
              <w:t>和</w:t>
            </w:r>
            <w:proofErr w:type="gramStart"/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毛利环</w:t>
            </w:r>
            <w:proofErr w:type="gramEnd"/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比</w:t>
            </w:r>
            <w:r w:rsidR="00024662">
              <w:rPr>
                <w:rFonts w:ascii="Times New Roman" w:eastAsia="宋体" w:hAnsi="Times New Roman" w:cs="Times New Roman"/>
                <w:sz w:val="24"/>
                <w:szCs w:val="24"/>
              </w:rPr>
              <w:t>第三季度预计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还有提升的空间</w:t>
            </w:r>
            <w:r w:rsidR="00024662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4610F9E1" w14:textId="77777777" w:rsidR="004129B5" w:rsidRPr="00024662" w:rsidRDefault="004129B5" w:rsidP="00024662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5E40B77" w14:textId="7AE21607" w:rsidR="00260FAB" w:rsidRPr="00260FAB" w:rsidRDefault="00260FAB" w:rsidP="00260FAB">
            <w:pPr>
              <w:pStyle w:val="TableParagraph"/>
              <w:spacing w:line="360" w:lineRule="auto"/>
              <w:ind w:left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60FA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260FA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、</w:t>
            </w:r>
            <w:r w:rsidR="000246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中高端产品在第四季度的预计占比？</w:t>
            </w:r>
          </w:p>
          <w:p w14:paraId="460A1ED2" w14:textId="7A3F04CF" w:rsidR="00E36D62" w:rsidRDefault="005F696B" w:rsidP="00BB6250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9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0246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公司上半年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高端</w:t>
            </w:r>
            <w:r w:rsidR="00024662">
              <w:rPr>
                <w:rFonts w:ascii="Times New Roman" w:eastAsia="宋体" w:hAnsi="Times New Roman" w:cs="Times New Roman"/>
                <w:sz w:val="24"/>
                <w:szCs w:val="24"/>
              </w:rPr>
              <w:t>产品测试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占比</w:t>
            </w:r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为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67%</w:t>
            </w:r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，中</w:t>
            </w:r>
            <w:proofErr w:type="gramStart"/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端产品</w:t>
            </w:r>
            <w:proofErr w:type="gramEnd"/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测试</w:t>
            </w:r>
            <w:r w:rsidR="0073543E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占比</w:t>
            </w:r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为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7354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第三季度</w:t>
            </w:r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高端产品测试占比大幅提升至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73%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，中</w:t>
            </w:r>
            <w:proofErr w:type="gramStart"/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端</w:t>
            </w:r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产品</w:t>
            </w:r>
            <w:proofErr w:type="gramEnd"/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测试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占比</w:t>
            </w:r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为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27%</w:t>
            </w:r>
            <w:r w:rsidR="00024662" w:rsidRPr="00024662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第四季度</w:t>
            </w:r>
            <w:r w:rsidR="0073543E" w:rsidRPr="0073543E">
              <w:rPr>
                <w:rFonts w:ascii="Times New Roman" w:eastAsia="宋体" w:hAnsi="Times New Roman" w:cs="Times New Roman"/>
                <w:sz w:val="24"/>
                <w:szCs w:val="24"/>
              </w:rPr>
              <w:t>高端产品</w:t>
            </w:r>
            <w:r w:rsidR="008A0F4E" w:rsidRPr="0073543E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  <w:r w:rsidR="008A0F4E">
              <w:rPr>
                <w:rFonts w:ascii="Times New Roman" w:eastAsia="宋体" w:hAnsi="Times New Roman" w:cs="Times New Roman"/>
                <w:sz w:val="24"/>
                <w:szCs w:val="24"/>
              </w:rPr>
              <w:t>占比预计会</w:t>
            </w:r>
            <w:r w:rsidR="0073543E">
              <w:rPr>
                <w:rFonts w:ascii="Times New Roman" w:eastAsia="宋体" w:hAnsi="Times New Roman" w:cs="Times New Roman"/>
                <w:sz w:val="24"/>
                <w:szCs w:val="24"/>
              </w:rPr>
              <w:t>略有增加。</w:t>
            </w:r>
          </w:p>
          <w:p w14:paraId="730527DE" w14:textId="77777777" w:rsidR="00456D2A" w:rsidRDefault="00456D2A" w:rsidP="00BB6250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4D3BA7" w14:textId="183B662A" w:rsidR="00024662" w:rsidRPr="0073543E" w:rsidRDefault="0073543E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4</w:t>
            </w:r>
            <w:r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按芯片类型拆分下主营业收入</w:t>
            </w:r>
            <w:r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？</w:t>
            </w:r>
          </w:p>
          <w:p w14:paraId="66F63594" w14:textId="3BA42DB5" w:rsidR="00024662" w:rsidRDefault="0073543E" w:rsidP="00BB6250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13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答：消费</w:t>
            </w:r>
            <w:r w:rsidR="0041520E" w:rsidRPr="005913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级芯片占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60%</w:t>
            </w:r>
            <w:r w:rsidR="0041520E"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工</w:t>
            </w:r>
            <w:proofErr w:type="gramStart"/>
            <w:r w:rsidR="0041520E"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规</w:t>
            </w:r>
            <w:proofErr w:type="gramEnd"/>
            <w:r w:rsidR="0041520E"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级芯片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占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28%</w:t>
            </w:r>
            <w:r w:rsidR="0041520E"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，车</w:t>
            </w:r>
            <w:proofErr w:type="gramStart"/>
            <w:r w:rsidR="0041520E"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规</w:t>
            </w:r>
            <w:proofErr w:type="gramEnd"/>
            <w:r w:rsidR="0041520E"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级芯片占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12%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  <w:r w:rsidR="0041520E"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其中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CPU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GPU</w:t>
            </w:r>
            <w:r w:rsidR="0041520E"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 w:rsidR="0041520E" w:rsidRPr="005913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proofErr w:type="gramStart"/>
            <w:r w:rsidR="0041520E" w:rsidRPr="005913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高算力</w:t>
            </w:r>
            <w:proofErr w:type="gramEnd"/>
            <w:r w:rsidR="0041520E" w:rsidRPr="005913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芯片是包含在工</w:t>
            </w:r>
            <w:proofErr w:type="gramStart"/>
            <w:r w:rsidR="0041520E" w:rsidRPr="005913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</w:t>
            </w:r>
            <w:proofErr w:type="gramEnd"/>
            <w:r w:rsidR="0041520E" w:rsidRPr="005913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级芯片类别，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占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15%</w:t>
            </w:r>
            <w:r w:rsidRPr="0059133B">
              <w:rPr>
                <w:rFonts w:ascii="Times New Roman" w:eastAsia="宋体" w:hAnsi="Times New Roman" w:cs="Times New Roman"/>
                <w:sz w:val="24"/>
                <w:szCs w:val="24"/>
              </w:rPr>
              <w:t>左右。</w:t>
            </w:r>
          </w:p>
          <w:p w14:paraId="27D754F4" w14:textId="77777777" w:rsidR="00456D2A" w:rsidRDefault="00456D2A" w:rsidP="00BB6250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F05DE0" w14:textId="3257F2BE" w:rsidR="0041520E" w:rsidRPr="0073543E" w:rsidRDefault="001A6445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5</w:t>
            </w:r>
            <w:r w:rsidR="0041520E"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 w:rsidR="0041520E" w:rsidRPr="0041520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今明两年的折旧</w:t>
            </w:r>
            <w:r w:rsidR="0041520E"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？</w:t>
            </w:r>
          </w:p>
          <w:p w14:paraId="1A4E3E2F" w14:textId="15421007" w:rsidR="0041520E" w:rsidRDefault="0041520E" w:rsidP="0041520E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9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41520E">
              <w:rPr>
                <w:rFonts w:ascii="Times New Roman" w:eastAsia="宋体" w:hAnsi="Times New Roman" w:cs="Times New Roman"/>
                <w:sz w:val="24"/>
                <w:szCs w:val="24"/>
              </w:rPr>
              <w:t>预估</w:t>
            </w:r>
            <w:r w:rsidR="00456D2A">
              <w:rPr>
                <w:rFonts w:ascii="Times New Roman" w:eastAsia="宋体" w:hAnsi="Times New Roman" w:cs="Times New Roman"/>
                <w:sz w:val="24"/>
                <w:szCs w:val="24"/>
              </w:rPr>
              <w:t>今年</w:t>
            </w:r>
            <w:r w:rsidRPr="0041520E">
              <w:rPr>
                <w:rFonts w:ascii="Times New Roman" w:eastAsia="宋体" w:hAnsi="Times New Roman" w:cs="Times New Roman"/>
                <w:sz w:val="24"/>
                <w:szCs w:val="24"/>
              </w:rPr>
              <w:t>设备</w:t>
            </w:r>
            <w:r w:rsidR="00456D2A">
              <w:rPr>
                <w:rFonts w:ascii="Times New Roman" w:eastAsia="宋体" w:hAnsi="Times New Roman" w:cs="Times New Roman"/>
                <w:sz w:val="24"/>
                <w:szCs w:val="24"/>
              </w:rPr>
              <w:t>折旧大概</w:t>
            </w:r>
            <w:r w:rsidRPr="0041520E">
              <w:rPr>
                <w:rFonts w:ascii="Times New Roman" w:eastAsia="宋体" w:hAnsi="Times New Roman" w:cs="Times New Roman"/>
                <w:sz w:val="24"/>
                <w:szCs w:val="24"/>
              </w:rPr>
              <w:t>3.1</w:t>
            </w:r>
            <w:r w:rsidRPr="0041520E">
              <w:rPr>
                <w:rFonts w:ascii="Times New Roman" w:eastAsia="宋体" w:hAnsi="Times New Roman" w:cs="Times New Roman"/>
                <w:sz w:val="24"/>
                <w:szCs w:val="24"/>
              </w:rPr>
              <w:t>亿左右</w:t>
            </w:r>
            <w:r w:rsidR="00456D2A">
              <w:rPr>
                <w:rFonts w:ascii="Times New Roman" w:eastAsia="宋体" w:hAnsi="Times New Roman" w:cs="Times New Roman"/>
                <w:sz w:val="24"/>
                <w:szCs w:val="24"/>
              </w:rPr>
              <w:t>，另外还有厂房的折旧，</w:t>
            </w:r>
            <w:r w:rsidRPr="0041520E">
              <w:rPr>
                <w:rFonts w:ascii="Times New Roman" w:eastAsia="宋体" w:hAnsi="Times New Roman" w:cs="Times New Roman"/>
                <w:sz w:val="24"/>
                <w:szCs w:val="24"/>
              </w:rPr>
              <w:t>但</w:t>
            </w:r>
            <w:r w:rsidR="00456D2A">
              <w:rPr>
                <w:rFonts w:ascii="Times New Roman" w:eastAsia="宋体" w:hAnsi="Times New Roman" w:cs="Times New Roman"/>
                <w:sz w:val="24"/>
                <w:szCs w:val="24"/>
              </w:rPr>
              <w:t>厂房</w:t>
            </w:r>
            <w:r w:rsidRPr="0041520E">
              <w:rPr>
                <w:rFonts w:ascii="Times New Roman" w:eastAsia="宋体" w:hAnsi="Times New Roman" w:cs="Times New Roman"/>
                <w:sz w:val="24"/>
                <w:szCs w:val="24"/>
              </w:rPr>
              <w:t>折旧的期限比较长，所以对</w:t>
            </w:r>
            <w:r w:rsidR="00456D2A">
              <w:rPr>
                <w:rFonts w:ascii="Times New Roman" w:eastAsia="宋体" w:hAnsi="Times New Roman" w:cs="Times New Roman"/>
                <w:sz w:val="24"/>
                <w:szCs w:val="24"/>
              </w:rPr>
              <w:t>利润的</w:t>
            </w:r>
            <w:r w:rsidRPr="0041520E">
              <w:rPr>
                <w:rFonts w:ascii="Times New Roman" w:eastAsia="宋体" w:hAnsi="Times New Roman" w:cs="Times New Roman"/>
                <w:sz w:val="24"/>
                <w:szCs w:val="24"/>
              </w:rPr>
              <w:t>影响不太大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E2520E5" w14:textId="1CC92AD5" w:rsidR="00456D2A" w:rsidRPr="00456D2A" w:rsidRDefault="001A6445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6</w:t>
            </w:r>
            <w:r w:rsidR="0041520E"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proofErr w:type="gramStart"/>
            <w:r w:rsidR="00456D2A" w:rsidRPr="00456D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算力的</w:t>
            </w:r>
            <w:proofErr w:type="gramEnd"/>
            <w:r w:rsidR="00456D2A" w:rsidRPr="00456D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布局和后续增长怎么看？</w:t>
            </w:r>
          </w:p>
          <w:p w14:paraId="616BCB1B" w14:textId="229C570D" w:rsidR="00456D2A" w:rsidRPr="00456D2A" w:rsidRDefault="00456D2A" w:rsidP="00456D2A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9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CPU</w:t>
            </w:r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GPU</w:t>
            </w:r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AI</w:t>
            </w:r>
            <w:proofErr w:type="gramStart"/>
            <w:r w:rsidR="008E16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高算力高</w:t>
            </w:r>
            <w:proofErr w:type="gramEnd"/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性能芯片、车</w:t>
            </w:r>
            <w:proofErr w:type="gramStart"/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</w:t>
            </w:r>
            <w:proofErr w:type="gramEnd"/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级及工业级</w:t>
            </w:r>
            <w:r w:rsidR="008E16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 w:rsidRPr="00456D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高可靠性芯片</w:t>
            </w:r>
            <w:r w:rsidR="00C85B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一直是公司重点布局的方向，目前这方面产品已经部分在公司验证并进入量产，还有些在验证过程中。</w:t>
            </w:r>
            <w:r w:rsidR="00B70B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随着客户产品未来逐步放量后，这方面的产品会</w:t>
            </w:r>
            <w:r w:rsidR="00CE1A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 w:rsidR="00B70B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增长。</w:t>
            </w:r>
          </w:p>
          <w:p w14:paraId="1A3E2629" w14:textId="77777777" w:rsidR="00B70BA8" w:rsidRDefault="00B70BA8" w:rsidP="0041520E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E1C45B2" w14:textId="0FC4EC79" w:rsidR="0041520E" w:rsidRPr="0073543E" w:rsidRDefault="001A6445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7</w:t>
            </w:r>
            <w:r w:rsidR="0041520E"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 w:rsidR="00456D2A" w:rsidRPr="00456D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后续研发费用的增长水平</w:t>
            </w:r>
            <w:r w:rsidR="0041520E"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？</w:t>
            </w:r>
          </w:p>
          <w:p w14:paraId="070B62C0" w14:textId="720F1767" w:rsidR="00456D2A" w:rsidRPr="00456D2A" w:rsidRDefault="0041520E" w:rsidP="00456D2A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9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B70BA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前三季度</w:t>
            </w:r>
            <w:r w:rsidR="00B70BA8" w:rsidRPr="00C40B9C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研发投入合计</w:t>
            </w:r>
            <w:r w:rsidR="00B70BA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1.01</w:t>
            </w:r>
            <w:r w:rsidR="00B70BA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亿元</w:t>
            </w:r>
            <w:r w:rsidR="00B70BA8" w:rsidRPr="00C40B9C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，较上年同期</w:t>
            </w:r>
            <w:r w:rsidR="00B70BA8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增加</w:t>
            </w:r>
            <w:r w:rsidR="00B70BA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43.73%</w:t>
            </w:r>
            <w:r w:rsidR="00B70BA8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，主要是因为研发人员和薪酬以及</w:t>
            </w:r>
            <w:r w:rsidR="00B70BA8" w:rsidRPr="00C40B9C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研发费用中</w:t>
            </w:r>
            <w:r w:rsidR="00B70BA8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的</w:t>
            </w:r>
            <w:r w:rsidR="00B70BA8" w:rsidRPr="00C40B9C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股份支付费用</w:t>
            </w:r>
            <w:r w:rsidR="00B70BA8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较上年同期增幅较大。</w:t>
            </w:r>
            <w:r w:rsidR="00B70BA8">
              <w:rPr>
                <w:rFonts w:ascii="Times New Roman" w:eastAsia="宋体" w:hAnsi="Times New Roman" w:cs="Times New Roman"/>
                <w:sz w:val="24"/>
                <w:szCs w:val="24"/>
              </w:rPr>
              <w:t>从</w:t>
            </w:r>
            <w:r w:rsidR="00456D2A" w:rsidRPr="00456D2A">
              <w:rPr>
                <w:rFonts w:ascii="Times New Roman" w:eastAsia="宋体" w:hAnsi="Times New Roman" w:cs="Times New Roman"/>
                <w:sz w:val="24"/>
                <w:szCs w:val="24"/>
              </w:rPr>
              <w:t>长期看</w:t>
            </w:r>
            <w:r w:rsidR="00B70BA8">
              <w:rPr>
                <w:rFonts w:ascii="Times New Roman" w:eastAsia="宋体" w:hAnsi="Times New Roman" w:cs="Times New Roman"/>
                <w:sz w:val="24"/>
                <w:szCs w:val="24"/>
              </w:rPr>
              <w:t>，研发费用</w:t>
            </w:r>
            <w:r w:rsidR="00456D2A" w:rsidRPr="00456D2A">
              <w:rPr>
                <w:rFonts w:ascii="Times New Roman" w:eastAsia="宋体" w:hAnsi="Times New Roman" w:cs="Times New Roman"/>
                <w:sz w:val="24"/>
                <w:szCs w:val="24"/>
              </w:rPr>
              <w:t>绝对值会</w:t>
            </w:r>
            <w:r w:rsidR="00B70BA8">
              <w:rPr>
                <w:rFonts w:ascii="Times New Roman" w:eastAsia="宋体" w:hAnsi="Times New Roman" w:cs="Times New Roman"/>
                <w:sz w:val="24"/>
                <w:szCs w:val="24"/>
              </w:rPr>
              <w:t>有所</w:t>
            </w:r>
            <w:r w:rsidR="00456D2A" w:rsidRPr="00456D2A">
              <w:rPr>
                <w:rFonts w:ascii="Times New Roman" w:eastAsia="宋体" w:hAnsi="Times New Roman" w:cs="Times New Roman"/>
                <w:sz w:val="24"/>
                <w:szCs w:val="24"/>
              </w:rPr>
              <w:t>增</w:t>
            </w:r>
            <w:r w:rsidR="00B70BA8">
              <w:rPr>
                <w:rFonts w:ascii="Times New Roman" w:eastAsia="宋体" w:hAnsi="Times New Roman" w:cs="Times New Roman"/>
                <w:sz w:val="24"/>
                <w:szCs w:val="24"/>
              </w:rPr>
              <w:t>加</w:t>
            </w:r>
            <w:r w:rsidR="00456D2A" w:rsidRPr="00456D2A">
              <w:rPr>
                <w:rFonts w:ascii="Times New Roman" w:eastAsia="宋体" w:hAnsi="Times New Roman" w:cs="Times New Roman"/>
                <w:sz w:val="24"/>
                <w:szCs w:val="24"/>
              </w:rPr>
              <w:t>，但研发费用占营收的比重</w:t>
            </w:r>
            <w:r w:rsidR="00B70BA8">
              <w:rPr>
                <w:rFonts w:ascii="Times New Roman" w:eastAsia="宋体" w:hAnsi="Times New Roman" w:cs="Times New Roman"/>
                <w:sz w:val="24"/>
                <w:szCs w:val="24"/>
              </w:rPr>
              <w:t>会随着</w:t>
            </w:r>
            <w:r w:rsidR="00456D2A" w:rsidRPr="00456D2A">
              <w:rPr>
                <w:rFonts w:ascii="Times New Roman" w:eastAsia="宋体" w:hAnsi="Times New Roman" w:cs="Times New Roman"/>
                <w:sz w:val="24"/>
                <w:szCs w:val="24"/>
              </w:rPr>
              <w:t>一些</w:t>
            </w:r>
            <w:r w:rsidR="00B70BA8">
              <w:rPr>
                <w:rFonts w:ascii="Times New Roman" w:eastAsia="宋体" w:hAnsi="Times New Roman" w:cs="Times New Roman"/>
                <w:sz w:val="24"/>
                <w:szCs w:val="24"/>
              </w:rPr>
              <w:t>研发</w:t>
            </w:r>
            <w:r w:rsidR="00456D2A" w:rsidRPr="00456D2A">
              <w:rPr>
                <w:rFonts w:ascii="Times New Roman" w:eastAsia="宋体" w:hAnsi="Times New Roman" w:cs="Times New Roman"/>
                <w:sz w:val="24"/>
                <w:szCs w:val="24"/>
              </w:rPr>
              <w:t>项目产业化</w:t>
            </w:r>
            <w:r w:rsidR="00B70BA8">
              <w:rPr>
                <w:rFonts w:ascii="Times New Roman" w:eastAsia="宋体" w:hAnsi="Times New Roman" w:cs="Times New Roman"/>
                <w:sz w:val="24"/>
                <w:szCs w:val="24"/>
              </w:rPr>
              <w:t>和</w:t>
            </w:r>
            <w:r w:rsidR="00456D2A" w:rsidRPr="00456D2A">
              <w:rPr>
                <w:rFonts w:ascii="Times New Roman" w:eastAsia="宋体" w:hAnsi="Times New Roman" w:cs="Times New Roman"/>
                <w:sz w:val="24"/>
                <w:szCs w:val="24"/>
              </w:rPr>
              <w:t>营收增长</w:t>
            </w:r>
            <w:r w:rsidR="00B70BA8">
              <w:rPr>
                <w:rFonts w:ascii="Times New Roman" w:eastAsia="宋体" w:hAnsi="Times New Roman" w:cs="Times New Roman"/>
                <w:sz w:val="24"/>
                <w:szCs w:val="24"/>
              </w:rPr>
              <w:t>而有所下降。</w:t>
            </w:r>
          </w:p>
          <w:p w14:paraId="1D158CEA" w14:textId="77777777" w:rsidR="0041520E" w:rsidRDefault="0041520E" w:rsidP="0041520E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121792D" w14:textId="6140DB90" w:rsidR="00CB030E" w:rsidRPr="0073543E" w:rsidRDefault="001A6445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8</w:t>
            </w:r>
            <w:r w:rsidR="00CB030E"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 w:rsidR="00CB030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展望下明年的测试行业</w:t>
            </w:r>
            <w:r w:rsidR="00CB030E" w:rsidRPr="0073543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？</w:t>
            </w:r>
          </w:p>
          <w:p w14:paraId="705C1144" w14:textId="429BE7A8" w:rsidR="00CB030E" w:rsidRPr="00CB030E" w:rsidRDefault="00CB030E" w:rsidP="00CB030E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 w:rsidRPr="005F69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CB03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世界半导体贸易统计组织（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WSTS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）在其最新预测中表示，预计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年全球半导体市场将实现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16%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的增长。根据工业和信息化部运行监测协调局数据，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月份至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月份，我国集成电路产量为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,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845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亿块，同比增长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26.6%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而国内第三方测试行业目前整体规模较小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随着国内半导体行业的</w:t>
            </w:r>
            <w:r w:rsidRPr="00CB030E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增长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以及</w:t>
            </w:r>
            <w:r w:rsidRPr="00CB030E"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产业链转移的影响，</w:t>
            </w:r>
            <w:r w:rsidRPr="00CB030E">
              <w:rPr>
                <w:rFonts w:ascii="Times New Roman" w:eastAsia="宋体" w:hAnsi="Times New Roman" w:cs="Times New Roman"/>
                <w:sz w:val="24"/>
                <w:szCs w:val="24"/>
              </w:rPr>
              <w:t>第三方测试行业将获得超过行业增速的增量市场。</w:t>
            </w:r>
          </w:p>
          <w:p w14:paraId="34D5128D" w14:textId="77777777" w:rsidR="00CB030E" w:rsidRPr="00CB030E" w:rsidRDefault="00CB030E" w:rsidP="00CB030E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6D3588A8" w14:textId="3840F349" w:rsidR="00CB030E" w:rsidRPr="00CB030E" w:rsidRDefault="001A6445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9</w:t>
            </w:r>
            <w:r w:rsidR="00CB030E" w:rsidRPr="00CB030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、可转债的进度？</w:t>
            </w:r>
          </w:p>
          <w:p w14:paraId="39C88247" w14:textId="322046B0" w:rsidR="00CB030E" w:rsidRDefault="00CB030E" w:rsidP="00CB030E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9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CB03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目前是在第一轮反馈问题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的过程中</w:t>
            </w:r>
            <w:r w:rsidR="008920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可转债的项目</w:t>
            </w:r>
            <w:r w:rsidR="008920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开展并不受再融资</w:t>
            </w:r>
            <w:r w:rsidR="00892018" w:rsidRPr="00CB03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进展的影响</w:t>
            </w:r>
            <w:r w:rsidR="008920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，目前有部分银行贷款支持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1B8529BF" w14:textId="77777777" w:rsidR="00CE1A0C" w:rsidRDefault="00CE1A0C" w:rsidP="00CB030E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B56F1D1" w14:textId="64D916D6" w:rsidR="00892018" w:rsidRPr="00CB030E" w:rsidRDefault="00892018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B030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 w:rsidR="001A644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0</w:t>
            </w:r>
            <w:r w:rsidRPr="00CB030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 w:rsidRPr="008920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现在在手订单能看多久？</w:t>
            </w:r>
          </w:p>
          <w:p w14:paraId="2187A895" w14:textId="79385515" w:rsidR="00892018" w:rsidRDefault="00892018" w:rsidP="00892018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9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8920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Pr="008920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在与客户确定初步合作关系后，通过签订测试服务协议约定双方的权利义务，客户通常通过下订单的方式来提出测试需求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Pr="008920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协议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是一个长期的合作关系，但下订单的周期是短期的行为，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可能</w:t>
            </w:r>
            <w:r w:rsidRPr="00892018">
              <w:rPr>
                <w:rFonts w:ascii="Times New Roman" w:eastAsia="宋体" w:hAnsi="Times New Roman" w:cs="Times New Roman"/>
                <w:sz w:val="24"/>
                <w:szCs w:val="24"/>
              </w:rPr>
              <w:t>一个月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或者一个季度。</w:t>
            </w:r>
          </w:p>
          <w:p w14:paraId="5AFD3510" w14:textId="045FBB49" w:rsidR="00892018" w:rsidRPr="00CB030E" w:rsidRDefault="00892018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B030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1</w:t>
            </w:r>
            <w:r w:rsidR="001A644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 w:rsidRPr="00CB030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 w:rsidRPr="0089201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10</w:t>
            </w:r>
            <w:r w:rsidRPr="0089201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月份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的</w:t>
            </w:r>
            <w:r w:rsidRPr="0089201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产能利用率？</w:t>
            </w:r>
          </w:p>
          <w:p w14:paraId="3EE99B40" w14:textId="17CE8385" w:rsidR="00892018" w:rsidRDefault="00892018" w:rsidP="00892018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9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</w:t>
            </w:r>
            <w:r w:rsidRPr="008920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高端机台基本上是满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</w:t>
            </w:r>
            <w:r w:rsid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8920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产能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利</w:t>
            </w:r>
            <w:r w:rsidRPr="008920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用率</w:t>
            </w:r>
            <w:r w:rsid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达到</w:t>
            </w:r>
            <w:r w:rsidRPr="00892018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0%</w:t>
            </w:r>
            <w:r w:rsidR="00694618">
              <w:rPr>
                <w:rFonts w:ascii="Times New Roman" w:eastAsia="宋体" w:hAnsi="Times New Roman" w:cs="Times New Roman"/>
                <w:sz w:val="24"/>
                <w:szCs w:val="24"/>
              </w:rPr>
              <w:t>以上</w:t>
            </w:r>
            <w:r w:rsidRPr="00892018">
              <w:rPr>
                <w:rFonts w:ascii="Times New Roman" w:eastAsia="宋体" w:hAnsi="Times New Roman" w:cs="Times New Roman"/>
                <w:sz w:val="24"/>
                <w:szCs w:val="24"/>
              </w:rPr>
              <w:t>，接近满产</w:t>
            </w:r>
            <w:r w:rsidR="00694618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中端机台大概</w:t>
            </w:r>
            <w:r w:rsidRPr="00892018">
              <w:rPr>
                <w:rFonts w:ascii="Times New Roman" w:eastAsia="宋体" w:hAnsi="Times New Roman" w:cs="Times New Roman"/>
                <w:sz w:val="24"/>
                <w:szCs w:val="24"/>
              </w:rPr>
              <w:t>80%</w:t>
            </w:r>
            <w:r w:rsidR="00694618">
              <w:rPr>
                <w:rFonts w:ascii="Times New Roman" w:eastAsia="宋体" w:hAnsi="Times New Roman" w:cs="Times New Roman"/>
                <w:sz w:val="24"/>
                <w:szCs w:val="24"/>
              </w:rPr>
              <w:t>以上</w:t>
            </w:r>
            <w:r w:rsidRPr="00892018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68984288" w14:textId="77777777" w:rsidR="00694618" w:rsidRDefault="00694618" w:rsidP="00892018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43D449B" w14:textId="16C3CBD8" w:rsidR="00694618" w:rsidRPr="00694618" w:rsidRDefault="00694618" w:rsidP="00694618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946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 w:rsidR="001A644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6946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、公司相比</w:t>
            </w:r>
            <w:proofErr w:type="gramStart"/>
            <w:r w:rsidRPr="006946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其他第三</w:t>
            </w:r>
            <w:proofErr w:type="gramEnd"/>
            <w:r w:rsidRPr="006946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方测试的优势？</w:t>
            </w:r>
          </w:p>
          <w:p w14:paraId="6596E58D" w14:textId="1E3D2C21" w:rsidR="00380F76" w:rsidRDefault="00694618" w:rsidP="008D5C1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9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首先是测试设备规模及产能</w:t>
            </w:r>
            <w:r w:rsidRP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优势</w:t>
            </w:r>
            <w:r w:rsidR="00380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集成电路测试行业具有“大者恒大”的客观规律，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足够的测试产能</w:t>
            </w:r>
            <w:r w:rsidRP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能让公司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快速响应客户的测试需求</w:t>
            </w:r>
            <w:r w:rsidRP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公司拥有较多</w:t>
            </w:r>
            <w:r w:rsidRP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高端测试设备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的优势</w:t>
            </w:r>
            <w:r w:rsidR="00380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能满足</w:t>
            </w:r>
            <w:r w:rsidRPr="006946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行业内高端测试客户</w:t>
            </w:r>
            <w:r w:rsidR="00380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的需要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；其次</w:t>
            </w:r>
            <w:r w:rsidR="00380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是客户优势，从公开披露的资料可以看到公司的</w:t>
            </w:r>
            <w:r w:rsidR="00380F76" w:rsidRPr="00694618">
              <w:rPr>
                <w:rFonts w:ascii="Times New Roman" w:eastAsia="宋体" w:hAnsi="Times New Roman" w:cs="Times New Roman"/>
                <w:sz w:val="24"/>
                <w:szCs w:val="24"/>
              </w:rPr>
              <w:t>客户基本上都是国内排名最靠前的一些设计公司，</w:t>
            </w:r>
            <w:r w:rsidR="00380F76">
              <w:rPr>
                <w:rFonts w:ascii="Times New Roman" w:eastAsia="宋体" w:hAnsi="Times New Roman" w:cs="Times New Roman"/>
                <w:sz w:val="24"/>
                <w:szCs w:val="24"/>
              </w:rPr>
              <w:t>公司的测试水准</w:t>
            </w:r>
            <w:r w:rsidR="00380F76" w:rsidRPr="00694618">
              <w:rPr>
                <w:rFonts w:ascii="Times New Roman" w:eastAsia="宋体" w:hAnsi="Times New Roman" w:cs="Times New Roman"/>
                <w:sz w:val="24"/>
                <w:szCs w:val="24"/>
              </w:rPr>
              <w:t>是得到了国内知名设计公司的认可</w:t>
            </w:r>
            <w:r w:rsidR="00380F76">
              <w:rPr>
                <w:rFonts w:ascii="Times New Roman" w:eastAsia="宋体" w:hAnsi="Times New Roman" w:cs="Times New Roman"/>
                <w:sz w:val="24"/>
                <w:szCs w:val="24"/>
              </w:rPr>
              <w:t>；最后是公司的技术优势，</w:t>
            </w:r>
            <w:r w:rsidR="008D5C19" w:rsidRPr="008D5C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在测试作业的自动化方面，公司</w:t>
            </w:r>
            <w:r w:rsidR="008D5C19" w:rsidRPr="008D5C19">
              <w:rPr>
                <w:rFonts w:ascii="Times New Roman" w:eastAsia="宋体" w:hAnsi="Times New Roman" w:cs="Times New Roman"/>
                <w:sz w:val="24"/>
                <w:szCs w:val="24"/>
              </w:rPr>
              <w:t>自主开发了</w:t>
            </w:r>
            <w:r w:rsidR="001942C5">
              <w:rPr>
                <w:rFonts w:ascii="Times New Roman" w:eastAsia="宋体" w:hAnsi="Times New Roman" w:cs="Times New Roman"/>
                <w:sz w:val="24"/>
                <w:szCs w:val="24"/>
              </w:rPr>
              <w:t>MES</w:t>
            </w:r>
            <w:r w:rsidR="0059133B">
              <w:rPr>
                <w:rFonts w:ascii="Times New Roman" w:eastAsia="宋体" w:hAnsi="Times New Roman" w:cs="Times New Roman"/>
                <w:sz w:val="24"/>
                <w:szCs w:val="24"/>
              </w:rPr>
              <w:t>生产</w:t>
            </w:r>
            <w:r w:rsidR="008D5C19" w:rsidRPr="008D5C19">
              <w:rPr>
                <w:rFonts w:ascii="Times New Roman" w:eastAsia="宋体" w:hAnsi="Times New Roman" w:cs="Times New Roman"/>
                <w:sz w:val="24"/>
                <w:szCs w:val="24"/>
              </w:rPr>
              <w:t>管理系统，</w:t>
            </w:r>
            <w:r w:rsidR="001942C5" w:rsidRPr="001942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在测试方案开发方面</w:t>
            </w:r>
            <w:r w:rsidR="001942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和在测试技术水平方面的优势都比较明</w:t>
            </w:r>
            <w:bookmarkStart w:id="0" w:name="_GoBack"/>
            <w:bookmarkEnd w:id="0"/>
            <w:r w:rsidR="001942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显。</w:t>
            </w:r>
          </w:p>
          <w:p w14:paraId="7CE9FE98" w14:textId="7DF7DE58" w:rsidR="00694618" w:rsidRDefault="00694618" w:rsidP="00892018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6EF6B8E" w14:textId="6DAA661F" w:rsidR="00CB030E" w:rsidRPr="00A955CE" w:rsidRDefault="00CB030E" w:rsidP="0041520E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3445D" w:rsidRPr="00A955CE" w14:paraId="36906AA2" w14:textId="77777777" w:rsidTr="0013206B">
        <w:trPr>
          <w:trHeight w:val="1433"/>
          <w:jc w:val="center"/>
        </w:trPr>
        <w:tc>
          <w:tcPr>
            <w:tcW w:w="1603" w:type="dxa"/>
            <w:vAlign w:val="center"/>
          </w:tcPr>
          <w:p w14:paraId="626E4FBB" w14:textId="77777777" w:rsidR="00A3445D" w:rsidRPr="00A955CE" w:rsidRDefault="00A3445D" w:rsidP="004146AD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A3445D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6999" w:type="dxa"/>
          </w:tcPr>
          <w:p w14:paraId="3CF5A38F" w14:textId="77777777" w:rsidR="00A3445D" w:rsidRPr="00A3445D" w:rsidRDefault="00A3445D" w:rsidP="009E0D5D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 w:rsidRPr="00A3445D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以上如涉及对行业的预测、公司发展规划等相关内容，不代表公司或公司管理层对行业、公司发展或业绩的盈利预测和承诺，不构成公司对投资者的实质性承诺，敬请广大投资者注意投资风险。</w:t>
            </w:r>
          </w:p>
        </w:tc>
      </w:tr>
      <w:tr w:rsidR="00611393" w:rsidRPr="00A955CE" w14:paraId="4B5B3F00" w14:textId="77777777" w:rsidTr="0013206B">
        <w:trPr>
          <w:trHeight w:val="561"/>
          <w:jc w:val="center"/>
        </w:trPr>
        <w:tc>
          <w:tcPr>
            <w:tcW w:w="1603" w:type="dxa"/>
            <w:vAlign w:val="center"/>
          </w:tcPr>
          <w:p w14:paraId="5D579FD8" w14:textId="77777777" w:rsidR="00611393" w:rsidRPr="00A955CE" w:rsidRDefault="00CF18F2" w:rsidP="004146AD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A955C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附件清单（如有）</w:t>
            </w:r>
          </w:p>
        </w:tc>
        <w:tc>
          <w:tcPr>
            <w:tcW w:w="6999" w:type="dxa"/>
            <w:vAlign w:val="center"/>
          </w:tcPr>
          <w:p w14:paraId="059BF6E4" w14:textId="77777777" w:rsidR="00611393" w:rsidRPr="00A955CE" w:rsidRDefault="001778F6">
            <w:pPr>
              <w:pStyle w:val="TableParagraph"/>
              <w:spacing w:before="100" w:beforeAutospacing="1" w:line="360" w:lineRule="auto"/>
              <w:rPr>
                <w:rFonts w:ascii="Times New Roman" w:eastAsia="宋体" w:hAnsi="Times New Roman" w:cs="宋体"/>
                <w:sz w:val="24"/>
                <w:szCs w:val="24"/>
                <w:lang w:val="en-US" w:eastAsia="zh-Hans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val="en-US"/>
              </w:rPr>
              <w:t>无</w:t>
            </w:r>
          </w:p>
        </w:tc>
      </w:tr>
    </w:tbl>
    <w:p w14:paraId="068CC95B" w14:textId="691042B2" w:rsidR="00306A62" w:rsidRDefault="00306A62" w:rsidP="00FF7C19">
      <w:pPr>
        <w:pStyle w:val="paragraph"/>
        <w:spacing w:before="0" w:beforeAutospacing="0" w:afterLines="100" w:after="240" w:afterAutospacing="0"/>
        <w:jc w:val="both"/>
        <w:rPr>
          <w:rFonts w:ascii="Times New Roman" w:eastAsia="宋体" w:hAnsi="Times New Roman"/>
          <w:color w:val="000000"/>
        </w:rPr>
      </w:pPr>
    </w:p>
    <w:sectPr w:rsidR="00306A62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106F69" w15:done="0"/>
  <w15:commentEx w15:paraId="258EDA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89B7F" w14:textId="77777777" w:rsidR="00BE6AC5" w:rsidRDefault="00BE6AC5" w:rsidP="00675B49">
      <w:r>
        <w:separator/>
      </w:r>
    </w:p>
  </w:endnote>
  <w:endnote w:type="continuationSeparator" w:id="0">
    <w:p w14:paraId="22F3D382" w14:textId="77777777" w:rsidR="00BE6AC5" w:rsidRDefault="00BE6AC5" w:rsidP="006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1CC3C" w14:textId="77777777" w:rsidR="00BE6AC5" w:rsidRDefault="00BE6AC5" w:rsidP="00675B49">
      <w:r>
        <w:separator/>
      </w:r>
    </w:p>
  </w:footnote>
  <w:footnote w:type="continuationSeparator" w:id="0">
    <w:p w14:paraId="631A2DD5" w14:textId="77777777" w:rsidR="00BE6AC5" w:rsidRDefault="00BE6AC5" w:rsidP="0067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8D2"/>
    <w:multiLevelType w:val="hybridMultilevel"/>
    <w:tmpl w:val="08FCE8D2"/>
    <w:lvl w:ilvl="0" w:tplc="D3226EF4">
      <w:start w:val="1"/>
      <w:numFmt w:val="decimal"/>
      <w:lvlText w:val="%1、"/>
      <w:lvlJc w:val="left"/>
      <w:pPr>
        <w:ind w:left="852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 Pei">
    <w15:presenceInfo w15:providerId="AD" w15:userId="S-1-5-21-3292799169-1765499166-59751486-1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jcwYWNlZThiOGMwZDUyZjM5MDlmNWI1NjUzZGEifQ=="/>
  </w:docVars>
  <w:rsids>
    <w:rsidRoot w:val="00301D32"/>
    <w:rsid w:val="00001EFB"/>
    <w:rsid w:val="00024662"/>
    <w:rsid w:val="00026CC3"/>
    <w:rsid w:val="00036089"/>
    <w:rsid w:val="00050A08"/>
    <w:rsid w:val="00053CFA"/>
    <w:rsid w:val="000577F8"/>
    <w:rsid w:val="000633EC"/>
    <w:rsid w:val="00063804"/>
    <w:rsid w:val="000665A2"/>
    <w:rsid w:val="00070D81"/>
    <w:rsid w:val="000759D7"/>
    <w:rsid w:val="000772D7"/>
    <w:rsid w:val="0008132B"/>
    <w:rsid w:val="00082944"/>
    <w:rsid w:val="000877AB"/>
    <w:rsid w:val="0009126F"/>
    <w:rsid w:val="000A2828"/>
    <w:rsid w:val="000A44DE"/>
    <w:rsid w:val="000B0419"/>
    <w:rsid w:val="000B5060"/>
    <w:rsid w:val="000B75BA"/>
    <w:rsid w:val="000B7C08"/>
    <w:rsid w:val="000D12CF"/>
    <w:rsid w:val="000D2D88"/>
    <w:rsid w:val="000D658C"/>
    <w:rsid w:val="000E4B20"/>
    <w:rsid w:val="000E4FCF"/>
    <w:rsid w:val="000F2187"/>
    <w:rsid w:val="000F7B52"/>
    <w:rsid w:val="0011418F"/>
    <w:rsid w:val="00117B1D"/>
    <w:rsid w:val="0012250D"/>
    <w:rsid w:val="0013206B"/>
    <w:rsid w:val="00150BC8"/>
    <w:rsid w:val="0017127D"/>
    <w:rsid w:val="00172C24"/>
    <w:rsid w:val="00173DE7"/>
    <w:rsid w:val="001778F6"/>
    <w:rsid w:val="001818AD"/>
    <w:rsid w:val="00190FE3"/>
    <w:rsid w:val="001918C4"/>
    <w:rsid w:val="001942C5"/>
    <w:rsid w:val="001A6445"/>
    <w:rsid w:val="001A79E8"/>
    <w:rsid w:val="001B4711"/>
    <w:rsid w:val="001B559B"/>
    <w:rsid w:val="001C1D90"/>
    <w:rsid w:val="001C1F55"/>
    <w:rsid w:val="001C7260"/>
    <w:rsid w:val="001D2D55"/>
    <w:rsid w:val="001E1E3F"/>
    <w:rsid w:val="001E59D1"/>
    <w:rsid w:val="001E5EA4"/>
    <w:rsid w:val="001F5399"/>
    <w:rsid w:val="002042A7"/>
    <w:rsid w:val="002051AE"/>
    <w:rsid w:val="00205335"/>
    <w:rsid w:val="00205911"/>
    <w:rsid w:val="00206E3A"/>
    <w:rsid w:val="002146AD"/>
    <w:rsid w:val="00226C6A"/>
    <w:rsid w:val="00233B92"/>
    <w:rsid w:val="002348D1"/>
    <w:rsid w:val="0024262E"/>
    <w:rsid w:val="00252F80"/>
    <w:rsid w:val="00260FAB"/>
    <w:rsid w:val="002676DB"/>
    <w:rsid w:val="0027479D"/>
    <w:rsid w:val="00275CB6"/>
    <w:rsid w:val="002800B5"/>
    <w:rsid w:val="00285CD0"/>
    <w:rsid w:val="00290116"/>
    <w:rsid w:val="00293238"/>
    <w:rsid w:val="00295331"/>
    <w:rsid w:val="00295B29"/>
    <w:rsid w:val="0029704C"/>
    <w:rsid w:val="00297501"/>
    <w:rsid w:val="002B45D2"/>
    <w:rsid w:val="002B7AD2"/>
    <w:rsid w:val="002C549B"/>
    <w:rsid w:val="002C6F3D"/>
    <w:rsid w:val="002D1A46"/>
    <w:rsid w:val="002D2CE3"/>
    <w:rsid w:val="002D355E"/>
    <w:rsid w:val="002D4073"/>
    <w:rsid w:val="002E7098"/>
    <w:rsid w:val="002F5191"/>
    <w:rsid w:val="002F63BE"/>
    <w:rsid w:val="00301D32"/>
    <w:rsid w:val="00306A62"/>
    <w:rsid w:val="0031357A"/>
    <w:rsid w:val="003300C1"/>
    <w:rsid w:val="0033286E"/>
    <w:rsid w:val="00335B6D"/>
    <w:rsid w:val="00340B82"/>
    <w:rsid w:val="00347CB6"/>
    <w:rsid w:val="0035561C"/>
    <w:rsid w:val="003608C5"/>
    <w:rsid w:val="00366FAD"/>
    <w:rsid w:val="0036713B"/>
    <w:rsid w:val="0037105B"/>
    <w:rsid w:val="00380F76"/>
    <w:rsid w:val="0039316F"/>
    <w:rsid w:val="00395152"/>
    <w:rsid w:val="003975BA"/>
    <w:rsid w:val="003A74E6"/>
    <w:rsid w:val="003B73DD"/>
    <w:rsid w:val="003D011C"/>
    <w:rsid w:val="003F6D3C"/>
    <w:rsid w:val="00401496"/>
    <w:rsid w:val="00403B08"/>
    <w:rsid w:val="004108C7"/>
    <w:rsid w:val="004129B5"/>
    <w:rsid w:val="00412DC2"/>
    <w:rsid w:val="004146AD"/>
    <w:rsid w:val="0041520E"/>
    <w:rsid w:val="00424666"/>
    <w:rsid w:val="004350A0"/>
    <w:rsid w:val="004368FF"/>
    <w:rsid w:val="00440041"/>
    <w:rsid w:val="0044087F"/>
    <w:rsid w:val="00443FE5"/>
    <w:rsid w:val="00451268"/>
    <w:rsid w:val="004515AD"/>
    <w:rsid w:val="00451857"/>
    <w:rsid w:val="00453516"/>
    <w:rsid w:val="0045629D"/>
    <w:rsid w:val="00456D2A"/>
    <w:rsid w:val="00457548"/>
    <w:rsid w:val="00461796"/>
    <w:rsid w:val="0046309A"/>
    <w:rsid w:val="00463650"/>
    <w:rsid w:val="00470DB2"/>
    <w:rsid w:val="0048203F"/>
    <w:rsid w:val="00483B65"/>
    <w:rsid w:val="0048425F"/>
    <w:rsid w:val="00485A3F"/>
    <w:rsid w:val="004925E7"/>
    <w:rsid w:val="004931CB"/>
    <w:rsid w:val="00495B11"/>
    <w:rsid w:val="004C4F91"/>
    <w:rsid w:val="004C6CBE"/>
    <w:rsid w:val="004D414E"/>
    <w:rsid w:val="004D4BC6"/>
    <w:rsid w:val="004E286B"/>
    <w:rsid w:val="004E3894"/>
    <w:rsid w:val="004E4304"/>
    <w:rsid w:val="004E43C1"/>
    <w:rsid w:val="004E4491"/>
    <w:rsid w:val="004F0F72"/>
    <w:rsid w:val="004F6FF3"/>
    <w:rsid w:val="00503A22"/>
    <w:rsid w:val="00507A0D"/>
    <w:rsid w:val="0051181D"/>
    <w:rsid w:val="00522E31"/>
    <w:rsid w:val="00525CFE"/>
    <w:rsid w:val="00536BE2"/>
    <w:rsid w:val="00544AD9"/>
    <w:rsid w:val="005458CF"/>
    <w:rsid w:val="005540AA"/>
    <w:rsid w:val="00571B49"/>
    <w:rsid w:val="005743AE"/>
    <w:rsid w:val="005762CD"/>
    <w:rsid w:val="0058458F"/>
    <w:rsid w:val="0059133B"/>
    <w:rsid w:val="005972A6"/>
    <w:rsid w:val="005A3F66"/>
    <w:rsid w:val="005B482C"/>
    <w:rsid w:val="005D112D"/>
    <w:rsid w:val="005D30A7"/>
    <w:rsid w:val="005D64CA"/>
    <w:rsid w:val="005E3138"/>
    <w:rsid w:val="005E5717"/>
    <w:rsid w:val="005E6DB2"/>
    <w:rsid w:val="005F0F19"/>
    <w:rsid w:val="005F44BD"/>
    <w:rsid w:val="005F696B"/>
    <w:rsid w:val="005F709A"/>
    <w:rsid w:val="00611393"/>
    <w:rsid w:val="00611E0E"/>
    <w:rsid w:val="0061433E"/>
    <w:rsid w:val="006159E3"/>
    <w:rsid w:val="00616F76"/>
    <w:rsid w:val="00616FDF"/>
    <w:rsid w:val="0062246F"/>
    <w:rsid w:val="0062751D"/>
    <w:rsid w:val="00627BB3"/>
    <w:rsid w:val="006354AA"/>
    <w:rsid w:val="00642556"/>
    <w:rsid w:val="00661AFA"/>
    <w:rsid w:val="00667D17"/>
    <w:rsid w:val="006726BF"/>
    <w:rsid w:val="00675B49"/>
    <w:rsid w:val="00677B77"/>
    <w:rsid w:val="00682F23"/>
    <w:rsid w:val="0068718A"/>
    <w:rsid w:val="00692037"/>
    <w:rsid w:val="00694618"/>
    <w:rsid w:val="006960E7"/>
    <w:rsid w:val="00696253"/>
    <w:rsid w:val="00696FCC"/>
    <w:rsid w:val="006A2286"/>
    <w:rsid w:val="006A2739"/>
    <w:rsid w:val="006A57E2"/>
    <w:rsid w:val="006A7DEE"/>
    <w:rsid w:val="006B288C"/>
    <w:rsid w:val="006B5C95"/>
    <w:rsid w:val="006B7293"/>
    <w:rsid w:val="006D1AD0"/>
    <w:rsid w:val="006D1D4E"/>
    <w:rsid w:val="006D737E"/>
    <w:rsid w:val="006E14B0"/>
    <w:rsid w:val="006E66E1"/>
    <w:rsid w:val="006F0108"/>
    <w:rsid w:val="006F4608"/>
    <w:rsid w:val="006F672A"/>
    <w:rsid w:val="006F70AD"/>
    <w:rsid w:val="00704AE6"/>
    <w:rsid w:val="007153A2"/>
    <w:rsid w:val="007205DC"/>
    <w:rsid w:val="00724A68"/>
    <w:rsid w:val="007271BF"/>
    <w:rsid w:val="00727DDE"/>
    <w:rsid w:val="00730DD3"/>
    <w:rsid w:val="00733224"/>
    <w:rsid w:val="00733C9A"/>
    <w:rsid w:val="0073543E"/>
    <w:rsid w:val="00741E7A"/>
    <w:rsid w:val="00744BA0"/>
    <w:rsid w:val="00753C86"/>
    <w:rsid w:val="00755F0F"/>
    <w:rsid w:val="00757C6E"/>
    <w:rsid w:val="00763EA3"/>
    <w:rsid w:val="00764128"/>
    <w:rsid w:val="007663EE"/>
    <w:rsid w:val="00774124"/>
    <w:rsid w:val="007817AF"/>
    <w:rsid w:val="007824B8"/>
    <w:rsid w:val="00785B39"/>
    <w:rsid w:val="00786707"/>
    <w:rsid w:val="007910DD"/>
    <w:rsid w:val="00795B68"/>
    <w:rsid w:val="007A3EC1"/>
    <w:rsid w:val="007B3368"/>
    <w:rsid w:val="007C10BC"/>
    <w:rsid w:val="007C1D25"/>
    <w:rsid w:val="007C25B1"/>
    <w:rsid w:val="007C3CA9"/>
    <w:rsid w:val="007C68E1"/>
    <w:rsid w:val="007C7017"/>
    <w:rsid w:val="007D0A69"/>
    <w:rsid w:val="007D64BB"/>
    <w:rsid w:val="007D6DC4"/>
    <w:rsid w:val="007F529A"/>
    <w:rsid w:val="00810505"/>
    <w:rsid w:val="00812425"/>
    <w:rsid w:val="00812598"/>
    <w:rsid w:val="008160A0"/>
    <w:rsid w:val="00824742"/>
    <w:rsid w:val="00832BF4"/>
    <w:rsid w:val="0083536E"/>
    <w:rsid w:val="00840FC0"/>
    <w:rsid w:val="00842C1B"/>
    <w:rsid w:val="0085308D"/>
    <w:rsid w:val="00853463"/>
    <w:rsid w:val="00854959"/>
    <w:rsid w:val="00856D25"/>
    <w:rsid w:val="00862A3C"/>
    <w:rsid w:val="0086515B"/>
    <w:rsid w:val="00876634"/>
    <w:rsid w:val="00890268"/>
    <w:rsid w:val="008914E2"/>
    <w:rsid w:val="00892018"/>
    <w:rsid w:val="00893F25"/>
    <w:rsid w:val="00894277"/>
    <w:rsid w:val="00895035"/>
    <w:rsid w:val="008A0F4E"/>
    <w:rsid w:val="008A1E07"/>
    <w:rsid w:val="008B2B14"/>
    <w:rsid w:val="008B6464"/>
    <w:rsid w:val="008C1BE0"/>
    <w:rsid w:val="008C6AED"/>
    <w:rsid w:val="008C7604"/>
    <w:rsid w:val="008D2EAF"/>
    <w:rsid w:val="008D5C19"/>
    <w:rsid w:val="008E0A51"/>
    <w:rsid w:val="008E1635"/>
    <w:rsid w:val="008E1B27"/>
    <w:rsid w:val="008E78F5"/>
    <w:rsid w:val="008F7496"/>
    <w:rsid w:val="00901807"/>
    <w:rsid w:val="00903379"/>
    <w:rsid w:val="00906975"/>
    <w:rsid w:val="00917F0B"/>
    <w:rsid w:val="00917F8B"/>
    <w:rsid w:val="00922004"/>
    <w:rsid w:val="00932338"/>
    <w:rsid w:val="00954332"/>
    <w:rsid w:val="009605F6"/>
    <w:rsid w:val="00960698"/>
    <w:rsid w:val="00960964"/>
    <w:rsid w:val="00965E4D"/>
    <w:rsid w:val="00986110"/>
    <w:rsid w:val="009A20C4"/>
    <w:rsid w:val="009B1D5C"/>
    <w:rsid w:val="009B4901"/>
    <w:rsid w:val="009C2464"/>
    <w:rsid w:val="009C2E31"/>
    <w:rsid w:val="009D0C98"/>
    <w:rsid w:val="009D4301"/>
    <w:rsid w:val="009E0D5D"/>
    <w:rsid w:val="009E1955"/>
    <w:rsid w:val="009E7ED5"/>
    <w:rsid w:val="009F476F"/>
    <w:rsid w:val="00A061BF"/>
    <w:rsid w:val="00A07E24"/>
    <w:rsid w:val="00A10245"/>
    <w:rsid w:val="00A12FA6"/>
    <w:rsid w:val="00A22483"/>
    <w:rsid w:val="00A26325"/>
    <w:rsid w:val="00A330C0"/>
    <w:rsid w:val="00A33784"/>
    <w:rsid w:val="00A3445D"/>
    <w:rsid w:val="00A416C4"/>
    <w:rsid w:val="00A43140"/>
    <w:rsid w:val="00A52607"/>
    <w:rsid w:val="00A527AA"/>
    <w:rsid w:val="00A5496C"/>
    <w:rsid w:val="00A5684D"/>
    <w:rsid w:val="00A6126B"/>
    <w:rsid w:val="00A63B43"/>
    <w:rsid w:val="00A65229"/>
    <w:rsid w:val="00A75C61"/>
    <w:rsid w:val="00A955CE"/>
    <w:rsid w:val="00A9601B"/>
    <w:rsid w:val="00A9642C"/>
    <w:rsid w:val="00AA02FC"/>
    <w:rsid w:val="00AA0910"/>
    <w:rsid w:val="00AA4348"/>
    <w:rsid w:val="00AB2DDC"/>
    <w:rsid w:val="00AC1B5E"/>
    <w:rsid w:val="00AD100E"/>
    <w:rsid w:val="00AD1EF7"/>
    <w:rsid w:val="00AD3FFF"/>
    <w:rsid w:val="00AE1E36"/>
    <w:rsid w:val="00AF74AA"/>
    <w:rsid w:val="00B00A9A"/>
    <w:rsid w:val="00B03C2F"/>
    <w:rsid w:val="00B05CAA"/>
    <w:rsid w:val="00B07DE9"/>
    <w:rsid w:val="00B15064"/>
    <w:rsid w:val="00B25D10"/>
    <w:rsid w:val="00B27754"/>
    <w:rsid w:val="00B3167B"/>
    <w:rsid w:val="00B340A3"/>
    <w:rsid w:val="00B36D66"/>
    <w:rsid w:val="00B375AD"/>
    <w:rsid w:val="00B410F5"/>
    <w:rsid w:val="00B44242"/>
    <w:rsid w:val="00B546CF"/>
    <w:rsid w:val="00B6280C"/>
    <w:rsid w:val="00B6415C"/>
    <w:rsid w:val="00B671A4"/>
    <w:rsid w:val="00B70BA8"/>
    <w:rsid w:val="00B72CD4"/>
    <w:rsid w:val="00B83832"/>
    <w:rsid w:val="00B85B00"/>
    <w:rsid w:val="00BA4159"/>
    <w:rsid w:val="00BA5BB7"/>
    <w:rsid w:val="00BB56F7"/>
    <w:rsid w:val="00BB6250"/>
    <w:rsid w:val="00BC0C7F"/>
    <w:rsid w:val="00BE0A7D"/>
    <w:rsid w:val="00BE6AC5"/>
    <w:rsid w:val="00BE74F3"/>
    <w:rsid w:val="00BF132F"/>
    <w:rsid w:val="00BF3270"/>
    <w:rsid w:val="00BF392F"/>
    <w:rsid w:val="00C06081"/>
    <w:rsid w:val="00C13878"/>
    <w:rsid w:val="00C15DBD"/>
    <w:rsid w:val="00C31284"/>
    <w:rsid w:val="00C40110"/>
    <w:rsid w:val="00C40873"/>
    <w:rsid w:val="00C40B9C"/>
    <w:rsid w:val="00C634E9"/>
    <w:rsid w:val="00C640AB"/>
    <w:rsid w:val="00C85BBB"/>
    <w:rsid w:val="00C94DAA"/>
    <w:rsid w:val="00C9551B"/>
    <w:rsid w:val="00CA1705"/>
    <w:rsid w:val="00CB030E"/>
    <w:rsid w:val="00CB787F"/>
    <w:rsid w:val="00CC2F08"/>
    <w:rsid w:val="00CC322F"/>
    <w:rsid w:val="00CE1A0C"/>
    <w:rsid w:val="00CE1A54"/>
    <w:rsid w:val="00CE3B27"/>
    <w:rsid w:val="00CF1332"/>
    <w:rsid w:val="00CF18F2"/>
    <w:rsid w:val="00CF4A48"/>
    <w:rsid w:val="00CF5FB6"/>
    <w:rsid w:val="00CF629B"/>
    <w:rsid w:val="00D02518"/>
    <w:rsid w:val="00D02BF7"/>
    <w:rsid w:val="00D05354"/>
    <w:rsid w:val="00D17454"/>
    <w:rsid w:val="00D242D6"/>
    <w:rsid w:val="00D33FBC"/>
    <w:rsid w:val="00D4153D"/>
    <w:rsid w:val="00D67CC9"/>
    <w:rsid w:val="00D7535C"/>
    <w:rsid w:val="00D76302"/>
    <w:rsid w:val="00D93B2F"/>
    <w:rsid w:val="00DA318F"/>
    <w:rsid w:val="00DA5CE2"/>
    <w:rsid w:val="00DC5238"/>
    <w:rsid w:val="00DC75D4"/>
    <w:rsid w:val="00DD404C"/>
    <w:rsid w:val="00DD4AAF"/>
    <w:rsid w:val="00DD77DA"/>
    <w:rsid w:val="00DE10E8"/>
    <w:rsid w:val="00DE4A17"/>
    <w:rsid w:val="00DF432F"/>
    <w:rsid w:val="00DF5B93"/>
    <w:rsid w:val="00DF6E19"/>
    <w:rsid w:val="00E12C2C"/>
    <w:rsid w:val="00E16FDA"/>
    <w:rsid w:val="00E203DA"/>
    <w:rsid w:val="00E22383"/>
    <w:rsid w:val="00E24110"/>
    <w:rsid w:val="00E32F5A"/>
    <w:rsid w:val="00E3505B"/>
    <w:rsid w:val="00E35F58"/>
    <w:rsid w:val="00E36B27"/>
    <w:rsid w:val="00E36D62"/>
    <w:rsid w:val="00E40CAC"/>
    <w:rsid w:val="00E41F88"/>
    <w:rsid w:val="00E45BD9"/>
    <w:rsid w:val="00E46A6A"/>
    <w:rsid w:val="00E55153"/>
    <w:rsid w:val="00E66FFC"/>
    <w:rsid w:val="00E70F47"/>
    <w:rsid w:val="00E7556B"/>
    <w:rsid w:val="00E759D6"/>
    <w:rsid w:val="00E75D35"/>
    <w:rsid w:val="00E82523"/>
    <w:rsid w:val="00E84A8C"/>
    <w:rsid w:val="00E91D05"/>
    <w:rsid w:val="00E97626"/>
    <w:rsid w:val="00E976DE"/>
    <w:rsid w:val="00EA06FF"/>
    <w:rsid w:val="00EA3568"/>
    <w:rsid w:val="00EC0A5A"/>
    <w:rsid w:val="00EC0F83"/>
    <w:rsid w:val="00EC3AA7"/>
    <w:rsid w:val="00ED7DDA"/>
    <w:rsid w:val="00EE3187"/>
    <w:rsid w:val="00EE617E"/>
    <w:rsid w:val="00EF4407"/>
    <w:rsid w:val="00EF499B"/>
    <w:rsid w:val="00EF554E"/>
    <w:rsid w:val="00F05F28"/>
    <w:rsid w:val="00F13757"/>
    <w:rsid w:val="00F14977"/>
    <w:rsid w:val="00F172B8"/>
    <w:rsid w:val="00F252DF"/>
    <w:rsid w:val="00F40E64"/>
    <w:rsid w:val="00F4504F"/>
    <w:rsid w:val="00F52668"/>
    <w:rsid w:val="00F61B6C"/>
    <w:rsid w:val="00F772C5"/>
    <w:rsid w:val="00FA7F70"/>
    <w:rsid w:val="00FB3DC8"/>
    <w:rsid w:val="00FB4A08"/>
    <w:rsid w:val="00FB597F"/>
    <w:rsid w:val="00FC0C2A"/>
    <w:rsid w:val="00FC3C57"/>
    <w:rsid w:val="00FC6286"/>
    <w:rsid w:val="00FD6D40"/>
    <w:rsid w:val="00FD7F8E"/>
    <w:rsid w:val="00FE13FC"/>
    <w:rsid w:val="00FE2093"/>
    <w:rsid w:val="00FF11E4"/>
    <w:rsid w:val="00FF7C19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88C25F5"/>
    <w:rsid w:val="79F72AA9"/>
    <w:rsid w:val="7A144529"/>
    <w:rsid w:val="7DD37FAE"/>
    <w:rsid w:val="7FA7D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48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aragraph">
    <w:name w:val="paragraph"/>
    <w:basedOn w:val="a"/>
    <w:semiHidden/>
    <w:rsid w:val="001C1D90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Times New Roman"/>
      <w:sz w:val="24"/>
      <w:szCs w:val="24"/>
      <w:lang w:val="en-US" w:bidi="ar-SA"/>
    </w:rPr>
  </w:style>
  <w:style w:type="table" w:styleId="aa">
    <w:name w:val="Table Grid"/>
    <w:basedOn w:val="a1"/>
    <w:uiPriority w:val="39"/>
    <w:rsid w:val="00B05CAA"/>
    <w:rPr>
      <w:kern w:val="2"/>
      <w:sz w:val="21"/>
      <w:szCs w:val="22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aragraph">
    <w:name w:val="paragraph"/>
    <w:basedOn w:val="a"/>
    <w:semiHidden/>
    <w:rsid w:val="001C1D90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Times New Roman"/>
      <w:sz w:val="24"/>
      <w:szCs w:val="24"/>
      <w:lang w:val="en-US" w:bidi="ar-SA"/>
    </w:rPr>
  </w:style>
  <w:style w:type="table" w:styleId="aa">
    <w:name w:val="Table Grid"/>
    <w:basedOn w:val="a1"/>
    <w:uiPriority w:val="39"/>
    <w:rsid w:val="00B05CAA"/>
    <w:rPr>
      <w:kern w:val="2"/>
      <w:sz w:val="21"/>
      <w:szCs w:val="22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5</Pages>
  <Words>499</Words>
  <Characters>2848</Characters>
  <Application>Microsoft Office Word</Application>
  <DocSecurity>0</DocSecurity>
  <Lines>23</Lines>
  <Paragraphs>6</Paragraphs>
  <ScaleCrop>false</ScaleCrop>
  <Company>P R C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Dan Liu</cp:lastModifiedBy>
  <cp:revision>71</cp:revision>
  <dcterms:created xsi:type="dcterms:W3CDTF">2024-09-02T06:17:00Z</dcterms:created>
  <dcterms:modified xsi:type="dcterms:W3CDTF">2024-10-17T07:08:00Z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57D148DF2F764966BF4E1C38A6255FA2</vt:lpwstr>
  </property>
</Properties>
</file>