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8AAFF4">
      <w:pPr>
        <w:pStyle w:val="2"/>
        <w:spacing w:line="500" w:lineRule="exact"/>
        <w:rPr>
          <w:rFonts w:ascii="宋体" w:hAnsi="宋体" w:eastAsia="宋体" w:cs="宋体"/>
          <w:sz w:val="24"/>
          <w:szCs w:val="24"/>
          <w:lang w:val="en-US"/>
        </w:rPr>
      </w:pPr>
      <w:r>
        <w:rPr>
          <w:rFonts w:hint="eastAsia" w:ascii="宋体" w:hAnsi="宋体" w:eastAsia="宋体" w:cs="宋体"/>
          <w:sz w:val="24"/>
          <w:szCs w:val="24"/>
          <w:lang w:val="en-US"/>
        </w:rPr>
        <w:t>证券代码：600256                               证券简称：广汇能源</w:t>
      </w:r>
    </w:p>
    <w:p w14:paraId="25D16023">
      <w:pPr>
        <w:spacing w:line="500" w:lineRule="exact"/>
        <w:rPr>
          <w:rFonts w:ascii="黑体" w:hAnsi="黑体" w:eastAsia="黑体" w:cs="黑体"/>
          <w:sz w:val="36"/>
          <w:szCs w:val="36"/>
          <w:lang w:val="en-US"/>
        </w:rPr>
      </w:pPr>
    </w:p>
    <w:p w14:paraId="3665FDF7">
      <w:pPr>
        <w:spacing w:line="500" w:lineRule="exact"/>
        <w:jc w:val="center"/>
        <w:rPr>
          <w:rFonts w:ascii="黑体" w:hAnsi="黑体" w:eastAsia="黑体" w:cs="黑体"/>
          <w:b/>
          <w:bCs/>
          <w:sz w:val="36"/>
          <w:szCs w:val="36"/>
        </w:rPr>
      </w:pPr>
      <w:r>
        <w:rPr>
          <w:rFonts w:hint="eastAsia" w:ascii="黑体" w:hAnsi="黑体" w:eastAsia="黑体" w:cs="黑体"/>
          <w:b/>
          <w:bCs/>
          <w:sz w:val="36"/>
          <w:szCs w:val="36"/>
          <w:lang w:val="en-US"/>
        </w:rPr>
        <w:t>广汇能源</w:t>
      </w:r>
      <w:r>
        <w:rPr>
          <w:rFonts w:hint="eastAsia" w:ascii="黑体" w:hAnsi="黑体" w:eastAsia="黑体" w:cs="黑体"/>
          <w:b/>
          <w:bCs/>
          <w:sz w:val="36"/>
          <w:szCs w:val="36"/>
        </w:rPr>
        <w:t>股份有限公司</w:t>
      </w:r>
    </w:p>
    <w:p w14:paraId="31B0698D">
      <w:pPr>
        <w:spacing w:line="500" w:lineRule="exact"/>
        <w:jc w:val="center"/>
        <w:rPr>
          <w:rFonts w:ascii="黑体" w:hAnsi="黑体" w:eastAsia="黑体" w:cs="黑体"/>
          <w:b/>
          <w:bCs/>
          <w:sz w:val="36"/>
          <w:szCs w:val="36"/>
        </w:rPr>
      </w:pPr>
      <w:r>
        <w:rPr>
          <w:rFonts w:hint="eastAsia" w:ascii="黑体" w:hAnsi="黑体" w:eastAsia="黑体" w:cs="黑体"/>
          <w:b/>
          <w:bCs/>
          <w:sz w:val="36"/>
          <w:szCs w:val="36"/>
        </w:rPr>
        <w:t>投资者关系活动记录表</w:t>
      </w:r>
    </w:p>
    <w:p w14:paraId="45AE1D65">
      <w:pPr>
        <w:spacing w:line="500" w:lineRule="exact"/>
        <w:jc w:val="center"/>
        <w:rPr>
          <w:rFonts w:ascii="宋体" w:hAnsi="宋体" w:eastAsia="宋体" w:cs="宋体"/>
          <w:sz w:val="28"/>
          <w:szCs w:val="28"/>
          <w:lang w:val="en-US"/>
        </w:rPr>
      </w:pPr>
      <w:r>
        <w:rPr>
          <w:rFonts w:hint="eastAsia" w:ascii="宋体" w:hAnsi="宋体" w:eastAsia="宋体" w:cs="宋体"/>
          <w:sz w:val="28"/>
          <w:szCs w:val="28"/>
          <w:lang w:val="en-US"/>
        </w:rPr>
        <w:t xml:space="preserve">                                              </w:t>
      </w:r>
    </w:p>
    <w:tbl>
      <w:tblPr>
        <w:tblStyle w:val="10"/>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0"/>
        <w:gridCol w:w="6595"/>
      </w:tblGrid>
      <w:tr w14:paraId="79503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jc w:val="center"/>
        </w:trPr>
        <w:tc>
          <w:tcPr>
            <w:tcW w:w="1930" w:type="dxa"/>
          </w:tcPr>
          <w:p w14:paraId="4901D0A4">
            <w:pPr>
              <w:pStyle w:val="13"/>
              <w:spacing w:line="500" w:lineRule="exact"/>
              <w:jc w:val="center"/>
              <w:rPr>
                <w:rFonts w:ascii="宋体" w:hAnsi="宋体" w:eastAsia="宋体" w:cs="宋体"/>
                <w:b/>
                <w:bCs/>
                <w:sz w:val="24"/>
                <w:szCs w:val="24"/>
              </w:rPr>
            </w:pPr>
          </w:p>
          <w:p w14:paraId="09B59C45">
            <w:pPr>
              <w:pStyle w:val="13"/>
              <w:spacing w:line="500" w:lineRule="exact"/>
              <w:ind w:left="107"/>
              <w:jc w:val="center"/>
              <w:rPr>
                <w:rFonts w:ascii="宋体" w:hAnsi="宋体" w:eastAsia="宋体" w:cs="宋体"/>
                <w:b/>
                <w:bCs/>
                <w:sz w:val="24"/>
                <w:szCs w:val="24"/>
              </w:rPr>
            </w:pPr>
            <w:r>
              <w:rPr>
                <w:rFonts w:hint="eastAsia" w:ascii="宋体" w:hAnsi="宋体" w:eastAsia="宋体" w:cs="宋体"/>
                <w:b/>
                <w:bCs/>
                <w:sz w:val="24"/>
                <w:szCs w:val="24"/>
              </w:rPr>
              <w:t>投资者关系</w:t>
            </w:r>
          </w:p>
          <w:p w14:paraId="3D764F34">
            <w:pPr>
              <w:pStyle w:val="13"/>
              <w:spacing w:line="500" w:lineRule="exact"/>
              <w:ind w:left="107"/>
              <w:jc w:val="center"/>
              <w:rPr>
                <w:rFonts w:ascii="宋体" w:hAnsi="宋体" w:eastAsia="宋体" w:cs="宋体"/>
                <w:b/>
                <w:bCs/>
                <w:sz w:val="24"/>
                <w:szCs w:val="24"/>
              </w:rPr>
            </w:pPr>
            <w:r>
              <w:rPr>
                <w:rFonts w:hint="eastAsia" w:ascii="宋体" w:hAnsi="宋体" w:eastAsia="宋体" w:cs="宋体"/>
                <w:b/>
                <w:bCs/>
                <w:sz w:val="24"/>
                <w:szCs w:val="24"/>
              </w:rPr>
              <w:t>活动类别</w:t>
            </w:r>
          </w:p>
        </w:tc>
        <w:tc>
          <w:tcPr>
            <w:tcW w:w="6595" w:type="dxa"/>
          </w:tcPr>
          <w:p w14:paraId="350223E3">
            <w:pPr>
              <w:pStyle w:val="13"/>
              <w:tabs>
                <w:tab w:val="left" w:pos="2418"/>
              </w:tabs>
              <w:spacing w:line="500" w:lineRule="exact"/>
              <w:ind w:left="107"/>
              <w:rPr>
                <w:rFonts w:ascii="宋体" w:hAnsi="宋体" w:eastAsia="宋体" w:cs="宋体"/>
                <w:sz w:val="24"/>
                <w:szCs w:val="24"/>
              </w:rPr>
            </w:pPr>
            <w:sdt>
              <w:sdtPr>
                <w:rPr>
                  <w:rFonts w:hint="eastAsia" w:ascii="宋体" w:hAnsi="宋体" w:eastAsia="宋体" w:cs="宋体"/>
                  <w:sz w:val="24"/>
                  <w:szCs w:val="24"/>
                </w:rPr>
                <w:id w:val="249780449"/>
                <w14:checkbox>
                  <w14:checked w14:val="0"/>
                  <w14:checkedState w14:val="0052" w14:font="Wingdings 2"/>
                  <w14:uncheckedState w14:val="2610" w14:font="Meiryo"/>
                </w14:checkbox>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sz w:val="24"/>
                <w:szCs w:val="24"/>
              </w:rPr>
              <w:t>特定对象调研</w:t>
            </w:r>
            <w:r>
              <w:rPr>
                <w:rFonts w:hint="eastAsia" w:ascii="宋体" w:hAnsi="宋体" w:eastAsia="宋体" w:cs="宋体"/>
                <w:sz w:val="24"/>
                <w:szCs w:val="24"/>
                <w:lang w:val="en-US"/>
              </w:rPr>
              <w:t xml:space="preserve">       </w:t>
            </w:r>
            <w:r>
              <w:rPr>
                <w:rFonts w:hint="eastAsia" w:ascii="宋体" w:hAnsi="宋体" w:eastAsia="宋体" w:cs="宋体"/>
                <w:sz w:val="24"/>
                <w:szCs w:val="24"/>
              </w:rPr>
              <w:tab/>
            </w:r>
            <w:sdt>
              <w:sdtPr>
                <w:rPr>
                  <w:rFonts w:hint="eastAsia" w:ascii="宋体" w:hAnsi="宋体" w:eastAsia="宋体" w:cs="宋体"/>
                  <w:sz w:val="24"/>
                  <w:szCs w:val="24"/>
                </w:rPr>
                <w:id w:val="-416875725"/>
                <w14:checkbox>
                  <w14:checked w14:val="0"/>
                  <w14:checkedState w14:val="0052" w14:font="Wingdings 2"/>
                  <w14:uncheckedState w14:val="2610" w14:font="Meiryo"/>
                </w14:checkbox>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sz w:val="24"/>
                <w:szCs w:val="24"/>
              </w:rPr>
              <w:t>分析师会议</w:t>
            </w:r>
          </w:p>
          <w:p w14:paraId="5D9FD9CE">
            <w:pPr>
              <w:pStyle w:val="13"/>
              <w:tabs>
                <w:tab w:val="left" w:pos="2418"/>
              </w:tabs>
              <w:spacing w:line="500" w:lineRule="exact"/>
              <w:ind w:left="107"/>
              <w:rPr>
                <w:rFonts w:ascii="宋体" w:hAnsi="宋体" w:eastAsia="宋体" w:cs="宋体"/>
                <w:sz w:val="24"/>
                <w:szCs w:val="24"/>
              </w:rPr>
            </w:pPr>
            <w:sdt>
              <w:sdtPr>
                <w:rPr>
                  <w:rFonts w:hint="eastAsia" w:ascii="宋体" w:hAnsi="宋体" w:eastAsia="宋体" w:cs="宋体"/>
                  <w:sz w:val="24"/>
                  <w:szCs w:val="24"/>
                </w:rPr>
                <w:id w:val="1206906014"/>
                <w14:checkbox>
                  <w14:checked w14:val="0"/>
                  <w14:checkedState w14:val="0052" w14:font="Wingdings 2"/>
                  <w14:uncheckedState w14:val="2610" w14:font="Meiryo"/>
                </w14:checkbox>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sz w:val="24"/>
                <w:szCs w:val="24"/>
              </w:rPr>
              <w:t>媒体采访</w:t>
            </w:r>
            <w:r>
              <w:rPr>
                <w:rFonts w:hint="eastAsia" w:ascii="宋体" w:hAnsi="宋体" w:eastAsia="宋体" w:cs="宋体"/>
                <w:sz w:val="24"/>
                <w:szCs w:val="24"/>
                <w:lang w:val="en-US"/>
              </w:rPr>
              <w:t xml:space="preserve">            </w:t>
            </w:r>
            <w:r>
              <w:rPr>
                <w:rFonts w:hint="eastAsia" w:ascii="宋体" w:hAnsi="宋体" w:eastAsia="宋体" w:cs="宋体"/>
                <w:sz w:val="24"/>
                <w:szCs w:val="24"/>
              </w:rPr>
              <w:tab/>
            </w:r>
            <w:sdt>
              <w:sdtPr>
                <w:rPr>
                  <w:rFonts w:hint="eastAsia" w:ascii="宋体" w:hAnsi="宋体" w:eastAsia="宋体" w:cs="宋体"/>
                  <w:sz w:val="24"/>
                  <w:szCs w:val="24"/>
                </w:rPr>
                <w:id w:val="-66658901"/>
                <w14:checkbox>
                  <w14:checked w14:val="0"/>
                  <w14:checkedState w14:val="0052" w14:font="Wingdings 2"/>
                  <w14:uncheckedState w14:val="2610" w14:font="Meiryo"/>
                </w14:checkbox>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sz w:val="24"/>
                <w:szCs w:val="24"/>
              </w:rPr>
              <w:t>业绩说明会</w:t>
            </w:r>
          </w:p>
          <w:p w14:paraId="3587E83B">
            <w:pPr>
              <w:pStyle w:val="13"/>
              <w:tabs>
                <w:tab w:val="left" w:pos="2418"/>
              </w:tabs>
              <w:spacing w:line="500" w:lineRule="exact"/>
              <w:ind w:left="107"/>
              <w:rPr>
                <w:rFonts w:ascii="宋体" w:hAnsi="宋体" w:eastAsia="宋体" w:cs="宋体"/>
                <w:sz w:val="24"/>
                <w:szCs w:val="24"/>
              </w:rPr>
            </w:pPr>
            <w:sdt>
              <w:sdtPr>
                <w:rPr>
                  <w:rFonts w:hint="eastAsia" w:ascii="宋体" w:hAnsi="宋体" w:eastAsia="宋体" w:cs="宋体"/>
                  <w:sz w:val="24"/>
                  <w:szCs w:val="24"/>
                </w:rPr>
                <w:id w:val="-1848167434"/>
                <w14:checkbox>
                  <w14:checked w14:val="0"/>
                  <w14:checkedState w14:val="0052" w14:font="Wingdings 2"/>
                  <w14:uncheckedState w14:val="2610" w14:font="Meiryo"/>
                </w14:checkbox>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sz w:val="24"/>
                <w:szCs w:val="24"/>
              </w:rPr>
              <w:t>新闻发布会</w:t>
            </w:r>
            <w:r>
              <w:rPr>
                <w:rFonts w:hint="eastAsia" w:ascii="宋体" w:hAnsi="宋体" w:eastAsia="宋体" w:cs="宋体"/>
                <w:sz w:val="24"/>
                <w:szCs w:val="24"/>
                <w:lang w:val="en-US"/>
              </w:rPr>
              <w:t xml:space="preserve">         </w:t>
            </w:r>
            <w:r>
              <w:rPr>
                <w:rFonts w:hint="eastAsia" w:ascii="宋体" w:hAnsi="宋体" w:eastAsia="宋体" w:cs="宋体"/>
                <w:sz w:val="24"/>
                <w:szCs w:val="24"/>
              </w:rPr>
              <w:tab/>
            </w:r>
            <w:sdt>
              <w:sdtPr>
                <w:rPr>
                  <w:rFonts w:hint="eastAsia" w:ascii="宋体" w:hAnsi="宋体" w:eastAsia="宋体" w:cs="宋体"/>
                  <w:sz w:val="24"/>
                  <w:szCs w:val="24"/>
                </w:rPr>
                <w:id w:val="412049691"/>
                <w14:checkbox>
                  <w14:checked w14:val="0"/>
                  <w14:checkedState w14:val="0052" w14:font="Wingdings 2"/>
                  <w14:uncheckedState w14:val="2610" w14:font="Meiryo"/>
                </w14:checkbox>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sz w:val="24"/>
                <w:szCs w:val="24"/>
              </w:rPr>
              <w:t>路演活动</w:t>
            </w:r>
          </w:p>
          <w:p w14:paraId="4B3A86F9">
            <w:pPr>
              <w:pStyle w:val="13"/>
              <w:tabs>
                <w:tab w:val="left" w:pos="2418"/>
              </w:tabs>
              <w:spacing w:line="500" w:lineRule="exact"/>
              <w:ind w:left="107"/>
              <w:rPr>
                <w:rFonts w:ascii="宋体" w:hAnsi="宋体" w:eastAsia="宋体" w:cs="宋体"/>
                <w:sz w:val="21"/>
              </w:rPr>
            </w:pPr>
            <w:sdt>
              <w:sdtPr>
                <w:rPr>
                  <w:rFonts w:hint="eastAsia" w:ascii="宋体" w:hAnsi="宋体" w:eastAsia="宋体" w:cs="宋体"/>
                  <w:sz w:val="24"/>
                  <w:szCs w:val="24"/>
                </w:rPr>
                <w:id w:val="-1333366911"/>
                <w14:checkbox>
                  <w14:checked w14:val="1"/>
                  <w14:checkedState w14:val="0052" w14:font="Wingdings 2"/>
                  <w14:uncheckedState w14:val="2610" w14:font="Meiryo"/>
                </w14:checkbox>
              </w:sdtPr>
              <w:sdtEndPr>
                <w:rPr>
                  <w:rFonts w:hint="eastAsia" w:ascii="宋体" w:hAnsi="宋体" w:eastAsia="宋体" w:cs="宋体"/>
                  <w:sz w:val="24"/>
                  <w:szCs w:val="24"/>
                </w:rPr>
              </w:sdtEndPr>
              <w:sdtContent>
                <w:r>
                  <w:rPr>
                    <w:rFonts w:hint="eastAsia" w:ascii="Wingdings 2" w:hAnsi="Wingdings 2" w:eastAsia="宋体" w:cs="宋体"/>
                    <w:sz w:val="24"/>
                    <w:szCs w:val="24"/>
                  </w:rPr>
                  <w:t>R</w:t>
                </w:r>
              </w:sdtContent>
            </w:sdt>
            <w:r>
              <w:rPr>
                <w:rFonts w:hint="eastAsia" w:ascii="宋体" w:hAnsi="宋体" w:eastAsia="宋体" w:cs="宋体"/>
                <w:sz w:val="24"/>
                <w:szCs w:val="24"/>
              </w:rPr>
              <w:t>现场参观</w:t>
            </w:r>
            <w:r>
              <w:rPr>
                <w:rFonts w:hint="eastAsia" w:ascii="宋体" w:hAnsi="宋体" w:eastAsia="宋体" w:cs="宋体"/>
                <w:sz w:val="24"/>
                <w:szCs w:val="24"/>
                <w:lang w:val="en-US"/>
              </w:rPr>
              <w:t xml:space="preserve">              </w:t>
            </w:r>
            <w:sdt>
              <w:sdtPr>
                <w:rPr>
                  <w:rFonts w:hint="eastAsia" w:ascii="宋体" w:hAnsi="宋体" w:eastAsia="宋体" w:cs="宋体"/>
                  <w:sz w:val="24"/>
                  <w:szCs w:val="24"/>
                </w:rPr>
                <w:id w:val="400885218"/>
                <w14:checkbox>
                  <w14:checked w14:val="0"/>
                  <w14:checkedState w14:val="0052" w14:font="Wingdings 2"/>
                  <w14:uncheckedState w14:val="2610" w14:font="Meiryo"/>
                </w14:checkbox>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sz w:val="24"/>
                <w:szCs w:val="24"/>
              </w:rPr>
              <w:t>其他</w:t>
            </w:r>
          </w:p>
        </w:tc>
      </w:tr>
      <w:tr w14:paraId="04998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5" w:hRule="atLeast"/>
          <w:jc w:val="center"/>
        </w:trPr>
        <w:tc>
          <w:tcPr>
            <w:tcW w:w="1930" w:type="dxa"/>
            <w:vAlign w:val="center"/>
          </w:tcPr>
          <w:p w14:paraId="06054351">
            <w:pPr>
              <w:pStyle w:val="13"/>
              <w:spacing w:line="500" w:lineRule="exact"/>
              <w:ind w:left="107" w:right="96"/>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参与单位名称</w:t>
            </w:r>
          </w:p>
          <w:p w14:paraId="0F13A1B4">
            <w:pPr>
              <w:pStyle w:val="13"/>
              <w:spacing w:line="500" w:lineRule="exact"/>
              <w:ind w:left="107" w:right="96"/>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及人员姓名</w:t>
            </w:r>
          </w:p>
        </w:tc>
        <w:tc>
          <w:tcPr>
            <w:tcW w:w="6595" w:type="dxa"/>
            <w:vAlign w:val="center"/>
          </w:tcPr>
          <w:p w14:paraId="77871BE9">
            <w:pPr>
              <w:pStyle w:val="13"/>
              <w:tabs>
                <w:tab w:val="left" w:pos="2418"/>
              </w:tabs>
              <w:spacing w:line="500" w:lineRule="exact"/>
              <w:ind w:left="0" w:leftChars="0" w:firstLine="0" w:firstLineChars="0"/>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华泰柏瑞、东方基金、摩根基金、广发基金、华商基金、华泰资管、中意资产、英大基金、千合资本、展宏投资、中信资管、日斗投资、上海复霈投资、泉果基金、深圳红筹投资、国信证券（自营）、国联基金、博时基金、太保资产、首创证券（自营）、上海拾贝投资、招银理财、上海海通资管、上海明溪资产、上海元泓投资、成都祥和投资、上海恒瑞私募、信达证券、东吴证券、长江证券、华创证券、中金公司、国盛证券、中信证券、长城证券、中泰证券、广发证券、德邦证券、光大证券、国投证券、华福证券、开源证券、方正证券</w:t>
            </w:r>
          </w:p>
          <w:p w14:paraId="29EA2F2E">
            <w:pPr>
              <w:pStyle w:val="13"/>
              <w:tabs>
                <w:tab w:val="left" w:pos="2418"/>
              </w:tabs>
              <w:spacing w:line="500" w:lineRule="exact"/>
              <w:ind w:left="0" w:leftChars="0" w:firstLine="0" w:firstLineChars="0"/>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新疆上市公司协会</w:t>
            </w:r>
          </w:p>
          <w:p w14:paraId="69B8F91F">
            <w:pPr>
              <w:pStyle w:val="13"/>
              <w:tabs>
                <w:tab w:val="left" w:pos="2418"/>
              </w:tabs>
              <w:spacing w:line="500" w:lineRule="exact"/>
              <w:ind w:left="0" w:leftChars="0" w:firstLine="0" w:firstLineChars="0"/>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证券时报、中国证券报、上海证券报（以上排名不分先后）</w:t>
            </w:r>
          </w:p>
        </w:tc>
      </w:tr>
      <w:tr w14:paraId="7D978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1930" w:type="dxa"/>
            <w:vAlign w:val="center"/>
          </w:tcPr>
          <w:p w14:paraId="74D6421D">
            <w:pPr>
              <w:pStyle w:val="13"/>
              <w:spacing w:line="500" w:lineRule="exact"/>
              <w:ind w:left="107"/>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时间</w:t>
            </w:r>
          </w:p>
        </w:tc>
        <w:tc>
          <w:tcPr>
            <w:tcW w:w="6595" w:type="dxa"/>
            <w:vAlign w:val="center"/>
          </w:tcPr>
          <w:p w14:paraId="48A0F509">
            <w:pPr>
              <w:pStyle w:val="13"/>
              <w:tabs>
                <w:tab w:val="left" w:pos="2418"/>
              </w:tabs>
              <w:spacing w:line="500" w:lineRule="exact"/>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2024年10月15日-16日</w:t>
            </w:r>
          </w:p>
        </w:tc>
      </w:tr>
      <w:tr w14:paraId="1283A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jc w:val="center"/>
        </w:trPr>
        <w:tc>
          <w:tcPr>
            <w:tcW w:w="1930" w:type="dxa"/>
            <w:vAlign w:val="center"/>
          </w:tcPr>
          <w:p w14:paraId="740DF712">
            <w:pPr>
              <w:pStyle w:val="13"/>
              <w:spacing w:line="500" w:lineRule="exact"/>
              <w:ind w:left="107"/>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地点</w:t>
            </w:r>
          </w:p>
        </w:tc>
        <w:tc>
          <w:tcPr>
            <w:tcW w:w="6595" w:type="dxa"/>
            <w:vAlign w:val="center"/>
          </w:tcPr>
          <w:p w14:paraId="041DDBD5">
            <w:pPr>
              <w:pStyle w:val="13"/>
              <w:tabs>
                <w:tab w:val="left" w:pos="2418"/>
              </w:tabs>
              <w:spacing w:line="500" w:lineRule="exact"/>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新疆哈密伊吾县淖毛湖广汇煤炭、煤化工基地</w:t>
            </w:r>
          </w:p>
        </w:tc>
      </w:tr>
      <w:tr w14:paraId="17E0E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3" w:hRule="atLeast"/>
          <w:jc w:val="center"/>
        </w:trPr>
        <w:tc>
          <w:tcPr>
            <w:tcW w:w="1930" w:type="dxa"/>
            <w:vAlign w:val="center"/>
          </w:tcPr>
          <w:p w14:paraId="07C8561C">
            <w:pPr>
              <w:pStyle w:val="13"/>
              <w:spacing w:line="500" w:lineRule="exact"/>
              <w:ind w:left="107"/>
              <w:jc w:val="center"/>
              <w:rPr>
                <w:rFonts w:ascii="宋体" w:hAnsi="宋体" w:eastAsia="宋体" w:cs="宋体"/>
                <w:b/>
                <w:bCs/>
                <w:sz w:val="24"/>
                <w:szCs w:val="24"/>
              </w:rPr>
            </w:pPr>
            <w:r>
              <w:rPr>
                <w:rFonts w:hint="eastAsia" w:ascii="宋体" w:hAnsi="宋体" w:eastAsia="宋体" w:cs="宋体"/>
                <w:b/>
                <w:bCs/>
                <w:sz w:val="24"/>
                <w:szCs w:val="24"/>
              </w:rPr>
              <w:t>上市公司接待</w:t>
            </w:r>
          </w:p>
          <w:p w14:paraId="7087A393">
            <w:pPr>
              <w:pStyle w:val="13"/>
              <w:spacing w:line="500" w:lineRule="exact"/>
              <w:ind w:left="107"/>
              <w:jc w:val="center"/>
              <w:rPr>
                <w:rFonts w:ascii="宋体" w:hAnsi="宋体" w:eastAsia="宋体" w:cs="宋体"/>
                <w:b/>
                <w:bCs/>
                <w:sz w:val="24"/>
                <w:szCs w:val="24"/>
              </w:rPr>
            </w:pPr>
            <w:r>
              <w:rPr>
                <w:rFonts w:hint="eastAsia" w:ascii="宋体" w:hAnsi="宋体" w:eastAsia="宋体" w:cs="宋体"/>
                <w:b/>
                <w:bCs/>
                <w:sz w:val="24"/>
                <w:szCs w:val="24"/>
              </w:rPr>
              <w:t>人员姓名</w:t>
            </w:r>
          </w:p>
        </w:tc>
        <w:tc>
          <w:tcPr>
            <w:tcW w:w="6595" w:type="dxa"/>
            <w:vAlign w:val="center"/>
          </w:tcPr>
          <w:p w14:paraId="3A170183">
            <w:pPr>
              <w:pStyle w:val="13"/>
              <w:tabs>
                <w:tab w:val="left" w:pos="2418"/>
              </w:tabs>
              <w:spacing w:line="500" w:lineRule="exac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广汇能源董事长 韩士发；</w:t>
            </w:r>
          </w:p>
          <w:p w14:paraId="00A2D4F9">
            <w:pPr>
              <w:pStyle w:val="13"/>
              <w:tabs>
                <w:tab w:val="left" w:pos="2418"/>
              </w:tabs>
              <w:spacing w:line="500" w:lineRule="exac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 xml:space="preserve">广汇能源副董事长 闫军；   </w:t>
            </w:r>
          </w:p>
          <w:p w14:paraId="30A17044">
            <w:pPr>
              <w:pStyle w:val="13"/>
              <w:tabs>
                <w:tab w:val="left" w:pos="2418"/>
              </w:tabs>
              <w:spacing w:line="500" w:lineRule="exac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广汇能源董事会秘书、副总经理 阳贤</w:t>
            </w:r>
          </w:p>
          <w:p w14:paraId="342729C0">
            <w:pPr>
              <w:pStyle w:val="13"/>
              <w:tabs>
                <w:tab w:val="left" w:pos="2418"/>
              </w:tabs>
              <w:spacing w:line="500" w:lineRule="exact"/>
              <w:rPr>
                <w:rFonts w:ascii="宋体" w:hAnsi="宋体" w:eastAsia="宋体" w:cs="宋体"/>
                <w:sz w:val="24"/>
                <w:szCs w:val="24"/>
                <w:lang w:val="en-US"/>
              </w:rPr>
            </w:pPr>
            <w:r>
              <w:rPr>
                <w:rFonts w:hint="eastAsia" w:ascii="宋体" w:hAnsi="宋体" w:eastAsia="宋体" w:cs="宋体"/>
                <w:color w:val="000000"/>
                <w:kern w:val="0"/>
                <w:sz w:val="22"/>
                <w:szCs w:val="22"/>
                <w:lang w:val="en-US" w:eastAsia="zh-CN" w:bidi="ar"/>
              </w:rPr>
              <w:t>证券部相关人员</w:t>
            </w:r>
          </w:p>
        </w:tc>
      </w:tr>
      <w:tr w14:paraId="048CB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jc w:val="center"/>
        </w:trPr>
        <w:tc>
          <w:tcPr>
            <w:tcW w:w="1930" w:type="dxa"/>
          </w:tcPr>
          <w:p w14:paraId="1CCBD7EA">
            <w:pPr>
              <w:pStyle w:val="13"/>
              <w:spacing w:line="500" w:lineRule="exact"/>
              <w:jc w:val="center"/>
              <w:rPr>
                <w:rFonts w:ascii="宋体" w:hAnsi="宋体" w:eastAsia="宋体" w:cs="宋体"/>
                <w:b/>
                <w:bCs/>
                <w:sz w:val="24"/>
                <w:szCs w:val="24"/>
              </w:rPr>
            </w:pPr>
          </w:p>
          <w:p w14:paraId="743EE7CE">
            <w:pPr>
              <w:pStyle w:val="13"/>
              <w:spacing w:line="500" w:lineRule="exact"/>
              <w:jc w:val="center"/>
              <w:rPr>
                <w:rFonts w:ascii="宋体" w:hAnsi="宋体" w:eastAsia="宋体" w:cs="宋体"/>
                <w:b/>
                <w:bCs/>
                <w:sz w:val="24"/>
                <w:szCs w:val="24"/>
              </w:rPr>
            </w:pPr>
          </w:p>
          <w:p w14:paraId="1D3DAC3A">
            <w:pPr>
              <w:pStyle w:val="13"/>
              <w:spacing w:line="500" w:lineRule="exact"/>
              <w:jc w:val="center"/>
              <w:rPr>
                <w:rFonts w:ascii="宋体" w:hAnsi="宋体" w:eastAsia="宋体" w:cs="宋体"/>
                <w:b/>
                <w:bCs/>
                <w:sz w:val="24"/>
                <w:szCs w:val="24"/>
              </w:rPr>
            </w:pPr>
          </w:p>
          <w:p w14:paraId="4CC7EFBE">
            <w:pPr>
              <w:pStyle w:val="13"/>
              <w:spacing w:line="500" w:lineRule="exact"/>
              <w:jc w:val="center"/>
              <w:rPr>
                <w:rFonts w:ascii="宋体" w:hAnsi="宋体" w:eastAsia="宋体" w:cs="宋体"/>
                <w:b/>
                <w:bCs/>
                <w:sz w:val="24"/>
                <w:szCs w:val="24"/>
              </w:rPr>
            </w:pPr>
          </w:p>
          <w:p w14:paraId="43CDD8CD">
            <w:pPr>
              <w:pStyle w:val="13"/>
              <w:spacing w:line="500" w:lineRule="exact"/>
              <w:jc w:val="center"/>
              <w:rPr>
                <w:rFonts w:ascii="宋体" w:hAnsi="宋体" w:eastAsia="宋体" w:cs="宋体"/>
                <w:b/>
                <w:bCs/>
                <w:sz w:val="24"/>
                <w:szCs w:val="24"/>
              </w:rPr>
            </w:pPr>
          </w:p>
          <w:p w14:paraId="3538BB25">
            <w:pPr>
              <w:pStyle w:val="13"/>
              <w:spacing w:line="500" w:lineRule="exact"/>
              <w:jc w:val="center"/>
              <w:rPr>
                <w:rFonts w:ascii="宋体" w:hAnsi="宋体" w:eastAsia="宋体" w:cs="宋体"/>
                <w:b/>
                <w:bCs/>
                <w:sz w:val="24"/>
                <w:szCs w:val="24"/>
              </w:rPr>
            </w:pPr>
          </w:p>
          <w:p w14:paraId="1F2680EC">
            <w:pPr>
              <w:pStyle w:val="13"/>
              <w:spacing w:line="500" w:lineRule="exact"/>
              <w:jc w:val="center"/>
              <w:rPr>
                <w:rFonts w:ascii="宋体" w:hAnsi="宋体" w:eastAsia="宋体" w:cs="宋体"/>
                <w:b/>
                <w:bCs/>
                <w:sz w:val="24"/>
                <w:szCs w:val="24"/>
              </w:rPr>
            </w:pPr>
          </w:p>
          <w:p w14:paraId="20CC1BCA">
            <w:pPr>
              <w:pStyle w:val="13"/>
              <w:spacing w:line="500" w:lineRule="exact"/>
              <w:jc w:val="center"/>
              <w:rPr>
                <w:rFonts w:ascii="宋体" w:hAnsi="宋体" w:eastAsia="宋体" w:cs="宋体"/>
                <w:b/>
                <w:bCs/>
                <w:sz w:val="24"/>
                <w:szCs w:val="24"/>
              </w:rPr>
            </w:pPr>
          </w:p>
          <w:p w14:paraId="17A6B181">
            <w:pPr>
              <w:pStyle w:val="13"/>
              <w:spacing w:line="500" w:lineRule="exact"/>
              <w:jc w:val="center"/>
              <w:rPr>
                <w:rFonts w:ascii="宋体" w:hAnsi="宋体" w:eastAsia="宋体" w:cs="宋体"/>
                <w:b/>
                <w:bCs/>
                <w:sz w:val="24"/>
                <w:szCs w:val="24"/>
              </w:rPr>
            </w:pPr>
          </w:p>
          <w:p w14:paraId="1E45C64A">
            <w:pPr>
              <w:pStyle w:val="13"/>
              <w:spacing w:line="500" w:lineRule="exact"/>
              <w:ind w:left="107" w:right="96"/>
              <w:jc w:val="center"/>
              <w:rPr>
                <w:rFonts w:ascii="宋体" w:hAnsi="宋体" w:eastAsia="宋体" w:cs="宋体"/>
                <w:b/>
                <w:bCs/>
                <w:sz w:val="24"/>
                <w:szCs w:val="24"/>
              </w:rPr>
            </w:pPr>
            <w:r>
              <w:rPr>
                <w:rFonts w:hint="eastAsia" w:ascii="宋体" w:hAnsi="宋体" w:eastAsia="宋体" w:cs="宋体"/>
                <w:b/>
                <w:bCs/>
                <w:sz w:val="24"/>
                <w:szCs w:val="24"/>
              </w:rPr>
              <w:t>投资者关系活动</w:t>
            </w:r>
          </w:p>
          <w:p w14:paraId="2346CBEB">
            <w:pPr>
              <w:pStyle w:val="13"/>
              <w:spacing w:line="500" w:lineRule="exact"/>
              <w:ind w:left="107" w:right="96"/>
              <w:jc w:val="center"/>
              <w:rPr>
                <w:rFonts w:ascii="宋体" w:hAnsi="宋体" w:eastAsia="宋体" w:cs="宋体"/>
                <w:b/>
                <w:bCs/>
                <w:sz w:val="24"/>
                <w:szCs w:val="24"/>
              </w:rPr>
            </w:pPr>
            <w:r>
              <w:rPr>
                <w:rFonts w:hint="eastAsia" w:ascii="宋体" w:hAnsi="宋体" w:eastAsia="宋体" w:cs="宋体"/>
                <w:b/>
                <w:bCs/>
                <w:sz w:val="24"/>
                <w:szCs w:val="24"/>
              </w:rPr>
              <w:t>主要内容介绍</w:t>
            </w:r>
          </w:p>
        </w:tc>
        <w:tc>
          <w:tcPr>
            <w:tcW w:w="6595" w:type="dxa"/>
          </w:tcPr>
          <w:p w14:paraId="6EDAF732">
            <w:pPr>
              <w:pStyle w:val="13"/>
              <w:tabs>
                <w:tab w:val="left" w:pos="0"/>
              </w:tabs>
              <w:spacing w:line="420" w:lineRule="exact"/>
              <w:jc w:val="both"/>
              <w:rPr>
                <w:rFonts w:ascii="宋体" w:hAnsi="宋体" w:eastAsia="宋体" w:cs="宋体"/>
                <w:b/>
                <w:bCs/>
                <w:sz w:val="24"/>
                <w:szCs w:val="24"/>
                <w:lang w:val="en-US"/>
              </w:rPr>
            </w:pPr>
            <w:r>
              <w:rPr>
                <w:rFonts w:hint="eastAsia" w:ascii="宋体" w:hAnsi="宋体" w:eastAsia="宋体" w:cs="宋体"/>
                <w:b/>
                <w:bCs/>
                <w:sz w:val="24"/>
                <w:szCs w:val="24"/>
                <w:lang w:val="en-US"/>
              </w:rPr>
              <w:t>1.煤炭行业的发展趋势如何？与公司煤炭战略是否匹配？</w:t>
            </w:r>
          </w:p>
          <w:p w14:paraId="44DBDF25">
            <w:pPr>
              <w:pStyle w:val="13"/>
              <w:tabs>
                <w:tab w:val="left" w:pos="0"/>
              </w:tabs>
              <w:spacing w:line="420" w:lineRule="exact"/>
              <w:jc w:val="both"/>
              <w:rPr>
                <w:rFonts w:hint="eastAsia" w:ascii="宋体" w:hAnsi="宋体" w:eastAsia="宋体" w:cs="宋体"/>
                <w:sz w:val="24"/>
                <w:szCs w:val="24"/>
              </w:rPr>
            </w:pPr>
            <w:r>
              <w:rPr>
                <w:rFonts w:hint="eastAsia" w:ascii="宋体" w:hAnsi="宋体" w:eastAsia="宋体" w:cs="宋体"/>
                <w:sz w:val="24"/>
                <w:szCs w:val="24"/>
              </w:rPr>
              <w:t>回复：煤炭是我国的主体能源，在能源保供中发挥着“压舱石”和“稳定器”的重要作用。面对严峻复杂的国际能源形势和较大的国内能源保供压力，预计很长一段期间内，煤炭仍然是我国自主可控、具有自然优势的能源资源，是我国确保能源安全稳定供应和国际能源市场话语权的根基。</w:t>
            </w:r>
            <w:r>
              <w:rPr>
                <w:rFonts w:ascii="宋体" w:hAnsi="宋体" w:eastAsia="宋体" w:cs="宋体"/>
                <w:sz w:val="24"/>
                <w:szCs w:val="24"/>
              </w:rPr>
              <w:t>受制于资源和开采条件限制，</w:t>
            </w:r>
            <w:r>
              <w:rPr>
                <w:rFonts w:hint="eastAsia" w:ascii="宋体" w:hAnsi="宋体" w:eastAsia="宋体" w:cs="宋体"/>
                <w:sz w:val="24"/>
                <w:szCs w:val="24"/>
              </w:rPr>
              <w:t>我国</w:t>
            </w:r>
            <w:r>
              <w:rPr>
                <w:rFonts w:ascii="宋体" w:hAnsi="宋体" w:eastAsia="宋体" w:cs="宋体"/>
                <w:sz w:val="24"/>
                <w:szCs w:val="24"/>
              </w:rPr>
              <w:t>中东部及西南地区</w:t>
            </w:r>
            <w:r>
              <w:rPr>
                <w:rFonts w:hint="eastAsia" w:ascii="宋体" w:hAnsi="宋体" w:eastAsia="宋体" w:cs="宋体"/>
                <w:sz w:val="24"/>
                <w:szCs w:val="24"/>
              </w:rPr>
              <w:t>煤炭供应有所</w:t>
            </w:r>
            <w:r>
              <w:rPr>
                <w:rFonts w:ascii="宋体" w:hAnsi="宋体" w:eastAsia="宋体" w:cs="宋体"/>
                <w:sz w:val="24"/>
                <w:szCs w:val="24"/>
              </w:rPr>
              <w:t>趋降</w:t>
            </w:r>
            <w:r>
              <w:rPr>
                <w:rFonts w:hint="eastAsia" w:ascii="宋体" w:hAnsi="宋体" w:eastAsia="宋体" w:cs="宋体"/>
                <w:sz w:val="24"/>
                <w:szCs w:val="24"/>
              </w:rPr>
              <w:t>，加之我国产业重心西移，新疆凭借丰富的资源优势，拥有极大的增产扩能潜力，成为了我国煤炭战略性接续区和储备区，成为了与储量匹配、国内重要的煤炭战略保障基地。“十四五”规划纲要中已明确赋予新疆 “三基地一通道”建设的工作职能，新疆</w:t>
            </w:r>
            <w:r>
              <w:rPr>
                <w:rFonts w:ascii="宋体" w:hAnsi="宋体" w:eastAsia="宋体" w:cs="宋体"/>
                <w:sz w:val="24"/>
                <w:szCs w:val="24"/>
              </w:rPr>
              <w:t>政府工作报告中</w:t>
            </w:r>
            <w:r>
              <w:rPr>
                <w:rFonts w:hint="eastAsia" w:ascii="宋体" w:hAnsi="宋体" w:eastAsia="宋体" w:cs="宋体"/>
                <w:sz w:val="24"/>
                <w:szCs w:val="24"/>
              </w:rPr>
              <w:t>也</w:t>
            </w:r>
            <w:r>
              <w:rPr>
                <w:rFonts w:ascii="宋体" w:hAnsi="宋体" w:eastAsia="宋体" w:cs="宋体"/>
                <w:sz w:val="24"/>
                <w:szCs w:val="24"/>
              </w:rPr>
              <w:t>提出“</w:t>
            </w:r>
            <w:r>
              <w:rPr>
                <w:rFonts w:hint="eastAsia" w:ascii="宋体" w:hAnsi="宋体" w:eastAsia="宋体" w:cs="宋体"/>
                <w:sz w:val="24"/>
                <w:szCs w:val="24"/>
              </w:rPr>
              <w:t>九</w:t>
            </w:r>
            <w:r>
              <w:rPr>
                <w:rFonts w:ascii="宋体" w:hAnsi="宋体" w:eastAsia="宋体" w:cs="宋体"/>
                <w:sz w:val="24"/>
                <w:szCs w:val="24"/>
              </w:rPr>
              <w:t>大产业集群”</w:t>
            </w:r>
            <w:r>
              <w:rPr>
                <w:rFonts w:hint="eastAsia" w:ascii="宋体" w:hAnsi="宋体" w:eastAsia="宋体" w:cs="宋体"/>
                <w:sz w:val="24"/>
                <w:szCs w:val="24"/>
              </w:rPr>
              <w:t>，推进“疆煤外运”北、中、南通道扩能提升，推动哈密国家级现代能源与化工产业示范区建设，构建以煤炭清洁高效利用为核心的循环产业链，由此新疆煤炭煤电煤化工和煤炭物流产业将迎来较大的发展机遇。</w:t>
            </w:r>
          </w:p>
          <w:p w14:paraId="3334B8B8">
            <w:pPr>
              <w:pStyle w:val="13"/>
              <w:tabs>
                <w:tab w:val="left" w:pos="0"/>
              </w:tabs>
              <w:spacing w:line="420" w:lineRule="exact"/>
              <w:jc w:val="both"/>
              <w:rPr>
                <w:rFonts w:ascii="宋体" w:hAnsi="宋体" w:eastAsia="宋体" w:cs="宋体"/>
                <w:sz w:val="24"/>
                <w:szCs w:val="24"/>
              </w:rPr>
            </w:pPr>
            <w:r>
              <w:rPr>
                <w:rFonts w:hint="eastAsia" w:ascii="宋体" w:hAnsi="宋体" w:eastAsia="宋体" w:cs="宋体"/>
                <w:sz w:val="24"/>
                <w:szCs w:val="24"/>
              </w:rPr>
              <w:t>公司现拥有煤炭资源储量65.97亿吨，总体呈现开采难度低、成本低和安全程度高的“两低一高”优势，煤矿地处新疆“东大门”哈密，占据了“疆煤东运”的有利区位，且拥有自建的公路、铁路物流运输通道，形成了公司独有的资源优势、品质优势、通道优势、区位优势“四大核心优势”，同时，已成功打造了一个先进、成熟的数百亿投资的淖毛湖煤炭煤化工基地。在国家推动疆煤外运及新疆全力打造我国能源资源战略保障基地的背景下，未来公司仍将全面贯彻新发展理念，依托自身丰富的资源优势，加快推进煤炭优质产能释放并进一步延伸产业链、提升产品附加值，积极构建产业链、价值链、供应链互相融合的生态体系。公司煤炭战略发展规划完全与国家有关煤炭发展政策性指导趋势一致，公司可积极为国内日益增长的能源需求作出一份贡献。</w:t>
            </w:r>
          </w:p>
          <w:p w14:paraId="7114613E">
            <w:pPr>
              <w:pStyle w:val="13"/>
              <w:tabs>
                <w:tab w:val="left" w:pos="0"/>
              </w:tabs>
              <w:spacing w:line="420" w:lineRule="exact"/>
              <w:jc w:val="both"/>
              <w:rPr>
                <w:rFonts w:ascii="宋体" w:hAnsi="宋体" w:eastAsia="宋体" w:cs="宋体"/>
                <w:sz w:val="24"/>
                <w:szCs w:val="24"/>
              </w:rPr>
            </w:pPr>
          </w:p>
          <w:p w14:paraId="709E52B1">
            <w:pPr>
              <w:pStyle w:val="13"/>
              <w:tabs>
                <w:tab w:val="left" w:pos="0"/>
              </w:tabs>
              <w:spacing w:line="420" w:lineRule="exact"/>
              <w:jc w:val="both"/>
              <w:rPr>
                <w:rFonts w:ascii="宋体" w:hAnsi="宋体" w:eastAsia="宋体" w:cs="宋体"/>
                <w:b/>
                <w:bCs/>
                <w:sz w:val="24"/>
                <w:szCs w:val="24"/>
              </w:rPr>
            </w:pPr>
            <w:r>
              <w:rPr>
                <w:rFonts w:hint="eastAsia" w:ascii="宋体" w:hAnsi="宋体" w:eastAsia="宋体" w:cs="宋体"/>
                <w:b/>
                <w:bCs/>
                <w:sz w:val="24"/>
                <w:szCs w:val="24"/>
                <w:lang w:val="en-US"/>
              </w:rPr>
              <w:t>2.公司煤化工板块后续规划是什么？</w:t>
            </w:r>
          </w:p>
          <w:p w14:paraId="320E5AA8">
            <w:pPr>
              <w:pStyle w:val="13"/>
              <w:tabs>
                <w:tab w:val="left" w:pos="0"/>
              </w:tabs>
              <w:spacing w:line="420" w:lineRule="exact"/>
              <w:jc w:val="both"/>
              <w:rPr>
                <w:rFonts w:hint="eastAsia" w:ascii="宋体" w:hAnsi="宋体" w:eastAsia="宋体" w:cs="宋体"/>
                <w:sz w:val="24"/>
                <w:szCs w:val="24"/>
              </w:rPr>
            </w:pPr>
            <w:r>
              <w:rPr>
                <w:rFonts w:hint="eastAsia" w:ascii="宋体" w:hAnsi="宋体" w:eastAsia="宋体" w:cs="宋体"/>
                <w:sz w:val="24"/>
                <w:szCs w:val="24"/>
              </w:rPr>
              <w:t>回复：公司近年来积极响应国家“三基地一通道”规划建设等政策性指导，在立足资源优势、加大疆煤外运的同时，以煤炭为基础、新能源为方向加快发展，积极探索勾勒煤化工发展新版图，现公司以煤炭清洁高效利用为核心的煤化工产业基地已逐步建立完成，有年产120万吨甲醇联产7亿方LNG、1000万吨/年煤炭分级提质</w:t>
            </w:r>
            <w:r>
              <w:rPr>
                <w:rFonts w:hint="eastAsia" w:ascii="宋体" w:hAnsi="宋体" w:eastAsia="宋体" w:cs="宋体"/>
                <w:sz w:val="24"/>
                <w:szCs w:val="24"/>
                <w:lang w:val="en-US" w:eastAsia="zh-CN"/>
              </w:rPr>
              <w:t>综合利用</w:t>
            </w:r>
            <w:r>
              <w:rPr>
                <w:rFonts w:hint="eastAsia" w:ascii="宋体" w:hAnsi="宋体" w:eastAsia="宋体" w:cs="宋体"/>
                <w:sz w:val="24"/>
                <w:szCs w:val="24"/>
              </w:rPr>
              <w:t>、年产40万吨荒煤气</w:t>
            </w:r>
            <w:r>
              <w:rPr>
                <w:rFonts w:hint="eastAsia" w:ascii="宋体" w:hAnsi="宋体" w:eastAsia="宋体" w:cs="宋体"/>
                <w:sz w:val="24"/>
                <w:szCs w:val="24"/>
                <w:lang w:val="en-US" w:eastAsia="zh-CN"/>
              </w:rPr>
              <w:t>综合利用</w:t>
            </w:r>
            <w:r>
              <w:rPr>
                <w:rFonts w:hint="eastAsia" w:ascii="宋体" w:hAnsi="宋体" w:eastAsia="宋体" w:cs="宋体"/>
                <w:sz w:val="24"/>
                <w:szCs w:val="24"/>
              </w:rPr>
              <w:t>制乙二醇及60万吨/年煤焦油加氢等煤化工项目，直接实现了煤炭资源的就地转化。随着现行公司煤炭增量的持续提升，公司仍高度关注煤化工产业发展的新机遇，提前对煤化工项目进行布局，将逐步实现煤炭从</w:t>
            </w:r>
            <w:r>
              <w:rPr>
                <w:rFonts w:hint="eastAsia" w:ascii="宋体" w:hAnsi="宋体" w:eastAsia="宋体" w:cs="宋体"/>
                <w:sz w:val="24"/>
                <w:szCs w:val="24"/>
                <w:lang w:val="en-US" w:eastAsia="zh-CN"/>
              </w:rPr>
              <w:t>燃料</w:t>
            </w:r>
            <w:r>
              <w:rPr>
                <w:rFonts w:hint="eastAsia" w:ascii="宋体" w:hAnsi="宋体" w:eastAsia="宋体" w:cs="宋体"/>
                <w:sz w:val="24"/>
                <w:szCs w:val="24"/>
              </w:rPr>
              <w:t>向</w:t>
            </w:r>
            <w:r>
              <w:rPr>
                <w:rFonts w:hint="eastAsia" w:ascii="宋体" w:hAnsi="宋体" w:eastAsia="宋体" w:cs="宋体"/>
                <w:sz w:val="24"/>
                <w:szCs w:val="24"/>
                <w:lang w:val="en-US" w:eastAsia="zh-CN"/>
              </w:rPr>
              <w:t>原料转变</w:t>
            </w:r>
            <w:r>
              <w:rPr>
                <w:rFonts w:hint="eastAsia" w:ascii="宋体" w:hAnsi="宋体" w:eastAsia="宋体" w:cs="宋体"/>
                <w:sz w:val="24"/>
                <w:szCs w:val="24"/>
              </w:rPr>
              <w:t>。公司目前正筹备建设的“伊吾广汇 1500 万吨/年煤炭分质分级利用示范项目”属于公司第二个煤炭分质分级利用项目，项目除生产提质煤外，还对热解煤气进行加工，获取煤焦油的同时联产出 LNG、燃料电池氢气等多种产品，可充分发挥产业资源优势，且联动 CCUS、氢能等项目协同发展，最大化延伸产品产业链，提高产品附加值和经济价值。公司未来持续平衡发展煤炭和煤化工板块，将推进实现煤炭增量供应及下游销售市场布局的有序衔接，在现代煤化工等方面培育新的增长点，</w:t>
            </w:r>
            <w:r>
              <w:rPr>
                <w:rFonts w:hint="eastAsia" w:ascii="宋体" w:hAnsi="宋体" w:eastAsia="宋体" w:cs="宋体"/>
                <w:sz w:val="24"/>
                <w:szCs w:val="24"/>
                <w:lang w:val="en-US" w:eastAsia="zh-CN"/>
              </w:rPr>
              <w:t>重点</w:t>
            </w:r>
            <w:r>
              <w:rPr>
                <w:rFonts w:hint="eastAsia" w:ascii="宋体" w:hAnsi="宋体" w:eastAsia="宋体" w:cs="宋体"/>
                <w:sz w:val="24"/>
                <w:szCs w:val="24"/>
              </w:rPr>
              <w:t>打造出传统煤化工向现代煤化工、现代煤化工向新能源和氢能“两个耦合”发展的新局面。</w:t>
            </w:r>
          </w:p>
          <w:p w14:paraId="2C4EBEC6">
            <w:pPr>
              <w:pStyle w:val="13"/>
              <w:tabs>
                <w:tab w:val="left" w:pos="0"/>
              </w:tabs>
              <w:spacing w:line="420" w:lineRule="exact"/>
              <w:jc w:val="both"/>
              <w:rPr>
                <w:rFonts w:ascii="宋体" w:hAnsi="宋体" w:eastAsia="宋体" w:cs="宋体"/>
                <w:sz w:val="24"/>
                <w:szCs w:val="24"/>
              </w:rPr>
            </w:pPr>
          </w:p>
          <w:p w14:paraId="401E0C53">
            <w:pPr>
              <w:pStyle w:val="13"/>
              <w:tabs>
                <w:tab w:val="left" w:pos="0"/>
              </w:tabs>
              <w:spacing w:line="420" w:lineRule="exact"/>
              <w:jc w:val="both"/>
              <w:rPr>
                <w:rFonts w:ascii="宋体" w:hAnsi="宋体" w:eastAsia="宋体" w:cs="宋体"/>
                <w:b/>
                <w:bCs/>
                <w:sz w:val="24"/>
                <w:szCs w:val="24"/>
              </w:rPr>
            </w:pPr>
            <w:r>
              <w:rPr>
                <w:rFonts w:hint="eastAsia" w:ascii="宋体" w:hAnsi="宋体" w:eastAsia="宋体" w:cs="宋体"/>
                <w:b/>
                <w:bCs/>
                <w:sz w:val="24"/>
                <w:szCs w:val="24"/>
                <w:lang w:val="en-US"/>
              </w:rPr>
              <w:t xml:space="preserve">3.公司启东码头项目现有什么规划？LNG贸易方面是否采取有关措施？ </w:t>
            </w:r>
          </w:p>
          <w:p w14:paraId="16E41A1C">
            <w:pPr>
              <w:pStyle w:val="13"/>
              <w:tabs>
                <w:tab w:val="left" w:pos="0"/>
              </w:tabs>
              <w:spacing w:line="420" w:lineRule="exact"/>
              <w:jc w:val="both"/>
              <w:rPr>
                <w:rFonts w:hint="eastAsia" w:ascii="宋体" w:hAnsi="宋体" w:eastAsia="宋体" w:cs="宋体"/>
                <w:sz w:val="24"/>
                <w:szCs w:val="24"/>
              </w:rPr>
            </w:pPr>
            <w:r>
              <w:rPr>
                <w:rFonts w:hint="eastAsia" w:ascii="宋体" w:hAnsi="宋体" w:eastAsia="宋体" w:cs="宋体"/>
                <w:sz w:val="24"/>
                <w:szCs w:val="24"/>
              </w:rPr>
              <w:t>回复：截至目前，公司启东LNG接收站项目已建成一座可接收国际主流LNG船型的码头、6座LNG储罐合计82万方罐容及相关配套设施（含引桥、海水气化装置及外输天然气管道），形成超过600万吨/年的接收周转能力。公司目前正在推进对接收站进行扩能改造相关工作，规划建设实施2#LNG码头项目，新建1座18.5万m³LNG接卸船泊位及配套LNG储罐和工艺辅助设施，项目建成后码头接收周转能力将进一步提升至1000万吨/年。</w:t>
            </w:r>
          </w:p>
          <w:p w14:paraId="298C8A87">
            <w:pPr>
              <w:pStyle w:val="13"/>
              <w:tabs>
                <w:tab w:val="left" w:pos="0"/>
              </w:tabs>
              <w:spacing w:line="420" w:lineRule="exact"/>
              <w:jc w:val="both"/>
              <w:rPr>
                <w:rFonts w:hint="eastAsia" w:ascii="宋体" w:hAnsi="宋体" w:eastAsia="宋体" w:cs="宋体"/>
                <w:sz w:val="24"/>
                <w:szCs w:val="24"/>
              </w:rPr>
            </w:pPr>
            <w:r>
              <w:rPr>
                <w:rFonts w:hint="eastAsia" w:ascii="宋体" w:hAnsi="宋体" w:eastAsia="宋体" w:cs="宋体"/>
                <w:sz w:val="24"/>
                <w:szCs w:val="24"/>
              </w:rPr>
              <w:t xml:space="preserve">    面对现行天然气国际、国内市场形势，公司启东 LNG 接收站主动调整了业务结构，缩减贸易规模，加强成本管控，精准研判国内外LNG价格变动趋势，高效统筹两个市场的销售端应用，获取利差最大化，实现当期业务的平稳发展。</w:t>
            </w:r>
          </w:p>
          <w:p w14:paraId="72DEE59F">
            <w:pPr>
              <w:pStyle w:val="13"/>
              <w:tabs>
                <w:tab w:val="left" w:pos="0"/>
              </w:tabs>
              <w:spacing w:line="420" w:lineRule="exact"/>
              <w:jc w:val="both"/>
              <w:rPr>
                <w:rFonts w:ascii="宋体" w:hAnsi="宋体" w:eastAsia="宋体" w:cs="宋体"/>
                <w:sz w:val="24"/>
                <w:szCs w:val="24"/>
                <w:lang w:val="en-US"/>
              </w:rPr>
            </w:pPr>
          </w:p>
          <w:p w14:paraId="25B19AF1">
            <w:pPr>
              <w:pStyle w:val="13"/>
              <w:tabs>
                <w:tab w:val="left" w:pos="0"/>
              </w:tabs>
              <w:spacing w:line="420" w:lineRule="exact"/>
              <w:jc w:val="both"/>
              <w:rPr>
                <w:rFonts w:ascii="宋体" w:hAnsi="宋体" w:eastAsia="宋体" w:cs="宋体"/>
                <w:sz w:val="24"/>
                <w:szCs w:val="24"/>
                <w:lang w:val="en-US"/>
              </w:rPr>
            </w:pPr>
          </w:p>
          <w:p w14:paraId="0CB8CA41">
            <w:pPr>
              <w:pStyle w:val="13"/>
              <w:tabs>
                <w:tab w:val="left" w:pos="0"/>
              </w:tabs>
              <w:spacing w:line="420" w:lineRule="exact"/>
              <w:jc w:val="both"/>
              <w:rPr>
                <w:rFonts w:ascii="宋体" w:hAnsi="宋体" w:eastAsia="宋体" w:cs="宋体"/>
                <w:b/>
                <w:bCs/>
                <w:sz w:val="24"/>
                <w:szCs w:val="24"/>
              </w:rPr>
            </w:pPr>
            <w:r>
              <w:rPr>
                <w:rFonts w:hint="eastAsia" w:ascii="宋体" w:hAnsi="宋体" w:eastAsia="宋体" w:cs="宋体"/>
                <w:b/>
                <w:bCs/>
                <w:sz w:val="24"/>
                <w:szCs w:val="24"/>
                <w:lang w:val="en-US"/>
              </w:rPr>
              <w:t>4.</w:t>
            </w:r>
            <w:r>
              <w:rPr>
                <w:rFonts w:hint="eastAsia" w:ascii="宋体" w:hAnsi="宋体" w:eastAsia="宋体" w:cs="宋体"/>
                <w:b/>
                <w:bCs/>
                <w:sz w:val="24"/>
                <w:szCs w:val="24"/>
              </w:rPr>
              <w:t>公司煤炭未来的销售定位是什么？</w:t>
            </w:r>
          </w:p>
          <w:p w14:paraId="728B3271">
            <w:pPr>
              <w:pStyle w:val="13"/>
              <w:tabs>
                <w:tab w:val="left" w:pos="0"/>
              </w:tabs>
              <w:spacing w:line="420" w:lineRule="exact"/>
              <w:jc w:val="both"/>
              <w:rPr>
                <w:rFonts w:hint="eastAsia" w:ascii="宋体" w:hAnsi="宋体" w:eastAsia="宋体" w:cs="宋体"/>
                <w:sz w:val="24"/>
                <w:szCs w:val="24"/>
              </w:rPr>
            </w:pPr>
            <w:r>
              <w:rPr>
                <w:rFonts w:hint="eastAsia" w:ascii="宋体" w:hAnsi="宋体" w:eastAsia="宋体" w:cs="宋体"/>
                <w:sz w:val="24"/>
                <w:szCs w:val="24"/>
              </w:rPr>
              <w:t>回复：随着我国油气对外依存度提升和中东部产煤省煤炭产量逐步下滑，国内煤炭市场现行及未来很长一段时间内均将会维持紧平衡的发展态势。在此新形势下，基于国家保障能源安全相关政策性指导及支持，新疆充分发挥区域能源资源禀赋优势，积极打造全国能源资源战略保障基地，加大油气、战略性矿产资源勘探开发力度，增产能、增产量、增外送，逐步释放优质煤炭产能，统筹疆内保供和疆外市场需求，成为我国重要的能源接替区和战略能源储备区。至此，公司依托自身拥有的资源、品质、通道及区域四大优势，一方面加大疆煤外运的增量，除在新疆、甘肃等传统煤炭市场之外，积极开拓宁、川、渝、云、贵、鲁等地煤炭市场，加强无烟喷吹煤及高热值动力煤销售，采用公铁联发进一步扩大公司的煤炭销售市场半径。另一方面加大就地资源转化，积极响应国家“双碳”战略及“高碳能源低碳化利用”等相关政策指引，公司依托自有煤炭高油气含量的资源禀赋及现有煤炭煤化工产业集群优势，推进煤炭分级分质利用延伸产品产业链发展，通过区域投建煤炭清洁高效利用项目进一步实现煤炭的清洁、高效、低碳转化，进一步加速促进煤炭由资源优势就地转化成经济优势，增加区域煤炭销售量，兼具经济、社会及环境等多重效益。</w:t>
            </w:r>
          </w:p>
          <w:p w14:paraId="013B71A1">
            <w:pPr>
              <w:pStyle w:val="13"/>
              <w:tabs>
                <w:tab w:val="left" w:pos="0"/>
              </w:tabs>
              <w:spacing w:line="420" w:lineRule="exact"/>
              <w:jc w:val="both"/>
              <w:rPr>
                <w:rFonts w:ascii="宋体" w:hAnsi="宋体" w:eastAsia="宋体" w:cs="宋体"/>
                <w:sz w:val="24"/>
                <w:szCs w:val="24"/>
              </w:rPr>
            </w:pPr>
          </w:p>
          <w:p w14:paraId="59E26D7D">
            <w:pPr>
              <w:pStyle w:val="13"/>
              <w:tabs>
                <w:tab w:val="left" w:pos="0"/>
              </w:tabs>
              <w:spacing w:line="420" w:lineRule="exact"/>
              <w:jc w:val="both"/>
              <w:rPr>
                <w:rFonts w:ascii="宋体" w:hAnsi="宋体" w:eastAsia="宋体" w:cs="宋体"/>
                <w:b/>
                <w:bCs/>
                <w:sz w:val="24"/>
                <w:szCs w:val="24"/>
              </w:rPr>
            </w:pPr>
            <w:r>
              <w:rPr>
                <w:rFonts w:hint="eastAsia" w:ascii="宋体" w:hAnsi="宋体" w:eastAsia="宋体" w:cs="宋体"/>
                <w:b/>
                <w:bCs/>
                <w:sz w:val="24"/>
                <w:szCs w:val="24"/>
                <w:lang w:val="en-US"/>
              </w:rPr>
              <w:t>5.公司哈萨克斯坦斋桑油田项目的开发进展如何？</w:t>
            </w:r>
          </w:p>
          <w:p w14:paraId="62BF0B89">
            <w:pPr>
              <w:pStyle w:val="13"/>
              <w:tabs>
                <w:tab w:val="left" w:pos="0"/>
              </w:tabs>
              <w:spacing w:line="420" w:lineRule="exact"/>
              <w:jc w:val="both"/>
              <w:rPr>
                <w:rFonts w:ascii="宋体" w:hAnsi="宋体" w:eastAsia="宋体" w:cs="宋体"/>
                <w:sz w:val="24"/>
                <w:szCs w:val="24"/>
              </w:rPr>
            </w:pPr>
            <w:r>
              <w:rPr>
                <w:rFonts w:hint="eastAsia" w:ascii="宋体" w:hAnsi="宋体" w:eastAsia="宋体" w:cs="宋体"/>
                <w:sz w:val="24"/>
                <w:szCs w:val="24"/>
              </w:rPr>
              <w:t>回复：公司斋桑油气田拥有探明天然气可采储量52.83亿立方米，原油地质储量超6亿吨，斋桑油气田开发包括天然气开发和原油开发。在项目开发初期，公司对项目勘探开发的战略安排是“先采气后采油，自产气、油接替回运”。目前该项目天然气开发工作已基本完成，累计向国内输送天然气34.22亿方。2021年以来，公司斋桑油气田逐步由天然气开采向原油开采为主过渡。目前，公司按照井位设计—开发方式设计—确定方案—正式开钻打井的工作流程，正在加快推进原油资源开发相关工作。一是原油开发工作，目前公司已完成两口开发井的完钻工作，油层显示良好，待两口井稳定生产并取得相关数据后，将进行规模化开发。二是持续开展油田增储，2024年4月-6月，公司连续开展了两口深层井的钻井工作，目前两口井均已完钻，后续将结合两口井的勘探情况在现有储量基础上继续拓展优质储量规模，为产能建设打好基础。此外，公司2024年原油进口配额已获批，目前正在加快推进原油进口手续办理及相关地面设施建设工作，配合勘探开发进展尽快实现原油进口加工。</w:t>
            </w:r>
          </w:p>
          <w:p w14:paraId="134F9D7C">
            <w:pPr>
              <w:pStyle w:val="13"/>
              <w:tabs>
                <w:tab w:val="left" w:pos="0"/>
              </w:tabs>
              <w:spacing w:line="420" w:lineRule="exact"/>
              <w:jc w:val="both"/>
              <w:rPr>
                <w:rFonts w:ascii="宋体" w:hAnsi="宋体" w:eastAsia="宋体" w:cs="宋体"/>
                <w:sz w:val="24"/>
                <w:szCs w:val="24"/>
              </w:rPr>
            </w:pPr>
          </w:p>
          <w:p w14:paraId="16A8EBF7">
            <w:pPr>
              <w:pStyle w:val="13"/>
              <w:tabs>
                <w:tab w:val="left" w:pos="0"/>
              </w:tabs>
              <w:spacing w:line="420" w:lineRule="exact"/>
              <w:jc w:val="both"/>
              <w:rPr>
                <w:rFonts w:ascii="宋体" w:hAnsi="宋体" w:eastAsia="宋体" w:cs="宋体"/>
                <w:b/>
                <w:bCs/>
                <w:sz w:val="24"/>
                <w:szCs w:val="24"/>
              </w:rPr>
            </w:pPr>
            <w:r>
              <w:rPr>
                <w:rFonts w:hint="eastAsia" w:ascii="宋体" w:hAnsi="宋体" w:eastAsia="宋体" w:cs="宋体"/>
                <w:b/>
                <w:bCs/>
                <w:sz w:val="24"/>
                <w:szCs w:val="24"/>
                <w:lang w:val="en-US"/>
              </w:rPr>
              <w:t>6.公司后续是否还会提出新的类似激励计划相关的业绩考核要求？</w:t>
            </w:r>
          </w:p>
          <w:p w14:paraId="6462A89B">
            <w:pPr>
              <w:pStyle w:val="13"/>
              <w:tabs>
                <w:tab w:val="left" w:pos="0"/>
              </w:tabs>
              <w:spacing w:line="420" w:lineRule="exact"/>
              <w:jc w:val="both"/>
              <w:rPr>
                <w:rFonts w:ascii="宋体" w:hAnsi="宋体" w:eastAsia="宋体" w:cs="宋体"/>
                <w:sz w:val="24"/>
                <w:szCs w:val="24"/>
              </w:rPr>
            </w:pPr>
            <w:r>
              <w:rPr>
                <w:rFonts w:hint="eastAsia" w:ascii="宋体" w:hAnsi="宋体" w:eastAsia="宋体" w:cs="宋体"/>
                <w:sz w:val="24"/>
                <w:szCs w:val="24"/>
              </w:rPr>
              <w:t>回复：基于公司对未来持续发展的信心和价值认可，以及历年股份回购的用途和预留数量，公司后续仍将会考虑适时制定有业绩考核指标的员工持股计划方案，激励对象主要为对公司整体业绩和中长期发展具有重要作用和影响的员工，同时予以持续优化公司绩效管理和员工激励体系，不断加强人才队伍建设与绩效联动力度，实现员工收入与企业效益的同步增长，与企业可持续发展紧密融合、相互促进，切实要以激励方式实现企业整体价值的进一步提升。</w:t>
            </w:r>
          </w:p>
          <w:p w14:paraId="7D22C9FC">
            <w:pPr>
              <w:pStyle w:val="13"/>
              <w:tabs>
                <w:tab w:val="left" w:pos="0"/>
              </w:tabs>
              <w:spacing w:line="420" w:lineRule="exact"/>
              <w:jc w:val="both"/>
              <w:rPr>
                <w:rFonts w:ascii="宋体" w:hAnsi="宋体" w:eastAsia="宋体" w:cs="宋体"/>
                <w:sz w:val="24"/>
                <w:szCs w:val="24"/>
              </w:rPr>
            </w:pPr>
          </w:p>
          <w:p w14:paraId="5E06EB52">
            <w:pPr>
              <w:pStyle w:val="13"/>
              <w:tabs>
                <w:tab w:val="left" w:pos="0"/>
              </w:tabs>
              <w:spacing w:line="420" w:lineRule="exact"/>
              <w:jc w:val="both"/>
              <w:rPr>
                <w:rFonts w:ascii="宋体" w:hAnsi="宋体" w:eastAsia="宋体" w:cs="宋体"/>
                <w:b/>
                <w:bCs/>
                <w:sz w:val="24"/>
                <w:szCs w:val="24"/>
              </w:rPr>
            </w:pPr>
            <w:r>
              <w:rPr>
                <w:rFonts w:hint="eastAsia" w:ascii="宋体" w:hAnsi="宋体" w:eastAsia="宋体" w:cs="宋体"/>
                <w:b/>
                <w:bCs/>
                <w:sz w:val="24"/>
                <w:szCs w:val="24"/>
                <w:lang w:val="en-US"/>
              </w:rPr>
              <w:t>7.公司今年分红是否还遵照承诺约定？后续是否有新的三年分红方案推出？</w:t>
            </w:r>
          </w:p>
          <w:p w14:paraId="7191DAEF">
            <w:pPr>
              <w:pStyle w:val="13"/>
              <w:tabs>
                <w:tab w:val="left" w:pos="0"/>
              </w:tabs>
              <w:spacing w:line="420" w:lineRule="exact"/>
              <w:jc w:val="both"/>
              <w:rPr>
                <w:rFonts w:hint="eastAsia" w:ascii="宋体" w:hAnsi="宋体" w:eastAsia="宋体" w:cs="宋体"/>
                <w:sz w:val="24"/>
                <w:szCs w:val="24"/>
              </w:rPr>
            </w:pPr>
            <w:r>
              <w:rPr>
                <w:rFonts w:hint="eastAsia" w:ascii="宋体" w:hAnsi="宋体" w:eastAsia="宋体" w:cs="宋体"/>
                <w:sz w:val="24"/>
                <w:szCs w:val="24"/>
              </w:rPr>
              <w:t>回复：有关2024年分红预案方面，公司仍将会严格遵照《关于提高公司未来三年（2022-2024）年度现金分红比例的公告》所涉方案执行，具体将会在2025年度内完成2024年度权益分配的实施工作。公司历来非常注重投资者回报，积极与广大投资者共享经营成果，高股息率已成为A股市场标杆。鉴于目前公司各产业运行情况持续稳健向好，增量叠加可期，且公司对自身未来的发展持有坚定的信心，后续公司仍将会兼顾业务发展实际需求、盈利水平、政策指导及股东诉求等多方面因素综合考虑新的三年分红政策及方案，同时秉承与时俱进理念积极支持分红形式的多样化，予以合理平衡企业可持续发展和股东回报。具体请大家关注后续的相关公告，以正式公告内容为准。</w:t>
            </w:r>
          </w:p>
          <w:p w14:paraId="10CAD9E8">
            <w:pPr>
              <w:pStyle w:val="13"/>
              <w:tabs>
                <w:tab w:val="left" w:pos="0"/>
              </w:tabs>
              <w:spacing w:line="420" w:lineRule="exact"/>
              <w:jc w:val="both"/>
              <w:rPr>
                <w:rFonts w:hint="eastAsia" w:ascii="宋体" w:hAnsi="宋体" w:eastAsia="宋体" w:cs="宋体"/>
                <w:sz w:val="24"/>
                <w:szCs w:val="24"/>
              </w:rPr>
            </w:pPr>
          </w:p>
          <w:p w14:paraId="77A2AE42">
            <w:pPr>
              <w:pStyle w:val="13"/>
              <w:tabs>
                <w:tab w:val="left" w:pos="0"/>
              </w:tabs>
              <w:spacing w:line="420" w:lineRule="exact"/>
              <w:jc w:val="both"/>
              <w:rPr>
                <w:rFonts w:hint="eastAsia" w:ascii="宋体" w:hAnsi="宋体" w:eastAsia="宋体" w:cs="宋体"/>
                <w:sz w:val="24"/>
                <w:szCs w:val="24"/>
              </w:rPr>
            </w:pPr>
          </w:p>
          <w:p w14:paraId="4F4C9607">
            <w:pPr>
              <w:pStyle w:val="13"/>
              <w:tabs>
                <w:tab w:val="left" w:pos="0"/>
              </w:tabs>
              <w:spacing w:line="420" w:lineRule="exact"/>
              <w:jc w:val="both"/>
              <w:rPr>
                <w:rFonts w:hint="eastAsia" w:ascii="宋体" w:hAnsi="宋体" w:eastAsia="宋体" w:cs="宋体"/>
                <w:sz w:val="24"/>
                <w:szCs w:val="24"/>
              </w:rPr>
            </w:pPr>
          </w:p>
          <w:p w14:paraId="7C9C2095">
            <w:pPr>
              <w:pStyle w:val="13"/>
              <w:tabs>
                <w:tab w:val="left" w:pos="0"/>
              </w:tabs>
              <w:spacing w:line="420" w:lineRule="exact"/>
              <w:jc w:val="both"/>
              <w:rPr>
                <w:rFonts w:ascii="宋体" w:hAnsi="宋体" w:eastAsia="宋体" w:cs="宋体"/>
                <w:b/>
                <w:bCs/>
                <w:sz w:val="24"/>
                <w:szCs w:val="24"/>
              </w:rPr>
            </w:pPr>
            <w:r>
              <w:rPr>
                <w:rFonts w:hint="eastAsia" w:ascii="宋体" w:hAnsi="宋体" w:eastAsia="宋体" w:cs="宋体"/>
                <w:b/>
                <w:bCs/>
                <w:sz w:val="24"/>
                <w:szCs w:val="24"/>
                <w:lang w:val="en-US"/>
              </w:rPr>
              <w:t>8</w:t>
            </w:r>
            <w:r>
              <w:rPr>
                <w:rFonts w:hint="eastAsia" w:ascii="宋体" w:hAnsi="宋体" w:eastAsia="宋体" w:cs="宋体"/>
                <w:b/>
                <w:bCs/>
                <w:sz w:val="24"/>
                <w:szCs w:val="24"/>
              </w:rPr>
              <w:t>.基于市场发展形式，公司在回购增持方面是否有新的方案？</w:t>
            </w:r>
          </w:p>
          <w:p w14:paraId="7040B4A0">
            <w:pPr>
              <w:pStyle w:val="13"/>
              <w:tabs>
                <w:tab w:val="left" w:pos="0"/>
              </w:tabs>
              <w:spacing w:line="420" w:lineRule="exact"/>
              <w:jc w:val="both"/>
              <w:rPr>
                <w:rFonts w:hint="eastAsia" w:ascii="宋体" w:hAnsi="宋体" w:eastAsia="宋体" w:cs="宋体"/>
                <w:sz w:val="24"/>
                <w:szCs w:val="24"/>
              </w:rPr>
            </w:pPr>
            <w:r>
              <w:rPr>
                <w:rFonts w:hint="eastAsia" w:ascii="宋体" w:hAnsi="宋体" w:eastAsia="宋体" w:cs="宋体"/>
                <w:sz w:val="24"/>
                <w:szCs w:val="24"/>
              </w:rPr>
              <w:t>回复：公司近期已关注，央行宣布创设股票回购增持专项再贷款相关政策，公司历来重视市值管理工作，回购增持亦是上市公司进行市值管理的重要措施。近年来，公司已分别于2019年、2022年实施完毕股份回购业务，回购股份数量合计3.16亿股，回购资金合计超15亿元。2024年7月，公司再次发布《关于以集中竞价交易方式回购股份方案的公告》，截至 2024 年 9 月 30 日，已累计回购股份1693.59万股，支付总金额超过1亿元。在回购期限内，公司持续会根据市场情况择机作出合理的回购操作决策，并履行必要的信息披露义务。后续，公司也将会积极考虑紧抓国家政策性支持机遇，审慎判定相关业务方案的可行性，若有新的方案推出将会及时履行必要的审议和披露程序，请大家关注公司正式公告。</w:t>
            </w:r>
            <w:bookmarkStart w:id="0" w:name="_GoBack"/>
            <w:bookmarkEnd w:id="0"/>
          </w:p>
          <w:p w14:paraId="0E012297">
            <w:pPr>
              <w:pStyle w:val="13"/>
              <w:tabs>
                <w:tab w:val="left" w:pos="0"/>
              </w:tabs>
              <w:spacing w:line="420" w:lineRule="exact"/>
              <w:jc w:val="both"/>
              <w:rPr>
                <w:rFonts w:ascii="宋体" w:hAnsi="宋体" w:eastAsia="宋体" w:cs="宋体"/>
                <w:sz w:val="24"/>
                <w:szCs w:val="24"/>
              </w:rPr>
            </w:pPr>
          </w:p>
          <w:p w14:paraId="7EEEF6C3">
            <w:pPr>
              <w:pStyle w:val="13"/>
              <w:tabs>
                <w:tab w:val="left" w:pos="0"/>
              </w:tabs>
              <w:spacing w:line="420" w:lineRule="exact"/>
              <w:jc w:val="both"/>
              <w:rPr>
                <w:rFonts w:ascii="宋体" w:hAnsi="宋体" w:eastAsia="宋体" w:cs="宋体"/>
                <w:sz w:val="24"/>
                <w:szCs w:val="24"/>
              </w:rPr>
            </w:pPr>
          </w:p>
          <w:p w14:paraId="06B9D571">
            <w:pPr>
              <w:pStyle w:val="13"/>
              <w:tabs>
                <w:tab w:val="left" w:pos="0"/>
              </w:tabs>
              <w:spacing w:line="420" w:lineRule="exact"/>
              <w:jc w:val="both"/>
              <w:rPr>
                <w:rFonts w:ascii="宋体" w:hAnsi="宋体" w:eastAsia="宋体" w:cs="宋体"/>
                <w:sz w:val="24"/>
                <w:szCs w:val="24"/>
              </w:rPr>
            </w:pPr>
          </w:p>
          <w:p w14:paraId="1F691716">
            <w:pPr>
              <w:pStyle w:val="13"/>
              <w:tabs>
                <w:tab w:val="left" w:pos="0"/>
              </w:tabs>
              <w:spacing w:line="420" w:lineRule="exact"/>
              <w:jc w:val="both"/>
              <w:rPr>
                <w:rFonts w:ascii="宋体" w:hAnsi="宋体" w:eastAsia="宋体" w:cs="宋体"/>
                <w:sz w:val="24"/>
                <w:szCs w:val="24"/>
              </w:rPr>
            </w:pPr>
          </w:p>
          <w:p w14:paraId="31B69C58">
            <w:pPr>
              <w:pStyle w:val="13"/>
              <w:tabs>
                <w:tab w:val="left" w:pos="0"/>
              </w:tabs>
              <w:spacing w:line="420" w:lineRule="exact"/>
              <w:jc w:val="both"/>
              <w:rPr>
                <w:rFonts w:ascii="宋体" w:hAnsi="宋体" w:eastAsia="宋体" w:cs="宋体"/>
                <w:sz w:val="24"/>
                <w:szCs w:val="24"/>
              </w:rPr>
            </w:pPr>
          </w:p>
          <w:p w14:paraId="02D50E07">
            <w:pPr>
              <w:pStyle w:val="13"/>
              <w:tabs>
                <w:tab w:val="left" w:pos="0"/>
              </w:tabs>
              <w:spacing w:line="420" w:lineRule="exact"/>
              <w:jc w:val="both"/>
              <w:rPr>
                <w:rFonts w:ascii="宋体" w:hAnsi="宋体" w:eastAsia="宋体" w:cs="宋体"/>
                <w:sz w:val="24"/>
                <w:szCs w:val="24"/>
              </w:rPr>
            </w:pPr>
          </w:p>
          <w:p w14:paraId="45641283">
            <w:pPr>
              <w:pStyle w:val="13"/>
              <w:tabs>
                <w:tab w:val="left" w:pos="0"/>
              </w:tabs>
              <w:spacing w:line="420" w:lineRule="exact"/>
              <w:jc w:val="both"/>
              <w:rPr>
                <w:rFonts w:ascii="宋体" w:hAnsi="宋体" w:eastAsia="宋体" w:cs="宋体"/>
                <w:sz w:val="24"/>
                <w:szCs w:val="24"/>
              </w:rPr>
            </w:pPr>
          </w:p>
          <w:p w14:paraId="7ABE367C">
            <w:pPr>
              <w:pStyle w:val="13"/>
              <w:tabs>
                <w:tab w:val="left" w:pos="0"/>
              </w:tabs>
              <w:spacing w:line="420" w:lineRule="exact"/>
              <w:jc w:val="both"/>
              <w:rPr>
                <w:rFonts w:ascii="宋体" w:hAnsi="宋体" w:eastAsia="宋体" w:cs="宋体"/>
                <w:sz w:val="24"/>
                <w:szCs w:val="24"/>
              </w:rPr>
            </w:pPr>
          </w:p>
          <w:p w14:paraId="0A8B2EA2">
            <w:pPr>
              <w:pStyle w:val="13"/>
              <w:tabs>
                <w:tab w:val="left" w:pos="0"/>
              </w:tabs>
              <w:spacing w:line="420" w:lineRule="exact"/>
              <w:jc w:val="both"/>
              <w:rPr>
                <w:rFonts w:ascii="宋体" w:hAnsi="宋体" w:eastAsia="宋体" w:cs="宋体"/>
                <w:sz w:val="24"/>
                <w:szCs w:val="24"/>
              </w:rPr>
            </w:pPr>
          </w:p>
          <w:p w14:paraId="503879B9">
            <w:pPr>
              <w:pStyle w:val="13"/>
              <w:tabs>
                <w:tab w:val="left" w:pos="0"/>
              </w:tabs>
              <w:spacing w:line="420" w:lineRule="exact"/>
              <w:jc w:val="both"/>
              <w:rPr>
                <w:rFonts w:ascii="宋体" w:hAnsi="宋体" w:eastAsia="宋体" w:cs="宋体"/>
                <w:sz w:val="24"/>
                <w:szCs w:val="24"/>
              </w:rPr>
            </w:pPr>
          </w:p>
          <w:p w14:paraId="290A14CC">
            <w:pPr>
              <w:pStyle w:val="13"/>
              <w:tabs>
                <w:tab w:val="left" w:pos="0"/>
              </w:tabs>
              <w:spacing w:line="420" w:lineRule="exact"/>
              <w:jc w:val="both"/>
              <w:rPr>
                <w:rFonts w:ascii="宋体" w:hAnsi="宋体" w:eastAsia="宋体" w:cs="宋体"/>
                <w:sz w:val="24"/>
                <w:szCs w:val="24"/>
              </w:rPr>
            </w:pPr>
          </w:p>
          <w:p w14:paraId="626B894E">
            <w:pPr>
              <w:pStyle w:val="13"/>
              <w:tabs>
                <w:tab w:val="left" w:pos="0"/>
              </w:tabs>
              <w:spacing w:line="420" w:lineRule="exact"/>
              <w:jc w:val="both"/>
              <w:rPr>
                <w:rFonts w:ascii="宋体" w:hAnsi="宋体" w:eastAsia="宋体" w:cs="宋体"/>
                <w:sz w:val="24"/>
                <w:szCs w:val="24"/>
              </w:rPr>
            </w:pPr>
          </w:p>
          <w:p w14:paraId="7461FD16">
            <w:pPr>
              <w:pStyle w:val="13"/>
              <w:tabs>
                <w:tab w:val="left" w:pos="0"/>
              </w:tabs>
              <w:spacing w:line="420" w:lineRule="exact"/>
              <w:jc w:val="both"/>
              <w:rPr>
                <w:rFonts w:ascii="宋体" w:hAnsi="宋体" w:eastAsia="宋体" w:cs="宋体"/>
                <w:sz w:val="24"/>
                <w:szCs w:val="24"/>
              </w:rPr>
            </w:pPr>
          </w:p>
          <w:p w14:paraId="4256FFB5">
            <w:pPr>
              <w:pStyle w:val="13"/>
              <w:tabs>
                <w:tab w:val="left" w:pos="0"/>
              </w:tabs>
              <w:spacing w:line="420" w:lineRule="exact"/>
              <w:jc w:val="both"/>
              <w:rPr>
                <w:rFonts w:ascii="宋体" w:hAnsi="宋体" w:eastAsia="宋体" w:cs="宋体"/>
                <w:sz w:val="24"/>
                <w:szCs w:val="24"/>
              </w:rPr>
            </w:pPr>
          </w:p>
          <w:p w14:paraId="2355611E">
            <w:pPr>
              <w:pStyle w:val="13"/>
              <w:tabs>
                <w:tab w:val="left" w:pos="0"/>
              </w:tabs>
              <w:spacing w:line="420" w:lineRule="exact"/>
              <w:jc w:val="both"/>
              <w:rPr>
                <w:rFonts w:ascii="宋体" w:hAnsi="宋体" w:eastAsia="宋体" w:cs="宋体"/>
                <w:sz w:val="24"/>
                <w:szCs w:val="24"/>
              </w:rPr>
            </w:pPr>
          </w:p>
          <w:p w14:paraId="75A45A81">
            <w:pPr>
              <w:pStyle w:val="13"/>
              <w:tabs>
                <w:tab w:val="left" w:pos="0"/>
              </w:tabs>
              <w:spacing w:line="420" w:lineRule="exact"/>
              <w:jc w:val="both"/>
              <w:rPr>
                <w:rFonts w:ascii="宋体" w:hAnsi="宋体" w:eastAsia="宋体" w:cs="宋体"/>
                <w:sz w:val="24"/>
                <w:szCs w:val="24"/>
              </w:rPr>
            </w:pPr>
          </w:p>
        </w:tc>
      </w:tr>
      <w:tr w14:paraId="1AB40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1930" w:type="dxa"/>
            <w:vAlign w:val="center"/>
          </w:tcPr>
          <w:p w14:paraId="6FD46E7E">
            <w:pPr>
              <w:pStyle w:val="13"/>
              <w:spacing w:line="500" w:lineRule="exact"/>
              <w:ind w:left="107" w:right="96"/>
              <w:jc w:val="center"/>
              <w:rPr>
                <w:rFonts w:ascii="宋体" w:hAnsi="宋体" w:eastAsia="宋体" w:cs="宋体"/>
                <w:b/>
                <w:bCs/>
                <w:sz w:val="24"/>
                <w:szCs w:val="24"/>
              </w:rPr>
            </w:pPr>
            <w:r>
              <w:rPr>
                <w:rFonts w:hint="eastAsia" w:ascii="宋体" w:hAnsi="宋体" w:eastAsia="宋体" w:cs="宋体"/>
                <w:b/>
                <w:bCs/>
                <w:sz w:val="24"/>
                <w:szCs w:val="24"/>
              </w:rPr>
              <w:t>附件清单（如有）</w:t>
            </w:r>
          </w:p>
        </w:tc>
        <w:tc>
          <w:tcPr>
            <w:tcW w:w="6595" w:type="dxa"/>
            <w:vAlign w:val="center"/>
          </w:tcPr>
          <w:p w14:paraId="04407F2D">
            <w:pPr>
              <w:pStyle w:val="13"/>
              <w:tabs>
                <w:tab w:val="left" w:pos="0"/>
              </w:tabs>
              <w:spacing w:line="500" w:lineRule="exact"/>
              <w:rPr>
                <w:rFonts w:ascii="宋体" w:hAnsi="宋体" w:eastAsia="宋体" w:cs="宋体"/>
                <w:sz w:val="24"/>
                <w:szCs w:val="24"/>
              </w:rPr>
            </w:pPr>
            <w:r>
              <w:rPr>
                <w:rFonts w:hint="eastAsia" w:ascii="宋体" w:hAnsi="宋体" w:eastAsia="宋体" w:cs="宋体"/>
                <w:sz w:val="24"/>
                <w:szCs w:val="24"/>
              </w:rPr>
              <w:t>无</w:t>
            </w:r>
          </w:p>
        </w:tc>
      </w:tr>
      <w:tr w14:paraId="3F170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1930" w:type="dxa"/>
            <w:vAlign w:val="center"/>
          </w:tcPr>
          <w:p w14:paraId="2AF1222B">
            <w:pPr>
              <w:pStyle w:val="13"/>
              <w:spacing w:line="500" w:lineRule="exact"/>
              <w:ind w:left="107" w:right="96"/>
              <w:jc w:val="center"/>
              <w:rPr>
                <w:rFonts w:ascii="宋体" w:hAnsi="宋体" w:eastAsia="宋体" w:cs="宋体"/>
                <w:b/>
                <w:bCs/>
                <w:sz w:val="24"/>
                <w:szCs w:val="24"/>
              </w:rPr>
            </w:pPr>
            <w:r>
              <w:rPr>
                <w:rFonts w:hint="eastAsia" w:ascii="宋体" w:hAnsi="宋体" w:eastAsia="宋体" w:cs="宋体"/>
                <w:b/>
                <w:bCs/>
                <w:sz w:val="24"/>
                <w:szCs w:val="24"/>
              </w:rPr>
              <w:t>日期</w:t>
            </w:r>
          </w:p>
        </w:tc>
        <w:tc>
          <w:tcPr>
            <w:tcW w:w="6595" w:type="dxa"/>
            <w:vAlign w:val="center"/>
          </w:tcPr>
          <w:p w14:paraId="73CC5FD5">
            <w:pPr>
              <w:pStyle w:val="13"/>
              <w:tabs>
                <w:tab w:val="left" w:pos="0"/>
              </w:tabs>
              <w:spacing w:line="500" w:lineRule="exact"/>
              <w:rPr>
                <w:rFonts w:ascii="宋体" w:hAnsi="宋体" w:eastAsia="宋体" w:cs="宋体"/>
                <w:sz w:val="24"/>
                <w:szCs w:val="24"/>
              </w:rPr>
            </w:pPr>
            <w:r>
              <w:rPr>
                <w:rFonts w:ascii="宋体" w:hAnsi="宋体" w:eastAsia="宋体" w:cs="宋体"/>
                <w:sz w:val="24"/>
                <w:szCs w:val="24"/>
              </w:rPr>
              <w:t>2024年</w:t>
            </w:r>
            <w:r>
              <w:rPr>
                <w:rFonts w:hint="eastAsia" w:ascii="宋体" w:hAnsi="宋体" w:eastAsia="宋体" w:cs="宋体"/>
                <w:sz w:val="24"/>
                <w:szCs w:val="24"/>
                <w:lang w:val="en-US" w:eastAsia="zh-CN"/>
              </w:rPr>
              <w:t>10</w:t>
            </w:r>
            <w:r>
              <w:rPr>
                <w:rFonts w:ascii="宋体" w:hAnsi="宋体" w:eastAsia="宋体" w:cs="宋体"/>
                <w:sz w:val="24"/>
                <w:szCs w:val="24"/>
              </w:rPr>
              <w:t>月</w:t>
            </w:r>
            <w:r>
              <w:rPr>
                <w:rFonts w:hint="eastAsia" w:ascii="宋体" w:hAnsi="宋体" w:eastAsia="宋体" w:cs="宋体"/>
                <w:sz w:val="24"/>
                <w:szCs w:val="24"/>
                <w:lang w:val="en-US" w:eastAsia="zh-CN"/>
              </w:rPr>
              <w:t>18</w:t>
            </w:r>
            <w:r>
              <w:rPr>
                <w:rFonts w:ascii="宋体" w:hAnsi="宋体" w:eastAsia="宋体" w:cs="宋体"/>
                <w:sz w:val="24"/>
                <w:szCs w:val="24"/>
              </w:rPr>
              <w:t>日</w:t>
            </w:r>
          </w:p>
        </w:tc>
      </w:tr>
    </w:tbl>
    <w:p w14:paraId="5C61BF4C">
      <w:pPr>
        <w:spacing w:line="500" w:lineRule="exact"/>
        <w:rPr>
          <w:rFonts w:ascii="宋体" w:hAnsi="宋体" w:eastAsia="宋体" w:cs="宋体"/>
          <w:sz w:val="28"/>
          <w:szCs w:val="36"/>
        </w:rPr>
      </w:pPr>
    </w:p>
    <w:sectPr>
      <w:type w:val="continuous"/>
      <w:pgSz w:w="11910" w:h="16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20500000000000000"/>
    <w:charset w:val="88"/>
    <w:family w:val="roman"/>
    <w:pitch w:val="default"/>
    <w:sig w:usb0="00000000" w:usb1="00000000" w:usb2="00000016" w:usb3="00000000" w:csb0="0010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Microsoft JhengHei UI">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4NzBkODE3OTZiMTI1ZTBlMTM4ZTg4YmZlODdjNDYifQ=="/>
  </w:docVars>
  <w:rsids>
    <w:rsidRoot w:val="00301D32"/>
    <w:rsid w:val="00003FED"/>
    <w:rsid w:val="000161F5"/>
    <w:rsid w:val="00026CC3"/>
    <w:rsid w:val="00036089"/>
    <w:rsid w:val="00053CFA"/>
    <w:rsid w:val="000633EC"/>
    <w:rsid w:val="00063804"/>
    <w:rsid w:val="000665A2"/>
    <w:rsid w:val="000877AB"/>
    <w:rsid w:val="0009564A"/>
    <w:rsid w:val="000B7C08"/>
    <w:rsid w:val="000D12CF"/>
    <w:rsid w:val="000D2D88"/>
    <w:rsid w:val="000D61BC"/>
    <w:rsid w:val="000E4B20"/>
    <w:rsid w:val="00113904"/>
    <w:rsid w:val="0011418F"/>
    <w:rsid w:val="00146780"/>
    <w:rsid w:val="00172C24"/>
    <w:rsid w:val="001E59D1"/>
    <w:rsid w:val="001E5EA4"/>
    <w:rsid w:val="002042A7"/>
    <w:rsid w:val="00204445"/>
    <w:rsid w:val="00205911"/>
    <w:rsid w:val="002146AD"/>
    <w:rsid w:val="00275CB6"/>
    <w:rsid w:val="002800B5"/>
    <w:rsid w:val="00295B29"/>
    <w:rsid w:val="002D4073"/>
    <w:rsid w:val="002E7098"/>
    <w:rsid w:val="00301D32"/>
    <w:rsid w:val="003372BA"/>
    <w:rsid w:val="00366FAD"/>
    <w:rsid w:val="0037105B"/>
    <w:rsid w:val="003975BA"/>
    <w:rsid w:val="003A74E6"/>
    <w:rsid w:val="003B73DD"/>
    <w:rsid w:val="003D011C"/>
    <w:rsid w:val="004108C7"/>
    <w:rsid w:val="00412DC2"/>
    <w:rsid w:val="00440041"/>
    <w:rsid w:val="00451268"/>
    <w:rsid w:val="004515AD"/>
    <w:rsid w:val="00451857"/>
    <w:rsid w:val="00453516"/>
    <w:rsid w:val="00457548"/>
    <w:rsid w:val="00470DB2"/>
    <w:rsid w:val="00471638"/>
    <w:rsid w:val="00472E01"/>
    <w:rsid w:val="004925E7"/>
    <w:rsid w:val="00495B11"/>
    <w:rsid w:val="004F0D7C"/>
    <w:rsid w:val="004F6FF3"/>
    <w:rsid w:val="005018EB"/>
    <w:rsid w:val="00534833"/>
    <w:rsid w:val="00571B49"/>
    <w:rsid w:val="005743AE"/>
    <w:rsid w:val="005802A2"/>
    <w:rsid w:val="0059577A"/>
    <w:rsid w:val="005D64CA"/>
    <w:rsid w:val="005E5717"/>
    <w:rsid w:val="005E6DB2"/>
    <w:rsid w:val="0061433E"/>
    <w:rsid w:val="0062751D"/>
    <w:rsid w:val="006354AA"/>
    <w:rsid w:val="00661AFA"/>
    <w:rsid w:val="006726BF"/>
    <w:rsid w:val="00677B77"/>
    <w:rsid w:val="0068718A"/>
    <w:rsid w:val="006A2739"/>
    <w:rsid w:val="006A67F0"/>
    <w:rsid w:val="006B5C95"/>
    <w:rsid w:val="006D2843"/>
    <w:rsid w:val="006E14B0"/>
    <w:rsid w:val="006F0108"/>
    <w:rsid w:val="00704AE6"/>
    <w:rsid w:val="007153A2"/>
    <w:rsid w:val="00724A68"/>
    <w:rsid w:val="007271BF"/>
    <w:rsid w:val="00730DD3"/>
    <w:rsid w:val="00733224"/>
    <w:rsid w:val="00764128"/>
    <w:rsid w:val="00770545"/>
    <w:rsid w:val="007824B8"/>
    <w:rsid w:val="007910DD"/>
    <w:rsid w:val="007A3EC1"/>
    <w:rsid w:val="007A528B"/>
    <w:rsid w:val="007B3368"/>
    <w:rsid w:val="007B6887"/>
    <w:rsid w:val="007D0A69"/>
    <w:rsid w:val="007D6DC4"/>
    <w:rsid w:val="007F67F6"/>
    <w:rsid w:val="008405BC"/>
    <w:rsid w:val="00853463"/>
    <w:rsid w:val="00893F25"/>
    <w:rsid w:val="00895035"/>
    <w:rsid w:val="008B2B14"/>
    <w:rsid w:val="008C6AED"/>
    <w:rsid w:val="008C7604"/>
    <w:rsid w:val="008E1B27"/>
    <w:rsid w:val="00903379"/>
    <w:rsid w:val="00906975"/>
    <w:rsid w:val="00917F0B"/>
    <w:rsid w:val="00917F8B"/>
    <w:rsid w:val="00960964"/>
    <w:rsid w:val="00965E4D"/>
    <w:rsid w:val="00973294"/>
    <w:rsid w:val="009B1D5C"/>
    <w:rsid w:val="009C2E31"/>
    <w:rsid w:val="009E1955"/>
    <w:rsid w:val="00A527AA"/>
    <w:rsid w:val="00A5684D"/>
    <w:rsid w:val="00A632D1"/>
    <w:rsid w:val="00A75C61"/>
    <w:rsid w:val="00A905A0"/>
    <w:rsid w:val="00A9601B"/>
    <w:rsid w:val="00AA7E16"/>
    <w:rsid w:val="00AD100E"/>
    <w:rsid w:val="00AE1E36"/>
    <w:rsid w:val="00AF74AA"/>
    <w:rsid w:val="00B03C2F"/>
    <w:rsid w:val="00B15064"/>
    <w:rsid w:val="00B340A3"/>
    <w:rsid w:val="00B410F5"/>
    <w:rsid w:val="00B6280C"/>
    <w:rsid w:val="00B671A4"/>
    <w:rsid w:val="00B72CD4"/>
    <w:rsid w:val="00B85B00"/>
    <w:rsid w:val="00BF132F"/>
    <w:rsid w:val="00C13878"/>
    <w:rsid w:val="00CA1705"/>
    <w:rsid w:val="00CE1A54"/>
    <w:rsid w:val="00CF0C3F"/>
    <w:rsid w:val="00CF5FB6"/>
    <w:rsid w:val="00D02518"/>
    <w:rsid w:val="00D17454"/>
    <w:rsid w:val="00D33FBC"/>
    <w:rsid w:val="00D561AF"/>
    <w:rsid w:val="00D7158F"/>
    <w:rsid w:val="00D7535C"/>
    <w:rsid w:val="00D76302"/>
    <w:rsid w:val="00DA5CE2"/>
    <w:rsid w:val="00DE10E8"/>
    <w:rsid w:val="00E16FDA"/>
    <w:rsid w:val="00E35F58"/>
    <w:rsid w:val="00E45BD9"/>
    <w:rsid w:val="00E66FFC"/>
    <w:rsid w:val="00E759D6"/>
    <w:rsid w:val="00E84A8C"/>
    <w:rsid w:val="00E930CF"/>
    <w:rsid w:val="00E976DE"/>
    <w:rsid w:val="00EC0F83"/>
    <w:rsid w:val="00EE3187"/>
    <w:rsid w:val="00EF499B"/>
    <w:rsid w:val="00F14977"/>
    <w:rsid w:val="00F61984"/>
    <w:rsid w:val="00FB4A08"/>
    <w:rsid w:val="00FB6D6F"/>
    <w:rsid w:val="00FC0C2A"/>
    <w:rsid w:val="00FD7F8E"/>
    <w:rsid w:val="00FF11E4"/>
    <w:rsid w:val="02557DFA"/>
    <w:rsid w:val="034A3564"/>
    <w:rsid w:val="03D53320"/>
    <w:rsid w:val="04B072D4"/>
    <w:rsid w:val="05461B09"/>
    <w:rsid w:val="05F575D4"/>
    <w:rsid w:val="064249C6"/>
    <w:rsid w:val="08641132"/>
    <w:rsid w:val="09186774"/>
    <w:rsid w:val="0945438F"/>
    <w:rsid w:val="0A71587A"/>
    <w:rsid w:val="0B792C38"/>
    <w:rsid w:val="0C28640C"/>
    <w:rsid w:val="0E90599A"/>
    <w:rsid w:val="0EAE7F1E"/>
    <w:rsid w:val="0ED720CD"/>
    <w:rsid w:val="0FF6268B"/>
    <w:rsid w:val="10725EA8"/>
    <w:rsid w:val="12070CAE"/>
    <w:rsid w:val="145F688C"/>
    <w:rsid w:val="14F12304"/>
    <w:rsid w:val="15DD2205"/>
    <w:rsid w:val="16A3167D"/>
    <w:rsid w:val="17A67110"/>
    <w:rsid w:val="1864189B"/>
    <w:rsid w:val="186A3B94"/>
    <w:rsid w:val="18D73A7D"/>
    <w:rsid w:val="19557370"/>
    <w:rsid w:val="1B46240B"/>
    <w:rsid w:val="1BD06B6A"/>
    <w:rsid w:val="1E035F83"/>
    <w:rsid w:val="1F782BDE"/>
    <w:rsid w:val="1FFE2FDA"/>
    <w:rsid w:val="206375BB"/>
    <w:rsid w:val="21AB2FC8"/>
    <w:rsid w:val="23317869"/>
    <w:rsid w:val="241E6171"/>
    <w:rsid w:val="25327F68"/>
    <w:rsid w:val="254C4AC2"/>
    <w:rsid w:val="25650CAE"/>
    <w:rsid w:val="26406598"/>
    <w:rsid w:val="2698203F"/>
    <w:rsid w:val="28080056"/>
    <w:rsid w:val="284348C7"/>
    <w:rsid w:val="28734C1A"/>
    <w:rsid w:val="28C72DDD"/>
    <w:rsid w:val="29EE0E64"/>
    <w:rsid w:val="2A065CCF"/>
    <w:rsid w:val="2A9B5B62"/>
    <w:rsid w:val="2D45416F"/>
    <w:rsid w:val="2EF90F16"/>
    <w:rsid w:val="2F125C63"/>
    <w:rsid w:val="302C3D0A"/>
    <w:rsid w:val="31482085"/>
    <w:rsid w:val="31CD2AE7"/>
    <w:rsid w:val="3219255B"/>
    <w:rsid w:val="33DE31BB"/>
    <w:rsid w:val="33FA583B"/>
    <w:rsid w:val="34160775"/>
    <w:rsid w:val="356B6CB9"/>
    <w:rsid w:val="359D5941"/>
    <w:rsid w:val="374A77CB"/>
    <w:rsid w:val="37903FFB"/>
    <w:rsid w:val="389C49C0"/>
    <w:rsid w:val="38DB333D"/>
    <w:rsid w:val="39BC78F4"/>
    <w:rsid w:val="3A193FF6"/>
    <w:rsid w:val="3EF1250A"/>
    <w:rsid w:val="40567DB0"/>
    <w:rsid w:val="40FF5CD2"/>
    <w:rsid w:val="416C222A"/>
    <w:rsid w:val="423821FE"/>
    <w:rsid w:val="42DB40B0"/>
    <w:rsid w:val="43B71B0A"/>
    <w:rsid w:val="4439195B"/>
    <w:rsid w:val="44FA0589"/>
    <w:rsid w:val="45142131"/>
    <w:rsid w:val="45A663E3"/>
    <w:rsid w:val="469F09AF"/>
    <w:rsid w:val="47354F5E"/>
    <w:rsid w:val="47AD0B21"/>
    <w:rsid w:val="4836463C"/>
    <w:rsid w:val="4B756271"/>
    <w:rsid w:val="4C194E4E"/>
    <w:rsid w:val="4C7A49DA"/>
    <w:rsid w:val="4C8E1CA8"/>
    <w:rsid w:val="4D6D36A4"/>
    <w:rsid w:val="4E1900F5"/>
    <w:rsid w:val="4E375A60"/>
    <w:rsid w:val="4EE871CB"/>
    <w:rsid w:val="4F634EC7"/>
    <w:rsid w:val="4F675ED1"/>
    <w:rsid w:val="510903EF"/>
    <w:rsid w:val="52DB4C0C"/>
    <w:rsid w:val="53F137F4"/>
    <w:rsid w:val="543A6906"/>
    <w:rsid w:val="54EF0E42"/>
    <w:rsid w:val="56690780"/>
    <w:rsid w:val="56850CBB"/>
    <w:rsid w:val="56C67981"/>
    <w:rsid w:val="57125802"/>
    <w:rsid w:val="57342B3C"/>
    <w:rsid w:val="59444A7D"/>
    <w:rsid w:val="59CB77D5"/>
    <w:rsid w:val="5A666D76"/>
    <w:rsid w:val="5B2253C2"/>
    <w:rsid w:val="5F0B0627"/>
    <w:rsid w:val="5F0D0F44"/>
    <w:rsid w:val="5F5C25B6"/>
    <w:rsid w:val="603269D2"/>
    <w:rsid w:val="60E455D3"/>
    <w:rsid w:val="60E5134B"/>
    <w:rsid w:val="61730705"/>
    <w:rsid w:val="61A52BCA"/>
    <w:rsid w:val="62E321FA"/>
    <w:rsid w:val="639A3D54"/>
    <w:rsid w:val="64B10789"/>
    <w:rsid w:val="64FB2EEB"/>
    <w:rsid w:val="65921AA2"/>
    <w:rsid w:val="668B6207"/>
    <w:rsid w:val="669929BC"/>
    <w:rsid w:val="67095496"/>
    <w:rsid w:val="67ED7463"/>
    <w:rsid w:val="681A546A"/>
    <w:rsid w:val="69CB37D4"/>
    <w:rsid w:val="69FA5E67"/>
    <w:rsid w:val="6A0D5B9B"/>
    <w:rsid w:val="6A3B23B1"/>
    <w:rsid w:val="6AEA32DC"/>
    <w:rsid w:val="6C557385"/>
    <w:rsid w:val="6CC24AB5"/>
    <w:rsid w:val="6CCF5389"/>
    <w:rsid w:val="6D837F22"/>
    <w:rsid w:val="6D9271B2"/>
    <w:rsid w:val="6E0A0682"/>
    <w:rsid w:val="6EC95E08"/>
    <w:rsid w:val="6F134790"/>
    <w:rsid w:val="6F5876B6"/>
    <w:rsid w:val="71B2772B"/>
    <w:rsid w:val="71F238C8"/>
    <w:rsid w:val="72446028"/>
    <w:rsid w:val="72A67D13"/>
    <w:rsid w:val="73076EC0"/>
    <w:rsid w:val="73571C35"/>
    <w:rsid w:val="73FB6A64"/>
    <w:rsid w:val="74210CA6"/>
    <w:rsid w:val="76F748BE"/>
    <w:rsid w:val="788C25F5"/>
    <w:rsid w:val="796A632F"/>
    <w:rsid w:val="79F72AA9"/>
    <w:rsid w:val="7B2A7C2F"/>
    <w:rsid w:val="7B6C56C6"/>
    <w:rsid w:val="7D3134F6"/>
    <w:rsid w:val="7DD37FAE"/>
    <w:rsid w:val="7E0230E5"/>
    <w:rsid w:val="7F250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outlineLvl w:val="0"/>
    </w:pPr>
    <w:rPr>
      <w:rFonts w:ascii="PMingLiU" w:hAnsi="PMingLiU" w:eastAsia="PMingLiU" w:cs="PMingLiU"/>
      <w:sz w:val="44"/>
      <w:szCs w:val="44"/>
    </w:rPr>
  </w:style>
  <w:style w:type="paragraph" w:styleId="3">
    <w:name w:val="heading 4"/>
    <w:basedOn w:val="1"/>
    <w:next w:val="1"/>
    <w:autoRedefine/>
    <w:semiHidden/>
    <w:unhideWhenUsed/>
    <w:qFormat/>
    <w:uiPriority w:val="0"/>
    <w:pPr>
      <w:spacing w:beforeAutospacing="1" w:afterAutospacing="1"/>
      <w:outlineLvl w:val="3"/>
    </w:pPr>
    <w:rPr>
      <w:rFonts w:hint="eastAsia" w:ascii="宋体" w:hAnsi="宋体" w:eastAsia="宋体" w:cs="Times New Roman"/>
      <w:b/>
      <w:bCs/>
      <w:sz w:val="24"/>
      <w:szCs w:val="24"/>
      <w:lang w:val="en-US"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6"/>
    <w:autoRedefine/>
    <w:qFormat/>
    <w:uiPriority w:val="0"/>
  </w:style>
  <w:style w:type="paragraph" w:styleId="5">
    <w:name w:val="Body Text"/>
    <w:basedOn w:val="1"/>
    <w:autoRedefine/>
    <w:qFormat/>
    <w:uiPriority w:val="1"/>
    <w:pPr>
      <w:ind w:left="220"/>
    </w:pPr>
    <w:rPr>
      <w:sz w:val="32"/>
      <w:szCs w:val="32"/>
    </w:rPr>
  </w:style>
  <w:style w:type="paragraph" w:styleId="6">
    <w:name w:val="Balloon Text"/>
    <w:basedOn w:val="1"/>
    <w:link w:val="18"/>
    <w:autoRedefine/>
    <w:qFormat/>
    <w:uiPriority w:val="0"/>
    <w:rPr>
      <w:sz w:val="18"/>
      <w:szCs w:val="18"/>
    </w:rPr>
  </w:style>
  <w:style w:type="paragraph" w:styleId="7">
    <w:name w:val="footer"/>
    <w:basedOn w:val="1"/>
    <w:link w:val="15"/>
    <w:autoRedefine/>
    <w:qFormat/>
    <w:uiPriority w:val="0"/>
    <w:pPr>
      <w:tabs>
        <w:tab w:val="center" w:pos="4153"/>
        <w:tab w:val="right" w:pos="8306"/>
      </w:tabs>
      <w:snapToGrid w:val="0"/>
    </w:pPr>
    <w:rPr>
      <w:sz w:val="18"/>
      <w:szCs w:val="18"/>
    </w:rPr>
  </w:style>
  <w:style w:type="paragraph" w:styleId="8">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17"/>
    <w:autoRedefine/>
    <w:qFormat/>
    <w:uiPriority w:val="0"/>
    <w:rPr>
      <w:b/>
      <w:bCs/>
    </w:rPr>
  </w:style>
  <w:style w:type="character" w:styleId="12">
    <w:name w:val="annotation reference"/>
    <w:basedOn w:val="11"/>
    <w:autoRedefine/>
    <w:qFormat/>
    <w:uiPriority w:val="0"/>
    <w:rPr>
      <w:sz w:val="21"/>
      <w:szCs w:val="21"/>
    </w:rPr>
  </w:style>
  <w:style w:type="paragraph" w:customStyle="1" w:styleId="13">
    <w:name w:val="Table Paragraph"/>
    <w:basedOn w:val="1"/>
    <w:autoRedefine/>
    <w:qFormat/>
    <w:uiPriority w:val="1"/>
  </w:style>
  <w:style w:type="character" w:customStyle="1" w:styleId="14">
    <w:name w:val="页眉 字符"/>
    <w:basedOn w:val="11"/>
    <w:link w:val="8"/>
    <w:autoRedefine/>
    <w:qFormat/>
    <w:uiPriority w:val="0"/>
    <w:rPr>
      <w:rFonts w:ascii="仿宋" w:hAnsi="仿宋" w:eastAsia="仿宋" w:cs="仿宋"/>
      <w:sz w:val="18"/>
      <w:szCs w:val="18"/>
      <w:lang w:val="zh-CN" w:bidi="zh-CN"/>
    </w:rPr>
  </w:style>
  <w:style w:type="character" w:customStyle="1" w:styleId="15">
    <w:name w:val="页脚 字符"/>
    <w:basedOn w:val="11"/>
    <w:link w:val="7"/>
    <w:autoRedefine/>
    <w:qFormat/>
    <w:uiPriority w:val="0"/>
    <w:rPr>
      <w:rFonts w:ascii="仿宋" w:hAnsi="仿宋" w:eastAsia="仿宋" w:cs="仿宋"/>
      <w:sz w:val="18"/>
      <w:szCs w:val="18"/>
      <w:lang w:val="zh-CN" w:bidi="zh-CN"/>
    </w:rPr>
  </w:style>
  <w:style w:type="character" w:customStyle="1" w:styleId="16">
    <w:name w:val="批注文字 字符"/>
    <w:basedOn w:val="11"/>
    <w:link w:val="4"/>
    <w:autoRedefine/>
    <w:qFormat/>
    <w:uiPriority w:val="0"/>
    <w:rPr>
      <w:rFonts w:ascii="仿宋" w:hAnsi="仿宋" w:eastAsia="仿宋" w:cs="仿宋"/>
      <w:sz w:val="22"/>
      <w:szCs w:val="22"/>
      <w:lang w:val="zh-CN" w:bidi="zh-CN"/>
    </w:rPr>
  </w:style>
  <w:style w:type="character" w:customStyle="1" w:styleId="17">
    <w:name w:val="批注主题 字符"/>
    <w:basedOn w:val="16"/>
    <w:link w:val="9"/>
    <w:autoRedefine/>
    <w:qFormat/>
    <w:uiPriority w:val="0"/>
    <w:rPr>
      <w:rFonts w:ascii="仿宋" w:hAnsi="仿宋" w:eastAsia="仿宋" w:cs="仿宋"/>
      <w:b/>
      <w:bCs/>
      <w:sz w:val="22"/>
      <w:szCs w:val="22"/>
      <w:lang w:val="zh-CN" w:bidi="zh-CN"/>
    </w:rPr>
  </w:style>
  <w:style w:type="character" w:customStyle="1" w:styleId="18">
    <w:name w:val="批注框文本 字符"/>
    <w:basedOn w:val="11"/>
    <w:link w:val="6"/>
    <w:autoRedefine/>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88DC4-3097-408E-8CCA-9BA8E37BE800}">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6</Pages>
  <Words>3915</Words>
  <Characters>4050</Characters>
  <Lines>17</Lines>
  <Paragraphs>5</Paragraphs>
  <TotalTime>4</TotalTime>
  <ScaleCrop>false</ScaleCrop>
  <LinksUpToDate>false</LinksUpToDate>
  <CharactersWithSpaces>4202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2023-04-24T04:57:00Z</dcterms:created>
  <dc:creator>jie.huang</dc:creator>
  <cp:lastModifiedBy>小树</cp:lastModifiedBy>
  <cp:lastPrinted>2023-05-25T08:20:00Z</cp:lastPrinted>
  <dcterms:modified xsi:type="dcterms:W3CDTF">2024-10-18T08:55:42Z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C4337D87697B4F7CBD9861C9C220D17D_13</vt:lpwstr>
  </property>
</Properties>
</file>