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2E120">
      <w:pPr>
        <w:adjustRightInd w:val="0"/>
        <w:snapToGrid w:val="0"/>
        <w:spacing w:line="360" w:lineRule="auto"/>
        <w:rPr>
          <w:rFonts w:hint="eastAsia" w:ascii="宋体" w:hAnsi="宋体"/>
          <w:bCs/>
          <w:iCs/>
          <w:color w:val="000000"/>
          <w:sz w:val="24"/>
          <w:szCs w:val="24"/>
        </w:rPr>
      </w:pPr>
      <w:r>
        <w:rPr>
          <w:rFonts w:hint="eastAsia" w:ascii="宋体" w:hAnsi="宋体"/>
          <w:bCs/>
          <w:iCs/>
          <w:color w:val="000000"/>
          <w:sz w:val="24"/>
          <w:szCs w:val="24"/>
        </w:rPr>
        <w:t>证券代码：6</w:t>
      </w:r>
      <w:r>
        <w:rPr>
          <w:rFonts w:ascii="宋体" w:hAnsi="宋体"/>
          <w:bCs/>
          <w:iCs/>
          <w:color w:val="000000"/>
          <w:sz w:val="24"/>
          <w:szCs w:val="24"/>
        </w:rPr>
        <w:t>00730</w:t>
      </w:r>
      <w:r>
        <w:rPr>
          <w:rFonts w:hint="eastAsia" w:ascii="宋体" w:hAnsi="宋体"/>
          <w:bCs/>
          <w:iCs/>
          <w:color w:val="000000"/>
          <w:sz w:val="24"/>
          <w:szCs w:val="24"/>
        </w:rPr>
        <w:t xml:space="preserve">   </w:t>
      </w:r>
      <w:r>
        <w:rPr>
          <w:rFonts w:ascii="宋体" w:hAnsi="宋体"/>
          <w:bCs/>
          <w:iCs/>
          <w:color w:val="000000"/>
          <w:sz w:val="24"/>
          <w:szCs w:val="24"/>
        </w:rPr>
        <w:t xml:space="preserve">     </w:t>
      </w:r>
      <w:r>
        <w:rPr>
          <w:rFonts w:hint="eastAsia" w:ascii="宋体" w:hAnsi="宋体"/>
          <w:bCs/>
          <w:iCs/>
          <w:color w:val="000000"/>
          <w:sz w:val="24"/>
          <w:szCs w:val="24"/>
        </w:rPr>
        <w:t xml:space="preserve">         </w:t>
      </w:r>
      <w:r>
        <w:rPr>
          <w:rFonts w:ascii="宋体" w:hAnsi="宋体"/>
          <w:bCs/>
          <w:iCs/>
          <w:color w:val="000000"/>
          <w:sz w:val="24"/>
          <w:szCs w:val="24"/>
        </w:rPr>
        <w:t xml:space="preserve">                   </w:t>
      </w:r>
      <w:r>
        <w:rPr>
          <w:rFonts w:hint="eastAsia" w:ascii="宋体" w:hAnsi="宋体"/>
          <w:bCs/>
          <w:iCs/>
          <w:color w:val="000000"/>
          <w:sz w:val="24"/>
          <w:szCs w:val="24"/>
        </w:rPr>
        <w:t xml:space="preserve">             </w:t>
      </w:r>
      <w:r>
        <w:rPr>
          <w:rFonts w:ascii="宋体" w:hAnsi="宋体"/>
          <w:bCs/>
          <w:iCs/>
          <w:color w:val="000000"/>
          <w:sz w:val="24"/>
          <w:szCs w:val="24"/>
        </w:rPr>
        <w:t xml:space="preserve">    </w:t>
      </w:r>
      <w:r>
        <w:rPr>
          <w:rFonts w:hint="eastAsia" w:ascii="宋体" w:hAnsi="宋体"/>
          <w:bCs/>
          <w:iCs/>
          <w:color w:val="000000"/>
          <w:sz w:val="24"/>
          <w:szCs w:val="24"/>
        </w:rPr>
        <w:t>证券简称：中国高科</w:t>
      </w:r>
    </w:p>
    <w:p w14:paraId="24AB7A33">
      <w:pPr>
        <w:snapToGrid w:val="0"/>
        <w:spacing w:before="468" w:beforeLines="150" w:line="276" w:lineRule="auto"/>
        <w:jc w:val="center"/>
        <w:rPr>
          <w:rFonts w:hint="eastAsia" w:ascii="宋体" w:hAnsi="宋体"/>
          <w:b/>
          <w:bCs/>
          <w:iCs/>
          <w:color w:val="000000"/>
          <w:sz w:val="36"/>
          <w:szCs w:val="36"/>
        </w:rPr>
      </w:pPr>
      <w:r>
        <w:rPr>
          <w:rFonts w:hint="eastAsia" w:ascii="宋体" w:hAnsi="宋体"/>
          <w:b/>
          <w:bCs/>
          <w:iCs/>
          <w:color w:val="000000"/>
          <w:sz w:val="36"/>
          <w:szCs w:val="36"/>
        </w:rPr>
        <w:t>中国高科集团股份有限公司</w:t>
      </w:r>
    </w:p>
    <w:p w14:paraId="268351C2">
      <w:pPr>
        <w:snapToGrid w:val="0"/>
        <w:spacing w:line="276" w:lineRule="auto"/>
        <w:jc w:val="center"/>
        <w:rPr>
          <w:rFonts w:hint="eastAsia" w:ascii="宋体" w:hAnsi="宋体"/>
          <w:b/>
          <w:bCs/>
          <w:iCs/>
          <w:color w:val="000000"/>
          <w:sz w:val="36"/>
          <w:szCs w:val="36"/>
        </w:rPr>
      </w:pPr>
      <w:r>
        <w:rPr>
          <w:rFonts w:hint="eastAsia" w:ascii="宋体" w:hAnsi="宋体"/>
          <w:b/>
          <w:bCs/>
          <w:iCs/>
          <w:color w:val="000000"/>
          <w:sz w:val="36"/>
          <w:szCs w:val="36"/>
        </w:rPr>
        <w:t>投资者关系活动记录表</w:t>
      </w:r>
    </w:p>
    <w:p w14:paraId="16E43DBF">
      <w:pPr>
        <w:spacing w:line="560" w:lineRule="exact"/>
        <w:rPr>
          <w:rFonts w:hint="eastAsia" w:ascii="仿宋" w:hAnsi="仿宋" w:eastAsia="仿宋"/>
          <w:bCs/>
          <w:iCs/>
          <w:color w:val="000000"/>
          <w:sz w:val="24"/>
          <w:szCs w:val="24"/>
        </w:rPr>
      </w:pPr>
      <w:r>
        <w:rPr>
          <w:rFonts w:hint="eastAsia" w:ascii="仿宋" w:hAnsi="仿宋" w:eastAsia="仿宋"/>
          <w:bCs/>
          <w:iCs/>
          <w:color w:val="000000"/>
          <w:sz w:val="28"/>
          <w:szCs w:val="28"/>
        </w:rPr>
        <w:t xml:space="preserve">                                               </w:t>
      </w:r>
      <w:r>
        <w:rPr>
          <w:rFonts w:ascii="仿宋" w:hAnsi="仿宋" w:eastAsia="仿宋"/>
          <w:bCs/>
          <w:iCs/>
          <w:color w:val="000000"/>
          <w:sz w:val="28"/>
          <w:szCs w:val="28"/>
        </w:rPr>
        <w:t xml:space="preserve">        </w:t>
      </w:r>
    </w:p>
    <w:tbl>
      <w:tblPr>
        <w:tblStyle w:val="7"/>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7518"/>
      </w:tblGrid>
      <w:tr w14:paraId="55A4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14:paraId="5DA9A549">
            <w:pPr>
              <w:spacing w:line="560" w:lineRule="exact"/>
              <w:jc w:val="center"/>
              <w:rPr>
                <w:rFonts w:hint="eastAsia" w:ascii="宋体" w:hAnsi="宋体"/>
                <w:bCs/>
                <w:iCs/>
                <w:color w:val="000000"/>
                <w:sz w:val="24"/>
                <w:szCs w:val="24"/>
              </w:rPr>
            </w:pPr>
            <w:r>
              <w:rPr>
                <w:rFonts w:hint="eastAsia" w:ascii="宋体" w:hAnsi="宋体"/>
                <w:bCs/>
                <w:iCs/>
                <w:color w:val="000000"/>
                <w:sz w:val="24"/>
                <w:szCs w:val="24"/>
              </w:rPr>
              <w:t>投资者关系</w:t>
            </w:r>
          </w:p>
          <w:p w14:paraId="184642B6">
            <w:pPr>
              <w:spacing w:line="560" w:lineRule="exact"/>
              <w:jc w:val="center"/>
              <w:rPr>
                <w:rFonts w:hint="eastAsia" w:ascii="宋体" w:hAnsi="宋体"/>
                <w:bCs/>
                <w:iCs/>
                <w:color w:val="000000"/>
                <w:sz w:val="24"/>
                <w:szCs w:val="24"/>
              </w:rPr>
            </w:pPr>
            <w:r>
              <w:rPr>
                <w:rFonts w:hint="eastAsia" w:ascii="宋体" w:hAnsi="宋体"/>
                <w:bCs/>
                <w:iCs/>
                <w:color w:val="000000"/>
                <w:sz w:val="24"/>
                <w:szCs w:val="24"/>
              </w:rPr>
              <w:t>活动类别</w:t>
            </w:r>
          </w:p>
        </w:tc>
        <w:tc>
          <w:tcPr>
            <w:tcW w:w="7518" w:type="dxa"/>
            <w:tcBorders>
              <w:top w:val="single" w:color="auto" w:sz="4" w:space="0"/>
              <w:left w:val="single" w:color="auto" w:sz="4" w:space="0"/>
              <w:bottom w:val="single" w:color="auto" w:sz="4" w:space="0"/>
              <w:right w:val="single" w:color="auto" w:sz="4" w:space="0"/>
            </w:tcBorders>
            <w:shd w:val="clear" w:color="auto" w:fill="auto"/>
          </w:tcPr>
          <w:p w14:paraId="5A79F790">
            <w:pPr>
              <w:spacing w:line="560" w:lineRule="exact"/>
              <w:jc w:val="left"/>
              <w:rPr>
                <w:rFonts w:hint="eastAsia" w:ascii="宋体" w:hAnsi="宋体"/>
                <w:bCs/>
                <w:iCs/>
                <w:color w:val="000000"/>
                <w:sz w:val="24"/>
                <w:szCs w:val="24"/>
              </w:rPr>
            </w:pPr>
            <w:r>
              <w:rPr>
                <w:rFonts w:hint="eastAsia" w:ascii="宋体" w:hAnsi="宋体"/>
                <w:bCs/>
                <w:iCs/>
                <w:color w:val="000000"/>
                <w:sz w:val="24"/>
                <w:szCs w:val="24"/>
              </w:rPr>
              <w:t>√特定对象调研</w:t>
            </w:r>
            <w:r>
              <w:rPr>
                <w:rFonts w:hint="eastAsia" w:ascii="宋体" w:hAnsi="宋体"/>
                <w:color w:val="000000"/>
                <w:sz w:val="24"/>
                <w:szCs w:val="24"/>
              </w:rPr>
              <w:t xml:space="preserve">        </w:t>
            </w:r>
            <w:r>
              <w:rPr>
                <w:rFonts w:hint="eastAsia" w:ascii="宋体" w:hAnsi="宋体"/>
                <w:bCs/>
                <w:iCs/>
                <w:color w:val="000000"/>
                <w:sz w:val="24"/>
                <w:szCs w:val="24"/>
              </w:rPr>
              <w:t>□分析师会议</w:t>
            </w:r>
          </w:p>
          <w:p w14:paraId="141B390A">
            <w:pPr>
              <w:spacing w:line="560" w:lineRule="exact"/>
              <w:jc w:val="left"/>
              <w:rPr>
                <w:rFonts w:hint="eastAsia" w:ascii="宋体" w:hAnsi="宋体"/>
                <w:bCs/>
                <w:iCs/>
                <w:color w:val="000000"/>
                <w:sz w:val="24"/>
                <w:szCs w:val="24"/>
              </w:rPr>
            </w:pPr>
            <w:r>
              <w:rPr>
                <w:rFonts w:hint="eastAsia" w:ascii="宋体" w:hAnsi="宋体"/>
                <w:bCs/>
                <w:iCs/>
                <w:color w:val="000000"/>
                <w:sz w:val="24"/>
                <w:szCs w:val="24"/>
              </w:rPr>
              <w:t xml:space="preserve">□媒体采访    </w:t>
            </w:r>
            <w:r>
              <w:rPr>
                <w:rFonts w:hint="eastAsia" w:ascii="宋体" w:hAnsi="宋体"/>
                <w:color w:val="000000"/>
                <w:sz w:val="24"/>
                <w:szCs w:val="24"/>
              </w:rPr>
              <w:t xml:space="preserve">        </w:t>
            </w:r>
            <w:r>
              <w:rPr>
                <w:rFonts w:hint="eastAsia" w:ascii="宋体" w:hAnsi="宋体"/>
                <w:bCs/>
                <w:iCs/>
                <w:color w:val="000000"/>
                <w:sz w:val="24"/>
                <w:szCs w:val="24"/>
              </w:rPr>
              <w:t>□业绩说明会</w:t>
            </w:r>
          </w:p>
          <w:p w14:paraId="7367F36B">
            <w:pPr>
              <w:spacing w:line="560" w:lineRule="exact"/>
              <w:jc w:val="left"/>
              <w:rPr>
                <w:rFonts w:hint="eastAsia" w:ascii="宋体" w:hAnsi="宋体"/>
                <w:bCs/>
                <w:iCs/>
                <w:color w:val="000000"/>
                <w:sz w:val="24"/>
                <w:szCs w:val="24"/>
              </w:rPr>
            </w:pPr>
            <w:r>
              <w:rPr>
                <w:rFonts w:hint="eastAsia" w:ascii="宋体" w:hAnsi="宋体"/>
                <w:bCs/>
                <w:iCs/>
                <w:color w:val="000000"/>
                <w:sz w:val="24"/>
                <w:szCs w:val="24"/>
              </w:rPr>
              <w:t xml:space="preserve">□新闻发布会  </w:t>
            </w:r>
            <w:r>
              <w:rPr>
                <w:rFonts w:hint="eastAsia" w:ascii="宋体" w:hAnsi="宋体"/>
                <w:color w:val="000000"/>
                <w:sz w:val="24"/>
                <w:szCs w:val="24"/>
              </w:rPr>
              <w:t xml:space="preserve">        </w:t>
            </w:r>
            <w:r>
              <w:rPr>
                <w:rFonts w:hint="eastAsia" w:ascii="宋体" w:hAnsi="宋体"/>
                <w:bCs/>
                <w:iCs/>
                <w:color w:val="000000"/>
                <w:sz w:val="24"/>
                <w:szCs w:val="24"/>
              </w:rPr>
              <w:t>□路演活动</w:t>
            </w:r>
          </w:p>
          <w:p w14:paraId="6D32EC6C">
            <w:pPr>
              <w:tabs>
                <w:tab w:val="left" w:pos="2568"/>
                <w:tab w:val="center" w:pos="3199"/>
              </w:tabs>
              <w:spacing w:line="560" w:lineRule="exact"/>
              <w:jc w:val="left"/>
              <w:rPr>
                <w:rFonts w:hint="eastAsia" w:ascii="宋体" w:hAnsi="宋体"/>
                <w:bCs/>
                <w:iCs/>
                <w:color w:val="000000"/>
                <w:sz w:val="24"/>
                <w:szCs w:val="24"/>
              </w:rPr>
            </w:pPr>
            <w:r>
              <w:rPr>
                <w:rFonts w:hint="eastAsia" w:ascii="宋体" w:hAnsi="宋体"/>
                <w:bCs/>
                <w:iCs/>
                <w:color w:val="000000"/>
                <w:sz w:val="24"/>
                <w:szCs w:val="24"/>
              </w:rPr>
              <w:t>□现场参观</w:t>
            </w:r>
            <w:r>
              <w:rPr>
                <w:rFonts w:hint="eastAsia" w:ascii="宋体" w:hAnsi="宋体"/>
                <w:bCs/>
                <w:iCs/>
                <w:color w:val="000000"/>
                <w:sz w:val="24"/>
                <w:szCs w:val="24"/>
              </w:rPr>
              <w:tab/>
            </w:r>
            <w:r>
              <w:rPr>
                <w:rFonts w:hint="eastAsia" w:ascii="宋体" w:hAnsi="宋体"/>
                <w:color w:val="000000"/>
                <w:sz w:val="13"/>
                <w:szCs w:val="13"/>
              </w:rPr>
              <w:t xml:space="preserve"> </w:t>
            </w:r>
            <w:r>
              <w:rPr>
                <w:rFonts w:hint="eastAsia" w:ascii="宋体" w:hAnsi="宋体"/>
                <w:bCs/>
                <w:iCs/>
                <w:color w:val="000000"/>
                <w:sz w:val="24"/>
                <w:szCs w:val="24"/>
              </w:rPr>
              <w:t>□其他</w:t>
            </w:r>
          </w:p>
        </w:tc>
      </w:tr>
      <w:tr w14:paraId="558C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14:paraId="2F34641D">
            <w:pPr>
              <w:spacing w:line="560" w:lineRule="exact"/>
              <w:jc w:val="center"/>
              <w:rPr>
                <w:rFonts w:hint="eastAsia" w:ascii="宋体" w:hAnsi="宋体"/>
                <w:bCs/>
                <w:iCs/>
                <w:color w:val="000000"/>
                <w:sz w:val="24"/>
                <w:szCs w:val="24"/>
              </w:rPr>
            </w:pPr>
            <w:r>
              <w:rPr>
                <w:rFonts w:hint="eastAsia" w:ascii="宋体" w:hAnsi="宋体"/>
                <w:bCs/>
                <w:iCs/>
                <w:color w:val="000000"/>
                <w:sz w:val="24"/>
                <w:szCs w:val="24"/>
              </w:rPr>
              <w:t>参与单位名称</w:t>
            </w:r>
          </w:p>
        </w:tc>
        <w:tc>
          <w:tcPr>
            <w:tcW w:w="7518" w:type="dxa"/>
            <w:tcBorders>
              <w:top w:val="single" w:color="auto" w:sz="4" w:space="0"/>
              <w:left w:val="single" w:color="auto" w:sz="4" w:space="0"/>
              <w:bottom w:val="single" w:color="auto" w:sz="4" w:space="0"/>
              <w:right w:val="single" w:color="auto" w:sz="4" w:space="0"/>
            </w:tcBorders>
            <w:shd w:val="clear" w:color="auto" w:fill="auto"/>
            <w:vAlign w:val="center"/>
          </w:tcPr>
          <w:p w14:paraId="07F177C4">
            <w:pPr>
              <w:spacing w:line="560" w:lineRule="exact"/>
              <w:rPr>
                <w:rFonts w:hint="eastAsia" w:ascii="宋体" w:hAnsi="宋体"/>
                <w:bCs/>
                <w:iCs/>
                <w:color w:val="000000"/>
                <w:sz w:val="24"/>
                <w:szCs w:val="24"/>
              </w:rPr>
            </w:pPr>
            <w:r>
              <w:rPr>
                <w:rFonts w:hint="eastAsia" w:ascii="宋体" w:hAnsi="宋体"/>
                <w:bCs/>
                <w:iCs/>
                <w:color w:val="000000"/>
                <w:sz w:val="24"/>
                <w:szCs w:val="24"/>
              </w:rPr>
              <w:t>国联证券、南方基金</w:t>
            </w:r>
          </w:p>
        </w:tc>
      </w:tr>
      <w:tr w14:paraId="390F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14:paraId="04A94593">
            <w:pPr>
              <w:spacing w:line="560" w:lineRule="exact"/>
              <w:jc w:val="center"/>
              <w:rPr>
                <w:rFonts w:hint="eastAsia" w:ascii="宋体" w:hAnsi="宋体"/>
                <w:bCs/>
                <w:iCs/>
                <w:color w:val="000000"/>
                <w:sz w:val="24"/>
                <w:szCs w:val="24"/>
              </w:rPr>
            </w:pPr>
            <w:r>
              <w:rPr>
                <w:rFonts w:hint="eastAsia" w:ascii="宋体" w:hAnsi="宋体"/>
                <w:bCs/>
                <w:iCs/>
                <w:color w:val="000000"/>
                <w:sz w:val="24"/>
                <w:szCs w:val="24"/>
              </w:rPr>
              <w:t>时间</w:t>
            </w:r>
          </w:p>
        </w:tc>
        <w:tc>
          <w:tcPr>
            <w:tcW w:w="7518" w:type="dxa"/>
            <w:tcBorders>
              <w:top w:val="single" w:color="auto" w:sz="4" w:space="0"/>
              <w:left w:val="single" w:color="auto" w:sz="4" w:space="0"/>
              <w:bottom w:val="single" w:color="auto" w:sz="4" w:space="0"/>
              <w:right w:val="single" w:color="auto" w:sz="4" w:space="0"/>
            </w:tcBorders>
            <w:shd w:val="clear" w:color="auto" w:fill="auto"/>
            <w:vAlign w:val="center"/>
          </w:tcPr>
          <w:p w14:paraId="6CDEC3EF">
            <w:pPr>
              <w:spacing w:line="560" w:lineRule="exact"/>
              <w:rPr>
                <w:rFonts w:hint="eastAsia" w:ascii="宋体" w:hAnsi="宋体"/>
                <w:bCs/>
                <w:iCs/>
                <w:color w:val="000000"/>
                <w:sz w:val="24"/>
                <w:szCs w:val="24"/>
              </w:rPr>
            </w:pPr>
            <w:r>
              <w:rPr>
                <w:rFonts w:ascii="宋体" w:hAnsi="宋体"/>
                <w:bCs/>
                <w:iCs/>
                <w:color w:val="000000"/>
                <w:sz w:val="24"/>
                <w:szCs w:val="24"/>
              </w:rPr>
              <w:t>2024年10月18日</w:t>
            </w:r>
            <w:r>
              <w:rPr>
                <w:rFonts w:hint="eastAsia" w:ascii="宋体" w:hAnsi="宋体"/>
                <w:bCs/>
                <w:iCs/>
                <w:color w:val="000000"/>
                <w:sz w:val="24"/>
                <w:szCs w:val="24"/>
              </w:rPr>
              <w:t xml:space="preserve"> 15:00-16:00</w:t>
            </w:r>
          </w:p>
        </w:tc>
      </w:tr>
      <w:tr w14:paraId="6C47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14:paraId="25FEE520">
            <w:pPr>
              <w:spacing w:line="560" w:lineRule="exact"/>
              <w:jc w:val="center"/>
              <w:rPr>
                <w:rFonts w:hint="eastAsia" w:ascii="宋体" w:hAnsi="宋体"/>
                <w:bCs/>
                <w:iCs/>
                <w:color w:val="000000"/>
                <w:sz w:val="24"/>
                <w:szCs w:val="24"/>
              </w:rPr>
            </w:pPr>
            <w:r>
              <w:rPr>
                <w:rFonts w:hint="eastAsia" w:ascii="宋体" w:hAnsi="宋体"/>
                <w:bCs/>
                <w:iCs/>
                <w:color w:val="000000"/>
                <w:sz w:val="24"/>
                <w:szCs w:val="24"/>
              </w:rPr>
              <w:t>地点</w:t>
            </w:r>
          </w:p>
        </w:tc>
        <w:tc>
          <w:tcPr>
            <w:tcW w:w="7518" w:type="dxa"/>
            <w:tcBorders>
              <w:top w:val="single" w:color="auto" w:sz="4" w:space="0"/>
              <w:left w:val="single" w:color="auto" w:sz="4" w:space="0"/>
              <w:bottom w:val="single" w:color="auto" w:sz="4" w:space="0"/>
              <w:right w:val="single" w:color="auto" w:sz="4" w:space="0"/>
            </w:tcBorders>
            <w:shd w:val="clear" w:color="auto" w:fill="auto"/>
            <w:vAlign w:val="center"/>
          </w:tcPr>
          <w:p w14:paraId="3EA8C980">
            <w:pPr>
              <w:spacing w:line="560" w:lineRule="exact"/>
              <w:rPr>
                <w:rFonts w:hint="eastAsia" w:ascii="宋体" w:hAnsi="宋体"/>
                <w:bCs/>
                <w:iCs/>
                <w:color w:val="000000"/>
                <w:sz w:val="24"/>
                <w:szCs w:val="24"/>
              </w:rPr>
            </w:pPr>
            <w:r>
              <w:rPr>
                <w:rFonts w:hint="eastAsia" w:ascii="宋体" w:hAnsi="宋体"/>
                <w:bCs/>
                <w:iCs/>
                <w:color w:val="000000"/>
                <w:sz w:val="24"/>
                <w:szCs w:val="24"/>
              </w:rPr>
              <w:t>线上交流</w:t>
            </w:r>
          </w:p>
        </w:tc>
      </w:tr>
      <w:tr w14:paraId="6E23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14:paraId="7EEE3C38">
            <w:pPr>
              <w:spacing w:line="560" w:lineRule="exact"/>
              <w:jc w:val="center"/>
              <w:rPr>
                <w:rFonts w:hint="eastAsia" w:ascii="宋体" w:hAnsi="宋体"/>
                <w:bCs/>
                <w:iCs/>
                <w:color w:val="000000"/>
                <w:sz w:val="24"/>
                <w:szCs w:val="24"/>
              </w:rPr>
            </w:pPr>
            <w:r>
              <w:rPr>
                <w:rFonts w:hint="eastAsia" w:ascii="宋体" w:hAnsi="宋体"/>
                <w:bCs/>
                <w:iCs/>
                <w:color w:val="000000"/>
                <w:sz w:val="24"/>
                <w:szCs w:val="24"/>
              </w:rPr>
              <w:t>上市公司接待人员姓名</w:t>
            </w:r>
          </w:p>
        </w:tc>
        <w:tc>
          <w:tcPr>
            <w:tcW w:w="7518" w:type="dxa"/>
            <w:tcBorders>
              <w:top w:val="single" w:color="auto" w:sz="4" w:space="0"/>
              <w:left w:val="single" w:color="auto" w:sz="4" w:space="0"/>
              <w:bottom w:val="single" w:color="auto" w:sz="4" w:space="0"/>
              <w:right w:val="single" w:color="auto" w:sz="4" w:space="0"/>
            </w:tcBorders>
            <w:shd w:val="clear" w:color="auto" w:fill="auto"/>
            <w:vAlign w:val="center"/>
          </w:tcPr>
          <w:p w14:paraId="148930D9">
            <w:pPr>
              <w:spacing w:line="560" w:lineRule="exact"/>
              <w:rPr>
                <w:rFonts w:hint="eastAsia" w:ascii="宋体" w:hAnsi="宋体"/>
                <w:bCs/>
                <w:iCs/>
                <w:color w:val="000000"/>
                <w:sz w:val="24"/>
                <w:szCs w:val="24"/>
              </w:rPr>
            </w:pPr>
            <w:r>
              <w:rPr>
                <w:rFonts w:hint="eastAsia" w:ascii="宋体" w:hAnsi="宋体"/>
                <w:bCs/>
                <w:iCs/>
                <w:color w:val="000000"/>
                <w:sz w:val="24"/>
                <w:szCs w:val="24"/>
              </w:rPr>
              <w:t>董事会秘书 付广庆</w:t>
            </w:r>
          </w:p>
        </w:tc>
      </w:tr>
      <w:tr w14:paraId="41EE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14:paraId="362B3930">
            <w:pPr>
              <w:spacing w:line="560" w:lineRule="exact"/>
              <w:jc w:val="center"/>
              <w:rPr>
                <w:rFonts w:hint="eastAsia" w:ascii="宋体" w:hAnsi="宋体"/>
                <w:bCs/>
                <w:iCs/>
                <w:color w:val="000000"/>
                <w:sz w:val="24"/>
                <w:szCs w:val="24"/>
              </w:rPr>
            </w:pPr>
            <w:r>
              <w:rPr>
                <w:rFonts w:hint="eastAsia" w:ascii="宋体" w:hAnsi="宋体"/>
                <w:bCs/>
                <w:iCs/>
                <w:color w:val="000000"/>
                <w:sz w:val="24"/>
                <w:szCs w:val="24"/>
              </w:rPr>
              <w:t>投资者关系活动</w:t>
            </w:r>
          </w:p>
          <w:p w14:paraId="79A4392F">
            <w:pPr>
              <w:spacing w:line="560" w:lineRule="exact"/>
              <w:jc w:val="center"/>
              <w:rPr>
                <w:rFonts w:hint="eastAsia" w:ascii="宋体" w:hAnsi="宋体"/>
                <w:bCs/>
                <w:iCs/>
                <w:color w:val="000000"/>
                <w:sz w:val="24"/>
                <w:szCs w:val="24"/>
              </w:rPr>
            </w:pPr>
            <w:r>
              <w:rPr>
                <w:rFonts w:hint="eastAsia" w:ascii="宋体" w:hAnsi="宋体"/>
                <w:bCs/>
                <w:iCs/>
                <w:color w:val="000000"/>
                <w:sz w:val="24"/>
                <w:szCs w:val="24"/>
              </w:rPr>
              <w:t>主要内容介绍</w:t>
            </w:r>
          </w:p>
        </w:tc>
        <w:tc>
          <w:tcPr>
            <w:tcW w:w="7518" w:type="dxa"/>
            <w:tcBorders>
              <w:top w:val="single" w:color="auto" w:sz="4" w:space="0"/>
              <w:left w:val="single" w:color="auto" w:sz="4" w:space="0"/>
              <w:bottom w:val="single" w:color="auto" w:sz="4" w:space="0"/>
              <w:right w:val="single" w:color="auto" w:sz="4" w:space="0"/>
            </w:tcBorders>
            <w:shd w:val="clear" w:color="auto" w:fill="auto"/>
            <w:vAlign w:val="center"/>
          </w:tcPr>
          <w:p w14:paraId="55CCC318">
            <w:pPr>
              <w:spacing w:line="560" w:lineRule="exact"/>
              <w:rPr>
                <w:rFonts w:hint="eastAsia" w:ascii="宋体" w:hAnsi="宋体"/>
                <w:bCs/>
                <w:iCs/>
                <w:color w:val="000000"/>
                <w:sz w:val="24"/>
                <w:szCs w:val="24"/>
              </w:rPr>
            </w:pPr>
            <w:r>
              <w:rPr>
                <w:rFonts w:hint="eastAsia" w:ascii="宋体" w:hAnsi="宋体"/>
                <w:bCs/>
                <w:iCs/>
                <w:color w:val="000000"/>
                <w:sz w:val="24"/>
                <w:szCs w:val="24"/>
              </w:rPr>
              <w:t>一、公司概况介绍</w:t>
            </w:r>
          </w:p>
          <w:p w14:paraId="2C32B27E">
            <w:pPr>
              <w:spacing w:line="560" w:lineRule="exact"/>
              <w:ind w:firstLine="480" w:firstLineChars="200"/>
              <w:rPr>
                <w:rFonts w:hint="eastAsia" w:ascii="宋体" w:hAnsi="宋体"/>
                <w:bCs/>
                <w:iCs/>
                <w:color w:val="000000"/>
                <w:sz w:val="24"/>
                <w:szCs w:val="24"/>
              </w:rPr>
            </w:pPr>
            <w:r>
              <w:rPr>
                <w:rFonts w:hint="eastAsia" w:ascii="宋体" w:hAnsi="宋体"/>
                <w:bCs/>
                <w:iCs/>
                <w:color w:val="000000"/>
                <w:sz w:val="24"/>
                <w:szCs w:val="24"/>
              </w:rPr>
              <w:t>中国高科董事会秘书就公司业务及主要产品、战略布局、经营情况等方面的情况进行了介绍。</w:t>
            </w:r>
          </w:p>
          <w:p w14:paraId="2FF64D56">
            <w:pPr>
              <w:spacing w:line="560" w:lineRule="exact"/>
              <w:rPr>
                <w:rFonts w:hint="eastAsia" w:ascii="宋体" w:hAnsi="宋体"/>
                <w:bCs/>
                <w:iCs/>
                <w:color w:val="000000"/>
                <w:sz w:val="24"/>
                <w:szCs w:val="24"/>
              </w:rPr>
            </w:pPr>
            <w:r>
              <w:rPr>
                <w:rFonts w:hint="eastAsia" w:ascii="宋体" w:hAnsi="宋体"/>
                <w:bCs/>
                <w:iCs/>
                <w:color w:val="000000"/>
                <w:sz w:val="24"/>
                <w:szCs w:val="24"/>
              </w:rPr>
              <w:t>二、互动交流</w:t>
            </w:r>
          </w:p>
          <w:p w14:paraId="3BEA9FD2">
            <w:pPr>
              <w:spacing w:line="560" w:lineRule="exact"/>
              <w:rPr>
                <w:rFonts w:hint="eastAsia" w:ascii="宋体" w:hAnsi="宋体"/>
                <w:b/>
                <w:iCs/>
                <w:color w:val="000000"/>
                <w:sz w:val="24"/>
                <w:szCs w:val="24"/>
              </w:rPr>
            </w:pPr>
            <w:r>
              <w:rPr>
                <w:rFonts w:hint="eastAsia" w:ascii="宋体" w:hAnsi="宋体"/>
                <w:b/>
                <w:iCs/>
                <w:color w:val="000000"/>
                <w:sz w:val="24"/>
                <w:szCs w:val="24"/>
              </w:rPr>
              <w:t>1、问题：公司未来发展规划是什么？留意到公司营业收入量级相对较小，但资产质量及现金储备较高，后续公司是否有计划提高相关资产利用率？</w:t>
            </w:r>
          </w:p>
          <w:p w14:paraId="69BA0583">
            <w:pPr>
              <w:spacing w:line="560" w:lineRule="exact"/>
              <w:rPr>
                <w:rFonts w:hint="eastAsia" w:ascii="宋体" w:hAnsi="宋体"/>
                <w:bCs/>
                <w:iCs/>
                <w:color w:val="000000"/>
                <w:sz w:val="24"/>
                <w:szCs w:val="24"/>
              </w:rPr>
            </w:pPr>
            <w:r>
              <w:rPr>
                <w:rFonts w:hint="eastAsia" w:ascii="宋体" w:hAnsi="宋体"/>
                <w:bCs/>
                <w:iCs/>
                <w:color w:val="000000"/>
                <w:sz w:val="24"/>
                <w:szCs w:val="24"/>
              </w:rPr>
              <w:t>回复：自2015年公司确定转型教育至今，公司的教育业务已成为收入的基</w:t>
            </w:r>
            <w:bookmarkStart w:id="0" w:name="_GoBack"/>
            <w:bookmarkEnd w:id="0"/>
            <w:r>
              <w:rPr>
                <w:rFonts w:hint="eastAsia" w:ascii="宋体" w:hAnsi="宋体"/>
                <w:bCs/>
                <w:iCs/>
                <w:color w:val="000000"/>
                <w:sz w:val="24"/>
                <w:szCs w:val="24"/>
              </w:rPr>
              <w:t>石，加上公司不动产运营业务所带来的收入，公司整体收入连续三年实现正增长，后续依然会稳健经营现有业务，同时，公司也深知拓展新的价值增长极的重要性，今年以来，公司在维持现有业务稳健发展的基础上，积极拓展了新的资产服务业务。</w:t>
            </w:r>
          </w:p>
          <w:p w14:paraId="5E965278">
            <w:pPr>
              <w:spacing w:line="560" w:lineRule="exact"/>
              <w:ind w:firstLine="480" w:firstLineChars="200"/>
              <w:rPr>
                <w:rFonts w:hint="eastAsia" w:ascii="宋体" w:hAnsi="宋体"/>
                <w:bCs/>
                <w:iCs/>
                <w:color w:val="000000"/>
                <w:sz w:val="24"/>
                <w:szCs w:val="24"/>
              </w:rPr>
            </w:pPr>
            <w:r>
              <w:rPr>
                <w:rFonts w:hint="eastAsia" w:ascii="宋体" w:hAnsi="宋体"/>
                <w:bCs/>
                <w:iCs/>
                <w:color w:val="000000"/>
                <w:sz w:val="24"/>
                <w:szCs w:val="24"/>
              </w:rPr>
              <w:t>关于提升公司资产利用率，一方面，公司正在筹备将所持有的深圳高科南山大厦进行城市更新改造，以期充分发挥该地块的商业价值、提升公司资产的价值以及远期收益率。另一方面，公司近年来也持续在研究、构思、酝酿通过外延并购的方式获取新的业务和更好的资产，增厚公司的整体收入。公司持续关注市场上优质的并购重组机会，并将结合自己的发展需要择机推动，建议持续关注。</w:t>
            </w:r>
          </w:p>
          <w:p w14:paraId="69F74FA2">
            <w:pPr>
              <w:spacing w:line="560" w:lineRule="exact"/>
              <w:rPr>
                <w:rFonts w:hint="eastAsia" w:ascii="宋体" w:hAnsi="宋体"/>
                <w:bCs/>
                <w:iCs/>
                <w:color w:val="000000"/>
                <w:sz w:val="24"/>
                <w:szCs w:val="24"/>
              </w:rPr>
            </w:pPr>
          </w:p>
          <w:p w14:paraId="3FFB5970">
            <w:pPr>
              <w:spacing w:line="560" w:lineRule="exact"/>
              <w:rPr>
                <w:rFonts w:hint="eastAsia" w:ascii="宋体" w:hAnsi="宋体"/>
                <w:bCs/>
                <w:iCs/>
                <w:color w:val="000000"/>
                <w:sz w:val="24"/>
                <w:szCs w:val="24"/>
              </w:rPr>
            </w:pPr>
            <w:r>
              <w:rPr>
                <w:rFonts w:hint="eastAsia" w:ascii="宋体" w:hAnsi="宋体"/>
                <w:b/>
                <w:iCs/>
                <w:color w:val="000000"/>
                <w:sz w:val="24"/>
                <w:szCs w:val="24"/>
              </w:rPr>
              <w:t>2、问题：目前市场的并购整合环境良好，未来公司探索业务第二增长曲线的大致方向或业务领域是什么？</w:t>
            </w:r>
          </w:p>
          <w:p w14:paraId="2B6EEECF">
            <w:pPr>
              <w:spacing w:line="560" w:lineRule="exact"/>
              <w:rPr>
                <w:rFonts w:hint="eastAsia" w:ascii="宋体" w:hAnsi="宋体"/>
                <w:bCs/>
                <w:iCs/>
                <w:color w:val="000000"/>
                <w:sz w:val="24"/>
                <w:szCs w:val="24"/>
              </w:rPr>
            </w:pPr>
            <w:r>
              <w:rPr>
                <w:rFonts w:hint="eastAsia" w:ascii="宋体" w:hAnsi="宋体"/>
                <w:bCs/>
                <w:iCs/>
                <w:color w:val="000000"/>
                <w:sz w:val="24"/>
                <w:szCs w:val="24"/>
              </w:rPr>
              <w:t>回复：2024年，</w:t>
            </w:r>
            <w:r>
              <w:rPr>
                <w:rFonts w:ascii="宋体" w:hAnsi="宋体"/>
                <w:bCs/>
                <w:iCs/>
                <w:color w:val="000000"/>
                <w:sz w:val="24"/>
                <w:szCs w:val="24"/>
              </w:rPr>
              <w:t>随着教育、消费相关政策指引的积极调整，教育行业的市场趋势</w:t>
            </w:r>
            <w:r>
              <w:rPr>
                <w:rFonts w:hint="eastAsia" w:ascii="宋体" w:hAnsi="宋体"/>
                <w:bCs/>
                <w:iCs/>
                <w:color w:val="000000"/>
                <w:sz w:val="24"/>
                <w:szCs w:val="24"/>
              </w:rPr>
              <w:t>有所回升</w:t>
            </w:r>
            <w:r>
              <w:rPr>
                <w:rFonts w:ascii="宋体" w:hAnsi="宋体"/>
                <w:bCs/>
                <w:iCs/>
                <w:color w:val="000000"/>
                <w:sz w:val="24"/>
                <w:szCs w:val="24"/>
              </w:rPr>
              <w:t>。我们也留意到，对</w:t>
            </w:r>
            <w:r>
              <w:rPr>
                <w:rFonts w:hint="eastAsia" w:ascii="宋体" w:hAnsi="宋体"/>
                <w:bCs/>
                <w:iCs/>
                <w:color w:val="000000"/>
                <w:sz w:val="24"/>
                <w:szCs w:val="24"/>
              </w:rPr>
              <w:t>资本市场并购重组的</w:t>
            </w:r>
            <w:r>
              <w:rPr>
                <w:rFonts w:hint="eastAsia" w:ascii="宋体" w:hAnsi="宋体"/>
                <w:bCs/>
                <w:iCs/>
                <w:color w:val="000000"/>
                <w:sz w:val="24"/>
                <w:szCs w:val="24"/>
                <w:highlight w:val="yellow"/>
                <w:lang w:val="en-US" w:eastAsia="zh-CN"/>
              </w:rPr>
              <w:t>政策导向</w:t>
            </w:r>
            <w:r>
              <w:rPr>
                <w:rFonts w:hint="eastAsia" w:ascii="宋体" w:hAnsi="宋体"/>
                <w:bCs/>
                <w:iCs/>
                <w:color w:val="000000"/>
                <w:sz w:val="24"/>
                <w:szCs w:val="24"/>
              </w:rPr>
              <w:t>也有呈现出</w:t>
            </w:r>
            <w:r>
              <w:rPr>
                <w:rFonts w:hint="eastAsia" w:ascii="宋体" w:hAnsi="宋体"/>
                <w:bCs/>
                <w:iCs/>
                <w:color w:val="000000"/>
                <w:sz w:val="24"/>
                <w:szCs w:val="24"/>
                <w:highlight w:val="yellow"/>
                <w:lang w:val="en-US" w:eastAsia="zh-CN"/>
              </w:rPr>
              <w:t>新</w:t>
            </w:r>
            <w:r>
              <w:rPr>
                <w:rFonts w:hint="eastAsia" w:ascii="宋体" w:hAnsi="宋体"/>
                <w:bCs/>
                <w:iCs/>
                <w:color w:val="000000"/>
                <w:sz w:val="24"/>
                <w:szCs w:val="24"/>
                <w:highlight w:val="yellow"/>
              </w:rPr>
              <w:t>的趋</w:t>
            </w:r>
            <w:r>
              <w:rPr>
                <w:rFonts w:hint="eastAsia" w:ascii="宋体" w:hAnsi="宋体"/>
                <w:bCs/>
                <w:iCs/>
                <w:color w:val="000000"/>
                <w:sz w:val="24"/>
                <w:szCs w:val="24"/>
              </w:rPr>
              <w:t>势。在这个背景下，公司对并购业务领域保持开放性，会继续深入研究与公司业务具有关联性以及其他符合国家战略导向及政策鼓励的相关业务领域。</w:t>
            </w:r>
          </w:p>
          <w:p w14:paraId="557BC9C2">
            <w:pPr>
              <w:spacing w:line="560" w:lineRule="exact"/>
              <w:rPr>
                <w:rFonts w:hint="eastAsia" w:ascii="宋体" w:hAnsi="宋体"/>
                <w:bCs/>
                <w:iCs/>
                <w:color w:val="000000"/>
                <w:sz w:val="24"/>
                <w:szCs w:val="24"/>
              </w:rPr>
            </w:pPr>
          </w:p>
          <w:p w14:paraId="787DC7A2">
            <w:pPr>
              <w:spacing w:line="560" w:lineRule="exact"/>
              <w:rPr>
                <w:rFonts w:hint="eastAsia" w:ascii="宋体" w:hAnsi="宋体"/>
                <w:b/>
                <w:iCs/>
                <w:color w:val="000000"/>
                <w:sz w:val="24"/>
                <w:szCs w:val="24"/>
              </w:rPr>
            </w:pPr>
            <w:r>
              <w:rPr>
                <w:rFonts w:hint="eastAsia" w:ascii="宋体" w:hAnsi="宋体"/>
                <w:b/>
                <w:iCs/>
                <w:color w:val="000000"/>
                <w:sz w:val="24"/>
                <w:szCs w:val="24"/>
              </w:rPr>
              <w:t>3、问题：未来，公司在分红方面是如何计划的？</w:t>
            </w:r>
          </w:p>
          <w:p w14:paraId="0C608C5D">
            <w:pPr>
              <w:spacing w:line="560" w:lineRule="exact"/>
              <w:rPr>
                <w:rFonts w:hint="eastAsia" w:ascii="宋体" w:hAnsi="宋体"/>
                <w:bCs/>
                <w:iCs/>
                <w:color w:val="000000"/>
                <w:sz w:val="24"/>
                <w:szCs w:val="24"/>
              </w:rPr>
            </w:pPr>
            <w:r>
              <w:rPr>
                <w:rFonts w:hint="eastAsia" w:ascii="宋体" w:hAnsi="宋体"/>
                <w:bCs/>
                <w:iCs/>
                <w:color w:val="000000"/>
                <w:sz w:val="24"/>
                <w:szCs w:val="24"/>
              </w:rPr>
              <w:t>回复：公司将在达到章程确定的分红条件时，根据自身发展阶段和自身经营模式、盈利水平、资金需求等因素，制定合理的分红计划，并及时履行信息披露义务。</w:t>
            </w:r>
          </w:p>
          <w:p w14:paraId="2FEB8C0E">
            <w:pPr>
              <w:spacing w:line="560" w:lineRule="exact"/>
              <w:rPr>
                <w:rFonts w:hint="eastAsia" w:ascii="宋体" w:hAnsi="宋体"/>
                <w:bCs/>
                <w:iCs/>
                <w:color w:val="000000"/>
                <w:sz w:val="24"/>
                <w:szCs w:val="24"/>
              </w:rPr>
            </w:pPr>
          </w:p>
          <w:p w14:paraId="6EF57EA9">
            <w:pPr>
              <w:spacing w:line="560" w:lineRule="exact"/>
              <w:rPr>
                <w:rFonts w:hint="eastAsia" w:ascii="宋体" w:hAnsi="宋体"/>
                <w:b/>
                <w:iCs/>
                <w:color w:val="000000"/>
                <w:sz w:val="24"/>
                <w:szCs w:val="24"/>
              </w:rPr>
            </w:pPr>
            <w:r>
              <w:rPr>
                <w:rFonts w:hint="eastAsia" w:ascii="宋体" w:hAnsi="宋体"/>
                <w:b/>
                <w:iCs/>
                <w:color w:val="000000"/>
                <w:sz w:val="24"/>
                <w:szCs w:val="24"/>
              </w:rPr>
              <w:t>4、问题： 2024年半年报显示，公司拥有投资性房地产约7.75亿，具体包括什么？</w:t>
            </w:r>
          </w:p>
          <w:p w14:paraId="725E956B">
            <w:pPr>
              <w:spacing w:line="560" w:lineRule="exact"/>
              <w:rPr>
                <w:rFonts w:hint="eastAsia" w:ascii="宋体" w:hAnsi="宋体"/>
                <w:bCs/>
                <w:iCs/>
                <w:color w:val="000000"/>
                <w:sz w:val="24"/>
                <w:szCs w:val="24"/>
              </w:rPr>
            </w:pPr>
            <w:r>
              <w:rPr>
                <w:rFonts w:hint="eastAsia" w:ascii="宋体" w:hAnsi="宋体"/>
                <w:bCs/>
                <w:iCs/>
                <w:color w:val="000000"/>
                <w:sz w:val="24"/>
                <w:szCs w:val="24"/>
              </w:rPr>
              <w:t>回复：公司投资性房地产包括地处深圳的高科南山大厦、航都大厦17层相关房产，以及上海的</w:t>
            </w:r>
            <w:r>
              <w:rPr>
                <w:rFonts w:ascii="宋体" w:hAnsi="宋体"/>
                <w:bCs/>
                <w:iCs/>
                <w:color w:val="000000"/>
                <w:sz w:val="24"/>
                <w:szCs w:val="24"/>
              </w:rPr>
              <w:t>招商局广场16、17层和方正大厦9、10层房产</w:t>
            </w:r>
            <w:r>
              <w:rPr>
                <w:rFonts w:hint="eastAsia" w:ascii="宋体" w:hAnsi="宋体"/>
                <w:bCs/>
                <w:iCs/>
                <w:color w:val="000000"/>
                <w:sz w:val="24"/>
                <w:szCs w:val="24"/>
              </w:rPr>
              <w:t>。</w:t>
            </w:r>
          </w:p>
          <w:p w14:paraId="1F88C027">
            <w:pPr>
              <w:spacing w:line="560" w:lineRule="exact"/>
              <w:rPr>
                <w:rFonts w:hint="eastAsia" w:ascii="宋体" w:hAnsi="宋体"/>
                <w:bCs/>
                <w:iCs/>
                <w:color w:val="000000"/>
                <w:sz w:val="24"/>
                <w:szCs w:val="24"/>
              </w:rPr>
            </w:pPr>
          </w:p>
          <w:p w14:paraId="7AD3F0C5">
            <w:pPr>
              <w:spacing w:line="560" w:lineRule="exact"/>
              <w:rPr>
                <w:rFonts w:hint="eastAsia" w:ascii="宋体" w:hAnsi="宋体"/>
                <w:b/>
                <w:iCs/>
                <w:color w:val="000000"/>
                <w:sz w:val="24"/>
                <w:szCs w:val="24"/>
              </w:rPr>
            </w:pPr>
            <w:r>
              <w:rPr>
                <w:rFonts w:hint="eastAsia" w:ascii="宋体" w:hAnsi="宋体"/>
                <w:b/>
                <w:iCs/>
                <w:color w:val="000000"/>
                <w:sz w:val="24"/>
                <w:szCs w:val="24"/>
              </w:rPr>
              <w:t>5、问题：控股股东后续对所持有的公司股票有何安排，是否会增持或转让？</w:t>
            </w:r>
          </w:p>
          <w:p w14:paraId="69D0565B">
            <w:pPr>
              <w:spacing w:line="560" w:lineRule="exact"/>
              <w:rPr>
                <w:rFonts w:hint="eastAsia" w:ascii="宋体" w:hAnsi="宋体"/>
                <w:bCs/>
                <w:iCs/>
                <w:color w:val="000000"/>
                <w:sz w:val="24"/>
                <w:szCs w:val="24"/>
              </w:rPr>
            </w:pPr>
            <w:r>
              <w:rPr>
                <w:rFonts w:hint="eastAsia" w:ascii="宋体" w:hAnsi="宋体"/>
                <w:bCs/>
                <w:iCs/>
                <w:color w:val="000000"/>
                <w:sz w:val="24"/>
                <w:szCs w:val="24"/>
              </w:rPr>
              <w:t>回复：股东对所持股权整体安排的考虑，公司尚未知悉。如后续接收到相关通知，公司会按照监管规则及时进行公告。</w:t>
            </w:r>
          </w:p>
          <w:p w14:paraId="35315DF9">
            <w:pPr>
              <w:spacing w:line="560" w:lineRule="exact"/>
              <w:rPr>
                <w:rFonts w:hint="eastAsia" w:ascii="宋体" w:hAnsi="宋体"/>
                <w:bCs/>
                <w:iCs/>
                <w:color w:val="000000"/>
                <w:sz w:val="24"/>
                <w:szCs w:val="24"/>
              </w:rPr>
            </w:pPr>
          </w:p>
        </w:tc>
      </w:tr>
      <w:tr w14:paraId="2A86F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14:paraId="4B50710F">
            <w:pPr>
              <w:spacing w:line="560" w:lineRule="exact"/>
              <w:jc w:val="center"/>
              <w:rPr>
                <w:rFonts w:hint="eastAsia" w:ascii="宋体" w:hAnsi="宋体"/>
                <w:bCs/>
                <w:iCs/>
                <w:color w:val="000000"/>
                <w:sz w:val="24"/>
                <w:szCs w:val="24"/>
              </w:rPr>
            </w:pPr>
            <w:r>
              <w:rPr>
                <w:rFonts w:hint="eastAsia" w:ascii="宋体" w:hAnsi="宋体"/>
                <w:bCs/>
                <w:iCs/>
                <w:color w:val="000000"/>
                <w:sz w:val="24"/>
                <w:szCs w:val="24"/>
              </w:rPr>
              <w:t>关于本次活动是否涉</w:t>
            </w:r>
          </w:p>
          <w:p w14:paraId="680E1DE5">
            <w:pPr>
              <w:spacing w:line="560" w:lineRule="exact"/>
              <w:jc w:val="center"/>
              <w:rPr>
                <w:rFonts w:hint="eastAsia" w:ascii="宋体" w:hAnsi="宋体"/>
                <w:bCs/>
                <w:iCs/>
                <w:color w:val="000000"/>
                <w:sz w:val="24"/>
                <w:szCs w:val="24"/>
              </w:rPr>
            </w:pPr>
            <w:r>
              <w:rPr>
                <w:rFonts w:hint="eastAsia" w:ascii="宋体" w:hAnsi="宋体"/>
                <w:bCs/>
                <w:iCs/>
                <w:color w:val="000000"/>
                <w:sz w:val="24"/>
                <w:szCs w:val="24"/>
              </w:rPr>
              <w:t>及应披露重大信息的</w:t>
            </w:r>
          </w:p>
          <w:p w14:paraId="613896BF">
            <w:pPr>
              <w:spacing w:line="560" w:lineRule="exact"/>
              <w:jc w:val="center"/>
              <w:rPr>
                <w:rFonts w:hint="eastAsia" w:ascii="宋体" w:hAnsi="宋体"/>
                <w:bCs/>
                <w:iCs/>
                <w:color w:val="000000"/>
                <w:sz w:val="24"/>
                <w:szCs w:val="24"/>
              </w:rPr>
            </w:pPr>
            <w:r>
              <w:rPr>
                <w:rFonts w:hint="eastAsia" w:ascii="宋体" w:hAnsi="宋体"/>
                <w:bCs/>
                <w:iCs/>
                <w:color w:val="000000"/>
                <w:sz w:val="24"/>
                <w:szCs w:val="24"/>
              </w:rPr>
              <w:t>说明</w:t>
            </w:r>
          </w:p>
        </w:tc>
        <w:tc>
          <w:tcPr>
            <w:tcW w:w="7518" w:type="dxa"/>
            <w:tcBorders>
              <w:top w:val="single" w:color="auto" w:sz="4" w:space="0"/>
              <w:left w:val="single" w:color="auto" w:sz="4" w:space="0"/>
              <w:bottom w:val="single" w:color="auto" w:sz="4" w:space="0"/>
              <w:right w:val="single" w:color="auto" w:sz="4" w:space="0"/>
            </w:tcBorders>
            <w:shd w:val="clear" w:color="auto" w:fill="auto"/>
            <w:vAlign w:val="center"/>
          </w:tcPr>
          <w:p w14:paraId="52FC0CE1">
            <w:pPr>
              <w:spacing w:line="560" w:lineRule="exact"/>
              <w:rPr>
                <w:rFonts w:hint="eastAsia" w:ascii="宋体" w:hAnsi="宋体"/>
                <w:bCs/>
                <w:iCs/>
                <w:color w:val="000000"/>
                <w:sz w:val="24"/>
                <w:szCs w:val="24"/>
              </w:rPr>
            </w:pPr>
            <w:r>
              <w:rPr>
                <w:rFonts w:hint="eastAsia" w:ascii="宋体" w:hAnsi="宋体"/>
                <w:bCs/>
                <w:iCs/>
                <w:color w:val="000000"/>
                <w:sz w:val="24"/>
                <w:szCs w:val="24"/>
              </w:rPr>
              <w:t>无</w:t>
            </w:r>
          </w:p>
        </w:tc>
      </w:tr>
      <w:tr w14:paraId="462B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14:paraId="0360A5AB">
            <w:pPr>
              <w:spacing w:line="560" w:lineRule="exact"/>
              <w:jc w:val="center"/>
              <w:rPr>
                <w:rFonts w:hint="eastAsia" w:ascii="宋体" w:hAnsi="宋体"/>
                <w:bCs/>
                <w:iCs/>
                <w:color w:val="000000"/>
                <w:sz w:val="24"/>
                <w:szCs w:val="24"/>
              </w:rPr>
            </w:pPr>
            <w:r>
              <w:rPr>
                <w:rFonts w:hint="eastAsia" w:ascii="宋体" w:hAnsi="宋体"/>
                <w:bCs/>
                <w:iCs/>
                <w:color w:val="000000"/>
                <w:sz w:val="24"/>
                <w:szCs w:val="24"/>
              </w:rPr>
              <w:t>附件清单（如有）</w:t>
            </w:r>
          </w:p>
        </w:tc>
        <w:tc>
          <w:tcPr>
            <w:tcW w:w="7518" w:type="dxa"/>
            <w:tcBorders>
              <w:top w:val="single" w:color="auto" w:sz="4" w:space="0"/>
              <w:left w:val="single" w:color="auto" w:sz="4" w:space="0"/>
              <w:bottom w:val="single" w:color="auto" w:sz="4" w:space="0"/>
              <w:right w:val="single" w:color="auto" w:sz="4" w:space="0"/>
            </w:tcBorders>
            <w:shd w:val="clear" w:color="auto" w:fill="auto"/>
            <w:vAlign w:val="center"/>
          </w:tcPr>
          <w:p w14:paraId="2DC05289">
            <w:pPr>
              <w:spacing w:line="560" w:lineRule="exact"/>
              <w:rPr>
                <w:rFonts w:hint="eastAsia" w:ascii="宋体" w:hAnsi="宋体"/>
                <w:bCs/>
                <w:iCs/>
                <w:color w:val="000000"/>
                <w:sz w:val="24"/>
                <w:szCs w:val="24"/>
              </w:rPr>
            </w:pPr>
            <w:r>
              <w:rPr>
                <w:rFonts w:hint="eastAsia" w:ascii="宋体" w:hAnsi="宋体"/>
                <w:bCs/>
                <w:iCs/>
                <w:color w:val="000000"/>
                <w:sz w:val="24"/>
                <w:szCs w:val="24"/>
              </w:rPr>
              <w:t>无</w:t>
            </w:r>
          </w:p>
        </w:tc>
      </w:tr>
    </w:tbl>
    <w:p w14:paraId="76CB2574">
      <w:pPr>
        <w:snapToGrid w:val="0"/>
        <w:spacing w:line="560" w:lineRule="exact"/>
        <w:jc w:val="left"/>
        <w:outlineLvl w:val="0"/>
        <w:rPr>
          <w:rFonts w:hint="eastAsia" w:ascii="仿宋" w:hAnsi="仿宋" w:eastAsia="仿宋"/>
          <w:color w:val="000000"/>
          <w:sz w:val="28"/>
          <w:szCs w:val="28"/>
        </w:rPr>
      </w:pPr>
    </w:p>
    <w:p w14:paraId="3685E51D">
      <w:pPr>
        <w:widowControl/>
        <w:jc w:val="left"/>
        <w:rPr>
          <w:rFonts w:hint="eastAsia" w:ascii="仿宋" w:hAnsi="仿宋" w:eastAsia="仿宋"/>
          <w:color w:val="000000"/>
          <w:sz w:val="28"/>
          <w:szCs w:val="28"/>
        </w:rPr>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5851402"/>
      <w:docPartObj>
        <w:docPartGallery w:val="AutoText"/>
      </w:docPartObj>
    </w:sdtPr>
    <w:sdtContent>
      <w:p w14:paraId="6BC8FDB0">
        <w:pPr>
          <w:pStyle w:val="4"/>
          <w:jc w:val="center"/>
        </w:pPr>
        <w:r>
          <w:fldChar w:fldCharType="begin"/>
        </w:r>
        <w:r>
          <w:instrText xml:space="preserve">PAGE   \* MERGEFORMAT</w:instrText>
        </w:r>
        <w:r>
          <w:fldChar w:fldCharType="separate"/>
        </w:r>
        <w:r>
          <w:rPr>
            <w:lang w:val="zh-CN"/>
          </w:rPr>
          <w:t>3</w:t>
        </w:r>
        <w:r>
          <w:fldChar w:fldCharType="end"/>
        </w:r>
      </w:p>
    </w:sdtContent>
  </w:sdt>
  <w:p w14:paraId="18B93EBA">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9"/>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iZTY0OTliYjMxYzI5MGFmZGU3MTY2MWM1ZDE5NzcifQ=="/>
  </w:docVars>
  <w:rsids>
    <w:rsidRoot w:val="00534EC7"/>
    <w:rsid w:val="00000760"/>
    <w:rsid w:val="00017330"/>
    <w:rsid w:val="00020FEE"/>
    <w:rsid w:val="00021249"/>
    <w:rsid w:val="000217CC"/>
    <w:rsid w:val="000342E6"/>
    <w:rsid w:val="00036C31"/>
    <w:rsid w:val="000378EC"/>
    <w:rsid w:val="00040B0B"/>
    <w:rsid w:val="00047460"/>
    <w:rsid w:val="000534FF"/>
    <w:rsid w:val="0005646B"/>
    <w:rsid w:val="000570DC"/>
    <w:rsid w:val="00071393"/>
    <w:rsid w:val="000850E0"/>
    <w:rsid w:val="00090D31"/>
    <w:rsid w:val="0009135D"/>
    <w:rsid w:val="00096403"/>
    <w:rsid w:val="000A0E7D"/>
    <w:rsid w:val="000B616A"/>
    <w:rsid w:val="000B6D71"/>
    <w:rsid w:val="000C0420"/>
    <w:rsid w:val="000C19BA"/>
    <w:rsid w:val="000C4C0C"/>
    <w:rsid w:val="000C52C5"/>
    <w:rsid w:val="000D0564"/>
    <w:rsid w:val="000D4F18"/>
    <w:rsid w:val="000D6EEC"/>
    <w:rsid w:val="000E016E"/>
    <w:rsid w:val="000E03EE"/>
    <w:rsid w:val="000E41FD"/>
    <w:rsid w:val="000E46D1"/>
    <w:rsid w:val="000F08DD"/>
    <w:rsid w:val="000F3C01"/>
    <w:rsid w:val="00101B6B"/>
    <w:rsid w:val="00101E58"/>
    <w:rsid w:val="001038FD"/>
    <w:rsid w:val="001049D8"/>
    <w:rsid w:val="001224BC"/>
    <w:rsid w:val="00130FB3"/>
    <w:rsid w:val="00133DB5"/>
    <w:rsid w:val="00136102"/>
    <w:rsid w:val="00146035"/>
    <w:rsid w:val="00151D20"/>
    <w:rsid w:val="00157EA2"/>
    <w:rsid w:val="0016222E"/>
    <w:rsid w:val="001641E0"/>
    <w:rsid w:val="00172591"/>
    <w:rsid w:val="001877B1"/>
    <w:rsid w:val="001A67B0"/>
    <w:rsid w:val="001D0D0B"/>
    <w:rsid w:val="001E4AF9"/>
    <w:rsid w:val="001F4C14"/>
    <w:rsid w:val="002016FF"/>
    <w:rsid w:val="0020392E"/>
    <w:rsid w:val="002339BD"/>
    <w:rsid w:val="002350AC"/>
    <w:rsid w:val="00245412"/>
    <w:rsid w:val="00253294"/>
    <w:rsid w:val="00264E51"/>
    <w:rsid w:val="0029551D"/>
    <w:rsid w:val="00296064"/>
    <w:rsid w:val="00297CCB"/>
    <w:rsid w:val="002C1BE8"/>
    <w:rsid w:val="002C296A"/>
    <w:rsid w:val="002C5F88"/>
    <w:rsid w:val="002D0E08"/>
    <w:rsid w:val="002F2C8D"/>
    <w:rsid w:val="002F2D8C"/>
    <w:rsid w:val="002F4F0B"/>
    <w:rsid w:val="0030167B"/>
    <w:rsid w:val="00306E10"/>
    <w:rsid w:val="00310141"/>
    <w:rsid w:val="00320369"/>
    <w:rsid w:val="00322DBA"/>
    <w:rsid w:val="00337A5C"/>
    <w:rsid w:val="00340453"/>
    <w:rsid w:val="003464F5"/>
    <w:rsid w:val="00347C77"/>
    <w:rsid w:val="00352BCB"/>
    <w:rsid w:val="00354E06"/>
    <w:rsid w:val="00366DA7"/>
    <w:rsid w:val="00376505"/>
    <w:rsid w:val="00376B2F"/>
    <w:rsid w:val="00381E11"/>
    <w:rsid w:val="00385F13"/>
    <w:rsid w:val="00392FE0"/>
    <w:rsid w:val="003A53BB"/>
    <w:rsid w:val="003B0604"/>
    <w:rsid w:val="003B11B2"/>
    <w:rsid w:val="003B11C4"/>
    <w:rsid w:val="003B6D9E"/>
    <w:rsid w:val="003C5681"/>
    <w:rsid w:val="003D0493"/>
    <w:rsid w:val="003D3AF0"/>
    <w:rsid w:val="003D6140"/>
    <w:rsid w:val="003D715F"/>
    <w:rsid w:val="003E5E8F"/>
    <w:rsid w:val="003F0CF1"/>
    <w:rsid w:val="003F0D3D"/>
    <w:rsid w:val="003F1393"/>
    <w:rsid w:val="003F5E71"/>
    <w:rsid w:val="003F7368"/>
    <w:rsid w:val="003F7511"/>
    <w:rsid w:val="0040048E"/>
    <w:rsid w:val="004026EF"/>
    <w:rsid w:val="00404B8E"/>
    <w:rsid w:val="00404D87"/>
    <w:rsid w:val="00406DCD"/>
    <w:rsid w:val="004146FA"/>
    <w:rsid w:val="0042526C"/>
    <w:rsid w:val="0043137E"/>
    <w:rsid w:val="004315D6"/>
    <w:rsid w:val="00436D53"/>
    <w:rsid w:val="00450949"/>
    <w:rsid w:val="004641D2"/>
    <w:rsid w:val="00465195"/>
    <w:rsid w:val="0046708E"/>
    <w:rsid w:val="00474BFE"/>
    <w:rsid w:val="004758C4"/>
    <w:rsid w:val="004820FB"/>
    <w:rsid w:val="0048279A"/>
    <w:rsid w:val="004845FF"/>
    <w:rsid w:val="00487218"/>
    <w:rsid w:val="004951B3"/>
    <w:rsid w:val="004952AC"/>
    <w:rsid w:val="004B1627"/>
    <w:rsid w:val="004B1C85"/>
    <w:rsid w:val="004B3739"/>
    <w:rsid w:val="004C12E4"/>
    <w:rsid w:val="004D5D8B"/>
    <w:rsid w:val="004F7080"/>
    <w:rsid w:val="005006EF"/>
    <w:rsid w:val="0050072E"/>
    <w:rsid w:val="0050536A"/>
    <w:rsid w:val="005107BE"/>
    <w:rsid w:val="00522F01"/>
    <w:rsid w:val="005307C1"/>
    <w:rsid w:val="00534EC7"/>
    <w:rsid w:val="0055263E"/>
    <w:rsid w:val="00585797"/>
    <w:rsid w:val="00590E90"/>
    <w:rsid w:val="00591585"/>
    <w:rsid w:val="00593BFF"/>
    <w:rsid w:val="00594F2B"/>
    <w:rsid w:val="00595098"/>
    <w:rsid w:val="005B60A9"/>
    <w:rsid w:val="005B71F1"/>
    <w:rsid w:val="005C3518"/>
    <w:rsid w:val="005D5F2D"/>
    <w:rsid w:val="005E4E09"/>
    <w:rsid w:val="005F15A9"/>
    <w:rsid w:val="005F229B"/>
    <w:rsid w:val="0060389B"/>
    <w:rsid w:val="00612FEE"/>
    <w:rsid w:val="00614381"/>
    <w:rsid w:val="006317A3"/>
    <w:rsid w:val="00643070"/>
    <w:rsid w:val="006434EF"/>
    <w:rsid w:val="0064406A"/>
    <w:rsid w:val="006444E7"/>
    <w:rsid w:val="00651303"/>
    <w:rsid w:val="006529B5"/>
    <w:rsid w:val="00653185"/>
    <w:rsid w:val="006551A1"/>
    <w:rsid w:val="00655CFE"/>
    <w:rsid w:val="00664B9B"/>
    <w:rsid w:val="00672FE9"/>
    <w:rsid w:val="00681B40"/>
    <w:rsid w:val="00696AAE"/>
    <w:rsid w:val="00697323"/>
    <w:rsid w:val="0069776F"/>
    <w:rsid w:val="006B2995"/>
    <w:rsid w:val="006B4337"/>
    <w:rsid w:val="006B78C9"/>
    <w:rsid w:val="006C7D25"/>
    <w:rsid w:val="006D3B78"/>
    <w:rsid w:val="006D5C12"/>
    <w:rsid w:val="006E359C"/>
    <w:rsid w:val="006F6D59"/>
    <w:rsid w:val="00700F95"/>
    <w:rsid w:val="00701E0D"/>
    <w:rsid w:val="00714657"/>
    <w:rsid w:val="00717CD8"/>
    <w:rsid w:val="007229E7"/>
    <w:rsid w:val="007259C2"/>
    <w:rsid w:val="00734314"/>
    <w:rsid w:val="00736E19"/>
    <w:rsid w:val="00737A28"/>
    <w:rsid w:val="007423AC"/>
    <w:rsid w:val="007459B0"/>
    <w:rsid w:val="00745D47"/>
    <w:rsid w:val="00750067"/>
    <w:rsid w:val="00751CCA"/>
    <w:rsid w:val="00756FD4"/>
    <w:rsid w:val="00760F70"/>
    <w:rsid w:val="00760F78"/>
    <w:rsid w:val="00764C7B"/>
    <w:rsid w:val="00772232"/>
    <w:rsid w:val="007767AC"/>
    <w:rsid w:val="00782B9A"/>
    <w:rsid w:val="00786FC6"/>
    <w:rsid w:val="007870FF"/>
    <w:rsid w:val="00794555"/>
    <w:rsid w:val="007954EA"/>
    <w:rsid w:val="00797FD1"/>
    <w:rsid w:val="007A438D"/>
    <w:rsid w:val="007A51E5"/>
    <w:rsid w:val="007A56FB"/>
    <w:rsid w:val="007B1D0B"/>
    <w:rsid w:val="007B444F"/>
    <w:rsid w:val="007D2DDF"/>
    <w:rsid w:val="007E6063"/>
    <w:rsid w:val="007E7E36"/>
    <w:rsid w:val="007F2EBD"/>
    <w:rsid w:val="00803137"/>
    <w:rsid w:val="00814EE5"/>
    <w:rsid w:val="008322D0"/>
    <w:rsid w:val="00832EA1"/>
    <w:rsid w:val="00834BC5"/>
    <w:rsid w:val="00837906"/>
    <w:rsid w:val="00842505"/>
    <w:rsid w:val="008445DE"/>
    <w:rsid w:val="00855980"/>
    <w:rsid w:val="00856D91"/>
    <w:rsid w:val="008604B7"/>
    <w:rsid w:val="008729B5"/>
    <w:rsid w:val="0087479E"/>
    <w:rsid w:val="00877228"/>
    <w:rsid w:val="008840A3"/>
    <w:rsid w:val="00884AD7"/>
    <w:rsid w:val="00886A5F"/>
    <w:rsid w:val="00893217"/>
    <w:rsid w:val="008963C2"/>
    <w:rsid w:val="00897A6D"/>
    <w:rsid w:val="008A0338"/>
    <w:rsid w:val="008A635E"/>
    <w:rsid w:val="008A6560"/>
    <w:rsid w:val="008B10A2"/>
    <w:rsid w:val="008C2201"/>
    <w:rsid w:val="008C2CD5"/>
    <w:rsid w:val="008C2ED5"/>
    <w:rsid w:val="008C372A"/>
    <w:rsid w:val="008D0241"/>
    <w:rsid w:val="008D61B4"/>
    <w:rsid w:val="008E25B5"/>
    <w:rsid w:val="008F2FA9"/>
    <w:rsid w:val="00910595"/>
    <w:rsid w:val="009211B2"/>
    <w:rsid w:val="0092649C"/>
    <w:rsid w:val="00934F6B"/>
    <w:rsid w:val="009446A2"/>
    <w:rsid w:val="00961296"/>
    <w:rsid w:val="00967C4A"/>
    <w:rsid w:val="009721D7"/>
    <w:rsid w:val="009748A9"/>
    <w:rsid w:val="00975E41"/>
    <w:rsid w:val="00982812"/>
    <w:rsid w:val="00986B61"/>
    <w:rsid w:val="009875A5"/>
    <w:rsid w:val="009A06A2"/>
    <w:rsid w:val="009A7A77"/>
    <w:rsid w:val="009B0CE4"/>
    <w:rsid w:val="009B2449"/>
    <w:rsid w:val="009B3750"/>
    <w:rsid w:val="009B5F9C"/>
    <w:rsid w:val="009C7949"/>
    <w:rsid w:val="009D090F"/>
    <w:rsid w:val="009D4ABA"/>
    <w:rsid w:val="009D50AC"/>
    <w:rsid w:val="009D7FF0"/>
    <w:rsid w:val="009F14D5"/>
    <w:rsid w:val="009F3620"/>
    <w:rsid w:val="009F6984"/>
    <w:rsid w:val="00A02E45"/>
    <w:rsid w:val="00A10272"/>
    <w:rsid w:val="00A10B2E"/>
    <w:rsid w:val="00A15BA3"/>
    <w:rsid w:val="00A20B7D"/>
    <w:rsid w:val="00A24BDD"/>
    <w:rsid w:val="00A32446"/>
    <w:rsid w:val="00A40573"/>
    <w:rsid w:val="00A462D8"/>
    <w:rsid w:val="00A5453E"/>
    <w:rsid w:val="00A80829"/>
    <w:rsid w:val="00A92284"/>
    <w:rsid w:val="00AB489B"/>
    <w:rsid w:val="00AB49E7"/>
    <w:rsid w:val="00AB4F12"/>
    <w:rsid w:val="00AB70B2"/>
    <w:rsid w:val="00AC1EFF"/>
    <w:rsid w:val="00AC5C1A"/>
    <w:rsid w:val="00AC6D19"/>
    <w:rsid w:val="00AD1147"/>
    <w:rsid w:val="00AD47A5"/>
    <w:rsid w:val="00AF4B2E"/>
    <w:rsid w:val="00AF7AEF"/>
    <w:rsid w:val="00B04AC2"/>
    <w:rsid w:val="00B167A3"/>
    <w:rsid w:val="00B23C25"/>
    <w:rsid w:val="00B273EB"/>
    <w:rsid w:val="00B27F9A"/>
    <w:rsid w:val="00B36DFD"/>
    <w:rsid w:val="00B618D8"/>
    <w:rsid w:val="00B6326B"/>
    <w:rsid w:val="00B756AB"/>
    <w:rsid w:val="00B7749C"/>
    <w:rsid w:val="00B9363C"/>
    <w:rsid w:val="00BB0971"/>
    <w:rsid w:val="00BB12C7"/>
    <w:rsid w:val="00BB28BF"/>
    <w:rsid w:val="00BC2613"/>
    <w:rsid w:val="00BC276E"/>
    <w:rsid w:val="00BC46B8"/>
    <w:rsid w:val="00BD0D22"/>
    <w:rsid w:val="00BD429E"/>
    <w:rsid w:val="00BD5C43"/>
    <w:rsid w:val="00BD773C"/>
    <w:rsid w:val="00BE4DEC"/>
    <w:rsid w:val="00BE79CF"/>
    <w:rsid w:val="00BF25FB"/>
    <w:rsid w:val="00C312C2"/>
    <w:rsid w:val="00C346BF"/>
    <w:rsid w:val="00C369ED"/>
    <w:rsid w:val="00C44FE4"/>
    <w:rsid w:val="00C52216"/>
    <w:rsid w:val="00C57BD2"/>
    <w:rsid w:val="00C608F8"/>
    <w:rsid w:val="00C72FDC"/>
    <w:rsid w:val="00C826B3"/>
    <w:rsid w:val="00C84A53"/>
    <w:rsid w:val="00C84FE7"/>
    <w:rsid w:val="00C90CEE"/>
    <w:rsid w:val="00C925D1"/>
    <w:rsid w:val="00C958AE"/>
    <w:rsid w:val="00CA2592"/>
    <w:rsid w:val="00CA4537"/>
    <w:rsid w:val="00CA7701"/>
    <w:rsid w:val="00CB0A79"/>
    <w:rsid w:val="00CB38AE"/>
    <w:rsid w:val="00CB54C8"/>
    <w:rsid w:val="00CB7E82"/>
    <w:rsid w:val="00CC1F6B"/>
    <w:rsid w:val="00CD0875"/>
    <w:rsid w:val="00CD7725"/>
    <w:rsid w:val="00CE547C"/>
    <w:rsid w:val="00CE6C8E"/>
    <w:rsid w:val="00CF24AA"/>
    <w:rsid w:val="00D06009"/>
    <w:rsid w:val="00D104FA"/>
    <w:rsid w:val="00D15ABE"/>
    <w:rsid w:val="00D33C3B"/>
    <w:rsid w:val="00D34056"/>
    <w:rsid w:val="00D342D7"/>
    <w:rsid w:val="00D42D1A"/>
    <w:rsid w:val="00D55C69"/>
    <w:rsid w:val="00D5720F"/>
    <w:rsid w:val="00D84A00"/>
    <w:rsid w:val="00D95328"/>
    <w:rsid w:val="00DB1DC3"/>
    <w:rsid w:val="00DC0D0B"/>
    <w:rsid w:val="00DC3FD9"/>
    <w:rsid w:val="00DC4EF4"/>
    <w:rsid w:val="00DD5F05"/>
    <w:rsid w:val="00DD730E"/>
    <w:rsid w:val="00DE1C1C"/>
    <w:rsid w:val="00DE3C2E"/>
    <w:rsid w:val="00DE5254"/>
    <w:rsid w:val="00DF669F"/>
    <w:rsid w:val="00E008AE"/>
    <w:rsid w:val="00E06DCA"/>
    <w:rsid w:val="00E4008F"/>
    <w:rsid w:val="00E42879"/>
    <w:rsid w:val="00E50B1C"/>
    <w:rsid w:val="00E515B4"/>
    <w:rsid w:val="00E6640E"/>
    <w:rsid w:val="00E67637"/>
    <w:rsid w:val="00E67E6E"/>
    <w:rsid w:val="00E72347"/>
    <w:rsid w:val="00E73609"/>
    <w:rsid w:val="00E920B5"/>
    <w:rsid w:val="00E93B15"/>
    <w:rsid w:val="00EA47AD"/>
    <w:rsid w:val="00EB0F3A"/>
    <w:rsid w:val="00EB2B16"/>
    <w:rsid w:val="00EB5CDF"/>
    <w:rsid w:val="00EB6DC9"/>
    <w:rsid w:val="00EE681B"/>
    <w:rsid w:val="00EF62A3"/>
    <w:rsid w:val="00F0499A"/>
    <w:rsid w:val="00F17B51"/>
    <w:rsid w:val="00F207DB"/>
    <w:rsid w:val="00F225F9"/>
    <w:rsid w:val="00F22C14"/>
    <w:rsid w:val="00F4097F"/>
    <w:rsid w:val="00F40C20"/>
    <w:rsid w:val="00F51431"/>
    <w:rsid w:val="00F57F21"/>
    <w:rsid w:val="00F60335"/>
    <w:rsid w:val="00F61C39"/>
    <w:rsid w:val="00F63D93"/>
    <w:rsid w:val="00F706BB"/>
    <w:rsid w:val="00F70E42"/>
    <w:rsid w:val="00F71CF3"/>
    <w:rsid w:val="00F7681B"/>
    <w:rsid w:val="00F85C28"/>
    <w:rsid w:val="00F970A4"/>
    <w:rsid w:val="00F97CC5"/>
    <w:rsid w:val="00FB0856"/>
    <w:rsid w:val="00FB4B4C"/>
    <w:rsid w:val="00FB50E6"/>
    <w:rsid w:val="00FD3711"/>
    <w:rsid w:val="00FE0070"/>
    <w:rsid w:val="00FE28FB"/>
    <w:rsid w:val="00FE66FE"/>
    <w:rsid w:val="00FF078A"/>
    <w:rsid w:val="00FF525C"/>
    <w:rsid w:val="211B7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rPr>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szCs w:val="20"/>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link w:val="2"/>
    <w:semiHidden/>
    <w:qFormat/>
    <w:uiPriority w:val="99"/>
    <w:rPr>
      <w:rFonts w:ascii="Times New Roman" w:hAnsi="Times New Roman" w:eastAsia="宋体" w:cs="Times New Roman"/>
      <w:szCs w:val="24"/>
    </w:rPr>
  </w:style>
  <w:style w:type="character" w:customStyle="1" w:styleId="14">
    <w:name w:val="批注框文本 字符"/>
    <w:basedOn w:val="8"/>
    <w:link w:val="3"/>
    <w:semiHidden/>
    <w:qFormat/>
    <w:uiPriority w:val="99"/>
    <w:rPr>
      <w:rFonts w:ascii="Times New Roman" w:hAnsi="Times New Roman" w:eastAsia="宋体" w:cs="Times New Roman"/>
      <w:sz w:val="18"/>
      <w:szCs w:val="18"/>
    </w:rPr>
  </w:style>
  <w:style w:type="character" w:customStyle="1" w:styleId="15">
    <w:name w:val="批注主题 字符"/>
    <w:basedOn w:val="13"/>
    <w:link w:val="6"/>
    <w:semiHidden/>
    <w:qFormat/>
    <w:uiPriority w:val="99"/>
    <w:rPr>
      <w:rFonts w:ascii="Times New Roman" w:hAnsi="Times New Roman" w:eastAsia="宋体" w:cs="Times New Roman"/>
      <w:b/>
      <w:bCs/>
      <w:szCs w:val="20"/>
    </w:rPr>
  </w:style>
  <w:style w:type="character" w:customStyle="1" w:styleId="16">
    <w:name w:val="ng-binding"/>
    <w:basedOn w:val="8"/>
    <w:qFormat/>
    <w:uiPriority w:val="0"/>
  </w:style>
  <w:style w:type="paragraph" w:styleId="17">
    <w:name w:val="List Paragraph"/>
    <w:basedOn w:val="1"/>
    <w:qFormat/>
    <w:uiPriority w:val="34"/>
    <w:pPr>
      <w:ind w:firstLine="420" w:firstLineChars="200"/>
    </w:pPr>
  </w:style>
  <w:style w:type="paragraph" w:customStyle="1" w:styleId="18">
    <w:name w:val="Revision"/>
    <w:hidden/>
    <w:semiHidden/>
    <w:qFormat/>
    <w:uiPriority w:val="99"/>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文档" ma:contentTypeID="0x0101008A1CD0ACEFB685468ADC9D3ECFE50AA2" ma:contentTypeVersion="0" ma:contentTypeDescription="新建文档。" ma:contentTypeScope="" ma:versionID="def0500d8bfa075d08ce612c1990ead7">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BFC278-BEBC-42A5-B820-CCD868AC3039}">
  <ds:schemaRefs/>
</ds:datastoreItem>
</file>

<file path=customXml/itemProps2.xml><?xml version="1.0" encoding="utf-8"?>
<ds:datastoreItem xmlns:ds="http://schemas.openxmlformats.org/officeDocument/2006/customXml" ds:itemID="{5A098EEC-3156-43CD-BB22-1F2A6F9B07EB}">
  <ds:schemaRefs/>
</ds:datastoreItem>
</file>

<file path=customXml/itemProps3.xml><?xml version="1.0" encoding="utf-8"?>
<ds:datastoreItem xmlns:ds="http://schemas.openxmlformats.org/officeDocument/2006/customXml" ds:itemID="{4898DF68-7BEF-4E9F-A3FC-08FE69096638}">
  <ds:schemaRefs/>
</ds:datastoreItem>
</file>

<file path=customXml/itemProps4.xml><?xml version="1.0" encoding="utf-8"?>
<ds:datastoreItem xmlns:ds="http://schemas.openxmlformats.org/officeDocument/2006/customXml" ds:itemID="{ED4827DC-EA26-4EAA-8882-A01B9C6A816A}">
  <ds:schemaRefs/>
</ds:datastoreItem>
</file>

<file path=docProps/app.xml><?xml version="1.0" encoding="utf-8"?>
<Properties xmlns="http://schemas.openxmlformats.org/officeDocument/2006/extended-properties" xmlns:vt="http://schemas.openxmlformats.org/officeDocument/2006/docPropsVTypes">
  <Template>Normal</Template>
  <Pages>3</Pages>
  <Words>1067</Words>
  <Characters>1103</Characters>
  <Lines>9</Lines>
  <Paragraphs>2</Paragraphs>
  <TotalTime>18</TotalTime>
  <ScaleCrop>false</ScaleCrop>
  <LinksUpToDate>false</LinksUpToDate>
  <CharactersWithSpaces>1246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2024-10-18T10:06:00Z</dcterms:created>
  <dc:creator>王芳[fwang]</dc:creator>
  <cp:lastModifiedBy>付</cp:lastModifiedBy>
  <dcterms:modified xsi:type="dcterms:W3CDTF">2024-10-18T10:27:49Z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0x0101008A1CD0ACEFB685468ADC9D3ECFE50AA2</vt:lpwstr>
  </property>
  <property fmtid="{D5CDD505-2E9C-101B-9397-08002B2CF9AE}" pid="3" name="KSOProductBuildVer">
    <vt:lpwstr>2052-12.1.0.18276</vt:lpwstr>
  </property>
  <property fmtid="{D5CDD505-2E9C-101B-9397-08002B2CF9AE}" pid="4" name="ICV">
    <vt:lpwstr>15DE8CE6268A4795B471E41021372561_13</vt:lpwstr>
  </property>
</Properties>
</file>