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0" w:firstLineChars="0"/>
        <w:rPr>
          <w:rFonts w:hint="eastAsia" w:ascii="宋体" w:hAnsi="宋体"/>
          <w:bCs/>
          <w:iCs/>
          <w:color w:val="000000"/>
          <w:szCs w:val="22"/>
        </w:rPr>
      </w:pPr>
      <w:r>
        <w:rPr>
          <w:rFonts w:hint="eastAsia" w:ascii="宋体" w:hAnsi="宋体"/>
          <w:bCs/>
          <w:iCs/>
          <w:color w:val="000000"/>
          <w:szCs w:val="22"/>
        </w:rPr>
        <w:t>证券代码：</w:t>
      </w:r>
      <w:r>
        <w:rPr>
          <w:rFonts w:ascii="宋体" w:hAnsi="宋体"/>
          <w:bCs/>
          <w:iCs/>
          <w:color w:val="000000"/>
          <w:szCs w:val="22"/>
        </w:rPr>
        <w:t>688</w:t>
      </w:r>
      <w:r>
        <w:rPr>
          <w:rFonts w:hint="eastAsia" w:ascii="宋体" w:hAnsi="宋体"/>
          <w:bCs/>
          <w:iCs/>
          <w:color w:val="000000"/>
          <w:szCs w:val="22"/>
        </w:rPr>
        <w:t xml:space="preserve">597                           </w:t>
      </w:r>
      <w:r>
        <w:rPr>
          <w:rFonts w:ascii="宋体" w:hAnsi="宋体"/>
          <w:bCs/>
          <w:iCs/>
          <w:color w:val="000000"/>
          <w:szCs w:val="22"/>
        </w:rPr>
        <w:t xml:space="preserve">      </w:t>
      </w:r>
      <w:r>
        <w:rPr>
          <w:rFonts w:hint="eastAsia" w:ascii="宋体" w:hAnsi="宋体"/>
          <w:bCs/>
          <w:iCs/>
          <w:color w:val="000000"/>
          <w:szCs w:val="22"/>
        </w:rPr>
        <w:t>证券简称：煜邦电力</w:t>
      </w:r>
    </w:p>
    <w:p>
      <w:pPr>
        <w:spacing w:before="156" w:beforeLines="50" w:after="156" w:afterLines="50" w:line="400" w:lineRule="exact"/>
        <w:ind w:firstLine="0" w:firstLineChars="0"/>
        <w:rPr>
          <w:rFonts w:hint="default" w:ascii="宋体" w:hAnsi="宋体" w:eastAsia="宋体"/>
          <w:bCs/>
          <w:iCs/>
          <w:color w:val="000000"/>
          <w:szCs w:val="22"/>
          <w:lang w:val="en-US" w:eastAsia="zh-CN"/>
        </w:rPr>
      </w:pPr>
      <w:r>
        <w:rPr>
          <w:rFonts w:hint="eastAsia" w:ascii="宋体" w:hAnsi="宋体"/>
          <w:bCs/>
          <w:iCs/>
          <w:color w:val="000000"/>
          <w:szCs w:val="22"/>
          <w:lang w:val="en-US" w:eastAsia="zh-CN"/>
        </w:rPr>
        <w:t xml:space="preserve">转债代码：118039                                 </w:t>
      </w:r>
      <w:r>
        <w:rPr>
          <w:rFonts w:hint="eastAsia"/>
          <w:color w:val="000000"/>
          <w:sz w:val="24"/>
          <w:szCs w:val="24"/>
        </w:rPr>
        <w:t>债券简称：煜邦转债</w:t>
      </w:r>
    </w:p>
    <w:p>
      <w:pPr>
        <w:ind w:firstLine="482"/>
        <w:jc w:val="center"/>
        <w:rPr>
          <w:rFonts w:ascii="宋体" w:hAnsi="宋体"/>
          <w:b/>
          <w:bCs/>
          <w:iCs/>
          <w:color w:val="000000"/>
          <w:sz w:val="28"/>
          <w:szCs w:val="28"/>
        </w:rPr>
      </w:pPr>
      <w:r>
        <w:rPr>
          <w:rFonts w:hint="eastAsia" w:ascii="宋体" w:hAnsi="宋体"/>
          <w:b/>
          <w:bCs/>
          <w:iCs/>
          <w:color w:val="000000"/>
          <w:sz w:val="28"/>
          <w:szCs w:val="28"/>
        </w:rPr>
        <w:t>北京煜邦电力技术股份有限公司投资者关系活动记录表</w:t>
      </w:r>
    </w:p>
    <w:p>
      <w:pPr>
        <w:spacing w:line="400" w:lineRule="exact"/>
        <w:ind w:firstLine="480"/>
        <w:rPr>
          <w:rFonts w:hint="eastAsia" w:ascii="宋体" w:hAnsi="宋体" w:eastAsia="宋体"/>
          <w:bCs/>
          <w:iCs/>
          <w:color w:val="000000"/>
          <w:lang w:eastAsia="zh-CN"/>
        </w:rPr>
      </w:pPr>
      <w:r>
        <w:rPr>
          <w:rFonts w:hint="eastAsia" w:ascii="宋体" w:hAnsi="宋体"/>
          <w:bCs/>
          <w:iCs/>
          <w:color w:val="000000"/>
        </w:rPr>
        <w:t xml:space="preserve">                                                    编号：202</w:t>
      </w:r>
      <w:r>
        <w:rPr>
          <w:rFonts w:hint="eastAsia" w:ascii="宋体" w:hAnsi="宋体"/>
          <w:bCs/>
          <w:iCs/>
          <w:color w:val="000000"/>
          <w:lang w:val="en-US" w:eastAsia="zh-CN"/>
        </w:rPr>
        <w:t>4</w:t>
      </w:r>
      <w:r>
        <w:rPr>
          <w:rFonts w:hint="eastAsia" w:ascii="宋体" w:hAnsi="宋体"/>
          <w:bCs/>
          <w:iCs/>
          <w:color w:val="000000"/>
        </w:rPr>
        <w:t>-0</w:t>
      </w:r>
      <w:r>
        <w:rPr>
          <w:rFonts w:ascii="宋体" w:hAnsi="宋体"/>
          <w:bCs/>
          <w:iCs/>
          <w:color w:val="000000"/>
        </w:rPr>
        <w:t>0</w:t>
      </w:r>
      <w:r>
        <w:rPr>
          <w:rFonts w:hint="eastAsia" w:ascii="宋体" w:hAnsi="宋体"/>
          <w:bCs/>
          <w:iCs/>
          <w:color w:val="000000"/>
          <w:lang w:val="en-US" w:eastAsia="zh-CN"/>
        </w:rPr>
        <w:t>3</w:t>
      </w:r>
    </w:p>
    <w:tbl>
      <w:tblPr>
        <w:tblStyle w:val="8"/>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投资者关系活动类别</w:t>
            </w:r>
          </w:p>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sym w:font="Wingdings 2" w:char="00A3"/>
            </w:r>
            <w:r>
              <w:rPr>
                <w:rFonts w:hint="default" w:ascii="Times New Roman" w:hAnsi="Times New Roman" w:cs="Times New Roman"/>
              </w:rPr>
              <w:t xml:space="preserve">特定对象调研        </w:t>
            </w:r>
            <w:r>
              <w:rPr>
                <w:rFonts w:hint="default"/>
                <w:color w:val="000000"/>
                <w:sz w:val="24"/>
                <w:szCs w:val="24"/>
              </w:rPr>
              <w:sym w:font="Wingdings 2" w:char="00A3"/>
            </w:r>
            <w:r>
              <w:rPr>
                <w:rFonts w:hint="default" w:ascii="Times New Roman" w:hAnsi="Times New Roman" w:cs="Times New Roman"/>
              </w:rPr>
              <w:t>分析师会议</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color w:val="000000"/>
                <w:sz w:val="24"/>
                <w:szCs w:val="24"/>
              </w:rPr>
              <w:sym w:font="Wingdings 2" w:char="00A3"/>
            </w:r>
            <w:r>
              <w:rPr>
                <w:rFonts w:hint="default" w:ascii="Times New Roman" w:hAnsi="Times New Roman" w:cs="Times New Roman"/>
              </w:rPr>
              <w:t xml:space="preserve">媒体采访            </w:t>
            </w:r>
            <w:r>
              <w:rPr>
                <w:rFonts w:hint="default" w:ascii="Times New Roman" w:hAnsi="Times New Roman" w:cs="Times New Roman"/>
                <w:bCs/>
                <w:iCs/>
                <w:color w:val="000000"/>
              </w:rPr>
              <w:sym w:font="Wingdings 2" w:char="0052"/>
            </w:r>
            <w:r>
              <w:rPr>
                <w:rFonts w:hint="default" w:ascii="Times New Roman" w:hAnsi="Times New Roman" w:cs="Times New Roman"/>
              </w:rPr>
              <w:t>业绩说明会</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color w:val="000000"/>
                <w:sz w:val="24"/>
                <w:szCs w:val="24"/>
              </w:rPr>
              <w:sym w:font="Wingdings 2" w:char="00A3"/>
            </w:r>
            <w:r>
              <w:rPr>
                <w:rFonts w:hint="default" w:ascii="Times New Roman" w:hAnsi="Times New Roman" w:cs="Times New Roman"/>
              </w:rPr>
              <w:t xml:space="preserve">新闻发布会          </w:t>
            </w:r>
            <w:r>
              <w:rPr>
                <w:rFonts w:hint="default"/>
                <w:color w:val="000000"/>
                <w:sz w:val="24"/>
                <w:szCs w:val="24"/>
              </w:rPr>
              <w:sym w:font="Wingdings 2" w:char="00A3"/>
            </w:r>
            <w:r>
              <w:rPr>
                <w:rFonts w:hint="default" w:ascii="Times New Roman" w:hAnsi="Times New Roman" w:cs="Times New Roman"/>
              </w:rPr>
              <w:t>路演活动</w:t>
            </w:r>
          </w:p>
          <w:p>
            <w:pPr>
              <w:keepNext w:val="0"/>
              <w:keepLines w:val="0"/>
              <w:suppressLineNumbers w:val="0"/>
              <w:tabs>
                <w:tab w:val="left" w:pos="3045"/>
                <w:tab w:val="center" w:pos="3199"/>
              </w:tabs>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sym w:font="Wingdings 2" w:char="0052"/>
            </w:r>
            <w:r>
              <w:rPr>
                <w:rFonts w:hint="default" w:ascii="Times New Roman" w:hAnsi="Times New Roman" w:cs="Times New Roman"/>
              </w:rPr>
              <w:t>现场参观</w:t>
            </w:r>
            <w:r>
              <w:rPr>
                <w:rFonts w:hint="default" w:ascii="Times New Roman" w:hAnsi="Times New Roman" w:cs="Times New Roman"/>
                <w:bCs/>
                <w:iCs/>
                <w:color w:val="000000"/>
              </w:rPr>
              <w:tab/>
            </w:r>
          </w:p>
          <w:p>
            <w:pPr>
              <w:keepNext w:val="0"/>
              <w:keepLines w:val="0"/>
              <w:suppressLineNumbers w:val="0"/>
              <w:tabs>
                <w:tab w:val="center" w:pos="3199"/>
              </w:tabs>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sym w:font="Wingdings 2" w:char="00A3"/>
            </w:r>
            <w:r>
              <w:rPr>
                <w:rFonts w:hint="default" w:ascii="Times New Roman" w:hAnsi="Times New Roman" w:cs="Times New Roma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参与单位名称</w:t>
            </w: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eastAsia="宋体" w:cs="Times New Roman"/>
                <w:color w:val="000000"/>
                <w:kern w:val="0"/>
                <w:lang w:val="en-US" w:eastAsia="zh-CN" w:bidi="ar"/>
              </w:rPr>
            </w:pPr>
            <w:r>
              <w:rPr>
                <w:rFonts w:hint="eastAsia" w:cs="Times New Roman"/>
                <w:color w:val="000000"/>
                <w:kern w:val="0"/>
                <w:lang w:val="en-US" w:eastAsia="zh-CN" w:bidi="ar"/>
              </w:rPr>
              <w:t>中信建投、东北证券等33位机构投资者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时间</w:t>
            </w: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202</w:t>
            </w:r>
            <w:r>
              <w:rPr>
                <w:rFonts w:hint="default" w:ascii="Times New Roman" w:hAnsi="Times New Roman" w:cs="Times New Roman"/>
                <w:bCs/>
                <w:iCs/>
                <w:color w:val="000000"/>
                <w:lang w:val="en-US" w:eastAsia="zh-CN"/>
              </w:rPr>
              <w:t>4</w:t>
            </w:r>
            <w:r>
              <w:rPr>
                <w:rFonts w:hint="default" w:ascii="Times New Roman" w:hAnsi="Times New Roman" w:cs="Times New Roman"/>
                <w:bCs/>
                <w:iCs/>
                <w:color w:val="000000"/>
              </w:rPr>
              <w:t>年</w:t>
            </w:r>
            <w:r>
              <w:rPr>
                <w:rFonts w:hint="eastAsia" w:cs="Times New Roman"/>
                <w:bCs/>
                <w:iCs/>
                <w:color w:val="000000"/>
                <w:lang w:val="en-US" w:eastAsia="zh-CN"/>
              </w:rPr>
              <w:t>10</w:t>
            </w:r>
            <w:r>
              <w:rPr>
                <w:rFonts w:hint="default" w:ascii="Times New Roman" w:hAnsi="Times New Roman" w:cs="Times New Roman"/>
                <w:bCs/>
                <w:iCs/>
                <w:color w:val="000000"/>
              </w:rPr>
              <w:t>月</w:t>
            </w:r>
            <w:r>
              <w:rPr>
                <w:rFonts w:hint="eastAsia" w:cs="Times New Roman"/>
                <w:bCs/>
                <w:iCs/>
                <w:color w:val="000000"/>
                <w:lang w:val="en-US" w:eastAsia="zh-CN"/>
              </w:rPr>
              <w:t>24</w:t>
            </w:r>
            <w:r>
              <w:rPr>
                <w:rFonts w:hint="default" w:ascii="Times New Roman" w:hAnsi="Times New Roman" w:cs="Times New Roman"/>
                <w:bCs/>
                <w:iCs/>
                <w:color w:val="000000"/>
              </w:rPr>
              <w:t>日（周</w:t>
            </w:r>
            <w:r>
              <w:rPr>
                <w:rFonts w:hint="eastAsia" w:cs="Times New Roman"/>
                <w:bCs/>
                <w:iCs/>
                <w:color w:val="000000"/>
                <w:lang w:val="en-US" w:eastAsia="zh-CN"/>
              </w:rPr>
              <w:t>四</w:t>
            </w:r>
            <w:r>
              <w:rPr>
                <w:rFonts w:hint="default" w:ascii="Times New Roman" w:hAnsi="Times New Roman" w:cs="Times New Roman"/>
                <w:bCs/>
                <w:iCs/>
                <w:color w:val="000000"/>
              </w:rPr>
              <w:t>）</w:t>
            </w:r>
            <w:r>
              <w:rPr>
                <w:rFonts w:hint="eastAsia" w:cs="Times New Roman"/>
                <w:bCs/>
                <w:iCs/>
                <w:color w:val="000000"/>
                <w:lang w:val="en-US" w:eastAsia="zh-CN"/>
              </w:rPr>
              <w:t>9</w:t>
            </w:r>
            <w:r>
              <w:rPr>
                <w:rFonts w:hint="default" w:ascii="Times New Roman" w:hAnsi="Times New Roman" w:cs="Times New Roman"/>
              </w:rPr>
              <w:t>:</w:t>
            </w:r>
            <w:r>
              <w:rPr>
                <w:rFonts w:hint="eastAsia" w:cs="Times New Roman"/>
                <w:lang w:val="en-US" w:eastAsia="zh-CN"/>
              </w:rPr>
              <w:t>3</w:t>
            </w:r>
            <w:r>
              <w:rPr>
                <w:rFonts w:hint="default" w:ascii="Times New Roman" w:hAnsi="Times New Roman" w:cs="Times New Roman"/>
              </w:rPr>
              <w:t>0-1</w:t>
            </w:r>
            <w:r>
              <w:rPr>
                <w:rFonts w:hint="eastAsia" w:cs="Times New Roman"/>
                <w:lang w:val="en-US" w:eastAsia="zh-CN"/>
              </w:rPr>
              <w:t>2</w:t>
            </w:r>
            <w:r>
              <w:rPr>
                <w:rFonts w:hint="default" w:ascii="Times New Roman" w:hAnsi="Times New Roman" w:cs="Times New Roman"/>
              </w:rPr>
              <w:t>:</w:t>
            </w:r>
            <w:r>
              <w:rPr>
                <w:rFonts w:hint="eastAsia" w:cs="Times New Roman"/>
                <w:lang w:val="en-US" w:eastAsia="zh-CN"/>
              </w:rPr>
              <w:t>0</w:t>
            </w: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地点</w:t>
            </w: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北京市东城区和平里东街11号航星科技园航星1号楼</w:t>
            </w:r>
            <w:r>
              <w:rPr>
                <w:rFonts w:hint="default" w:ascii="Times New Roman" w:hAnsi="Times New Roman" w:cs="Times New Roman"/>
                <w:bCs/>
                <w:iCs/>
                <w:color w:val="000000"/>
                <w:lang w:val="en-US" w:eastAsia="zh-CN"/>
              </w:rPr>
              <w:t>6</w:t>
            </w:r>
            <w:r>
              <w:rPr>
                <w:rFonts w:hint="default" w:ascii="Times New Roman" w:hAnsi="Times New Roman" w:cs="Times New Roman"/>
                <w:bCs/>
                <w:iCs/>
                <w:color w:val="000000"/>
              </w:rPr>
              <w:t>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上市公司</w:t>
            </w:r>
            <w:r>
              <w:rPr>
                <w:rFonts w:hint="eastAsia" w:cs="Times New Roman"/>
                <w:bCs/>
                <w:iCs/>
                <w:color w:val="000000"/>
                <w:lang w:val="en-US" w:eastAsia="zh-CN"/>
              </w:rPr>
              <w:t>主要</w:t>
            </w:r>
            <w:r>
              <w:rPr>
                <w:rFonts w:hint="default" w:ascii="Times New Roman" w:hAnsi="Times New Roman" w:cs="Times New Roman"/>
                <w:bCs/>
                <w:iCs/>
                <w:color w:val="000000"/>
              </w:rPr>
              <w:t>接待人员姓名</w:t>
            </w: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董事长：周德勤</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董事：霍丽萍</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rPr>
              <w:t>董事会秘书：</w:t>
            </w:r>
            <w:r>
              <w:rPr>
                <w:rFonts w:hint="default" w:ascii="Times New Roman" w:hAnsi="Times New Roman" w:cs="Times New Roman"/>
                <w:bCs/>
                <w:iCs/>
                <w:color w:val="000000"/>
                <w:lang w:val="en-US" w:eastAsia="zh-CN"/>
              </w:rPr>
              <w:t>石瑜</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eastAsia" w:cs="Times New Roman"/>
                <w:bCs/>
                <w:iCs/>
                <w:color w:val="000000"/>
                <w:lang w:val="en-US" w:eastAsia="zh-CN"/>
              </w:rPr>
              <w:t>财务总监：李化青</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高级管理人员：谭弘武</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核心技术人员：李宁</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eastAsia" w:cs="Times New Roman"/>
                <w:bCs/>
                <w:iCs/>
                <w:color w:val="000000"/>
                <w:lang w:val="en-US" w:eastAsia="zh-CN"/>
              </w:rPr>
              <w:t>储能业务负责人：王嘉乐</w:t>
            </w: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证券</w:t>
            </w:r>
            <w:r>
              <w:rPr>
                <w:rFonts w:hint="default" w:ascii="Times New Roman" w:hAnsi="Times New Roman" w:cs="Times New Roman"/>
                <w:bCs/>
                <w:iCs/>
                <w:color w:val="000000"/>
                <w:lang w:val="en-US" w:eastAsia="zh-CN"/>
              </w:rPr>
              <w:t>部经理：</w:t>
            </w:r>
            <w:r>
              <w:rPr>
                <w:rFonts w:hint="default" w:ascii="Times New Roman" w:hAnsi="Times New Roman" w:cs="Times New Roman"/>
                <w:bCs/>
                <w:iCs/>
                <w:color w:val="000000"/>
              </w:rPr>
              <w:t>汪太森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投资者关系活动主要内容介绍</w:t>
            </w: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numPr>
                <w:ilvl w:val="0"/>
                <w:numId w:val="2"/>
              </w:numPr>
              <w:suppressLineNumbers w:val="0"/>
              <w:spacing w:before="0" w:beforeAutospacing="0" w:after="0" w:afterAutospacing="0"/>
              <w:ind w:left="0" w:right="0"/>
              <w:rPr>
                <w:rFonts w:hint="default" w:ascii="Times New Roman" w:hAnsi="Times New Roman" w:cs="Times New Roman"/>
                <w:b/>
                <w:iCs/>
                <w:color w:val="000000"/>
                <w:lang w:val="en-US" w:eastAsia="zh-CN"/>
              </w:rPr>
            </w:pPr>
            <w:r>
              <w:rPr>
                <w:rFonts w:hint="default" w:ascii="Times New Roman" w:hAnsi="Times New Roman" w:cs="Times New Roman"/>
                <w:b/>
                <w:iCs/>
                <w:color w:val="000000"/>
                <w:lang w:val="en-US" w:eastAsia="zh-CN"/>
              </w:rPr>
              <w:t>活动流程</w:t>
            </w:r>
          </w:p>
          <w:p>
            <w:pPr>
              <w:keepNext w:val="0"/>
              <w:keepLines w:val="0"/>
              <w:numPr>
                <w:ilvl w:val="0"/>
                <w:numId w:val="0"/>
              </w:numPr>
              <w:suppressLineNumbers w:val="0"/>
              <w:spacing w:before="0" w:beforeAutospacing="0" w:after="0" w:afterAutospacing="0"/>
              <w:ind w:left="0" w:right="0" w:firstLine="482" w:firstLineChars="200"/>
              <w:rPr>
                <w:rFonts w:hint="default" w:ascii="Times New Roman" w:hAnsi="Times New Roman" w:cs="Times New Roman"/>
                <w:b/>
                <w:iCs/>
                <w:color w:val="000000"/>
              </w:rPr>
            </w:pPr>
            <w:r>
              <w:rPr>
                <w:rFonts w:hint="eastAsia" w:cs="Times New Roman"/>
                <w:b/>
                <w:iCs/>
                <w:color w:val="000000"/>
                <w:lang w:val="en-US" w:eastAsia="zh-CN"/>
              </w:rPr>
              <w:t>9:3</w:t>
            </w:r>
            <w:r>
              <w:rPr>
                <w:rFonts w:hint="default" w:ascii="Times New Roman" w:hAnsi="Times New Roman" w:cs="Times New Roman"/>
                <w:b/>
                <w:iCs/>
                <w:color w:val="000000"/>
              </w:rPr>
              <w:t>0-1</w:t>
            </w:r>
            <w:r>
              <w:rPr>
                <w:rFonts w:hint="default" w:ascii="Times New Roman" w:hAnsi="Times New Roman" w:cs="Times New Roman"/>
                <w:b/>
                <w:iCs/>
                <w:color w:val="000000"/>
                <w:lang w:val="en-US" w:eastAsia="zh-CN"/>
              </w:rPr>
              <w:t>0</w:t>
            </w:r>
            <w:r>
              <w:rPr>
                <w:rFonts w:hint="default" w:ascii="Times New Roman" w:hAnsi="Times New Roman" w:cs="Times New Roman"/>
                <w:b/>
                <w:iCs/>
                <w:color w:val="000000"/>
              </w:rPr>
              <w:t>:</w:t>
            </w:r>
            <w:r>
              <w:rPr>
                <w:rFonts w:hint="eastAsia" w:cs="Times New Roman"/>
                <w:b/>
                <w:iCs/>
                <w:color w:val="000000"/>
                <w:lang w:val="en-US" w:eastAsia="zh-CN"/>
              </w:rPr>
              <w:t>0</w:t>
            </w:r>
            <w:r>
              <w:rPr>
                <w:rFonts w:hint="default" w:ascii="Times New Roman" w:hAnsi="Times New Roman" w:cs="Times New Roman"/>
                <w:b/>
                <w:iCs/>
                <w:color w:val="000000"/>
              </w:rPr>
              <w:t xml:space="preserve">0 </w:t>
            </w:r>
            <w:r>
              <w:rPr>
                <w:rFonts w:hint="default" w:ascii="Times New Roman" w:hAnsi="Times New Roman" w:cs="Times New Roman"/>
                <w:b w:val="0"/>
                <w:bCs/>
                <w:iCs/>
                <w:color w:val="000000"/>
              </w:rPr>
              <w:t>带领投资者参观展厅</w:t>
            </w:r>
          </w:p>
          <w:p>
            <w:pPr>
              <w:keepNext w:val="0"/>
              <w:keepLines w:val="0"/>
              <w:suppressLineNumbers w:val="0"/>
              <w:spacing w:before="0" w:beforeAutospacing="0" w:after="0" w:afterAutospacing="0"/>
              <w:ind w:left="0" w:right="0" w:firstLine="482"/>
              <w:rPr>
                <w:rFonts w:hint="eastAsia" w:cs="Times New Roman"/>
                <w:b w:val="0"/>
                <w:bCs/>
                <w:iCs/>
                <w:color w:val="000000"/>
                <w:lang w:val="en-US" w:eastAsia="zh-CN"/>
              </w:rPr>
            </w:pPr>
            <w:r>
              <w:rPr>
                <w:rFonts w:hint="default" w:ascii="Times New Roman" w:hAnsi="Times New Roman" w:cs="Times New Roman"/>
                <w:b/>
                <w:iCs/>
                <w:color w:val="000000"/>
              </w:rPr>
              <w:t>1</w:t>
            </w:r>
            <w:r>
              <w:rPr>
                <w:rFonts w:hint="default" w:ascii="Times New Roman" w:hAnsi="Times New Roman" w:cs="Times New Roman"/>
                <w:b/>
                <w:iCs/>
                <w:color w:val="000000"/>
                <w:lang w:val="en-US" w:eastAsia="zh-CN"/>
              </w:rPr>
              <w:t>0</w:t>
            </w:r>
            <w:r>
              <w:rPr>
                <w:rFonts w:hint="default" w:ascii="Times New Roman" w:hAnsi="Times New Roman" w:cs="Times New Roman"/>
                <w:b/>
                <w:iCs/>
                <w:color w:val="000000"/>
              </w:rPr>
              <w:t>:</w:t>
            </w:r>
            <w:r>
              <w:rPr>
                <w:rFonts w:hint="eastAsia" w:cs="Times New Roman"/>
                <w:b/>
                <w:iCs/>
                <w:color w:val="000000"/>
                <w:lang w:val="en-US" w:eastAsia="zh-CN"/>
              </w:rPr>
              <w:t>0</w:t>
            </w:r>
            <w:r>
              <w:rPr>
                <w:rFonts w:hint="default" w:ascii="Times New Roman" w:hAnsi="Times New Roman" w:cs="Times New Roman"/>
                <w:b/>
                <w:iCs/>
                <w:color w:val="000000"/>
              </w:rPr>
              <w:t>0-1</w:t>
            </w:r>
            <w:r>
              <w:rPr>
                <w:rFonts w:hint="eastAsia" w:cs="Times New Roman"/>
                <w:b/>
                <w:iCs/>
                <w:color w:val="000000"/>
                <w:lang w:val="en-US" w:eastAsia="zh-CN"/>
              </w:rPr>
              <w:t>1</w:t>
            </w:r>
            <w:r>
              <w:rPr>
                <w:rFonts w:hint="default" w:ascii="Times New Roman" w:hAnsi="Times New Roman" w:cs="Times New Roman"/>
                <w:b/>
                <w:iCs/>
                <w:color w:val="000000"/>
              </w:rPr>
              <w:t>:</w:t>
            </w:r>
            <w:r>
              <w:rPr>
                <w:rFonts w:hint="eastAsia" w:cs="Times New Roman"/>
                <w:b/>
                <w:iCs/>
                <w:color w:val="000000"/>
                <w:lang w:val="en-US" w:eastAsia="zh-CN"/>
              </w:rPr>
              <w:t>00</w:t>
            </w:r>
            <w:r>
              <w:rPr>
                <w:rFonts w:hint="eastAsia" w:cs="Times New Roman"/>
                <w:b w:val="0"/>
                <w:bCs/>
                <w:iCs/>
                <w:color w:val="000000"/>
                <w:lang w:val="en-US" w:eastAsia="zh-CN"/>
              </w:rPr>
              <w:t>展示公司2024年第三季度业绩</w:t>
            </w:r>
          </w:p>
          <w:p>
            <w:pPr>
              <w:keepNext w:val="0"/>
              <w:keepLines w:val="0"/>
              <w:suppressLineNumbers w:val="0"/>
              <w:spacing w:before="0" w:beforeAutospacing="0" w:after="0" w:afterAutospacing="0"/>
              <w:ind w:left="0" w:right="0" w:firstLine="482"/>
              <w:rPr>
                <w:rFonts w:hint="default" w:ascii="Times New Roman" w:hAnsi="Times New Roman" w:cs="Times New Roman"/>
                <w:b/>
                <w:iCs/>
                <w:color w:val="000000"/>
              </w:rPr>
            </w:pPr>
            <w:r>
              <w:rPr>
                <w:rFonts w:hint="default" w:ascii="Times New Roman" w:hAnsi="Times New Roman" w:cs="Times New Roman"/>
                <w:b/>
                <w:iCs/>
                <w:color w:val="000000"/>
              </w:rPr>
              <w:t>1</w:t>
            </w:r>
            <w:r>
              <w:rPr>
                <w:rFonts w:hint="eastAsia" w:cs="Times New Roman"/>
                <w:b/>
                <w:iCs/>
                <w:color w:val="000000"/>
                <w:lang w:val="en-US" w:eastAsia="zh-CN"/>
              </w:rPr>
              <w:t>1</w:t>
            </w:r>
            <w:r>
              <w:rPr>
                <w:rFonts w:hint="default" w:ascii="Times New Roman" w:hAnsi="Times New Roman" w:cs="Times New Roman"/>
                <w:b/>
                <w:iCs/>
                <w:color w:val="000000"/>
              </w:rPr>
              <w:t>:</w:t>
            </w:r>
            <w:r>
              <w:rPr>
                <w:rFonts w:hint="eastAsia" w:cs="Times New Roman"/>
                <w:b/>
                <w:iCs/>
                <w:color w:val="000000"/>
                <w:lang w:val="en-US" w:eastAsia="zh-CN"/>
              </w:rPr>
              <w:t>0</w:t>
            </w:r>
            <w:r>
              <w:rPr>
                <w:rFonts w:hint="default" w:ascii="Times New Roman" w:hAnsi="Times New Roman" w:cs="Times New Roman"/>
                <w:b/>
                <w:iCs/>
                <w:color w:val="000000"/>
              </w:rPr>
              <w:t>0-1</w:t>
            </w:r>
            <w:r>
              <w:rPr>
                <w:rFonts w:hint="default" w:ascii="Times New Roman" w:hAnsi="Times New Roman" w:cs="Times New Roman"/>
                <w:b/>
                <w:iCs/>
                <w:color w:val="000000"/>
                <w:lang w:val="en-US" w:eastAsia="zh-CN"/>
              </w:rPr>
              <w:t>2</w:t>
            </w:r>
            <w:r>
              <w:rPr>
                <w:rFonts w:hint="default" w:ascii="Times New Roman" w:hAnsi="Times New Roman" w:cs="Times New Roman"/>
                <w:b/>
                <w:iCs/>
                <w:color w:val="000000"/>
              </w:rPr>
              <w:t>:</w:t>
            </w:r>
            <w:r>
              <w:rPr>
                <w:rFonts w:hint="eastAsia" w:cs="Times New Roman"/>
                <w:b/>
                <w:iCs/>
                <w:color w:val="000000"/>
                <w:lang w:val="en-US" w:eastAsia="zh-CN"/>
              </w:rPr>
              <w:t>0</w:t>
            </w:r>
            <w:r>
              <w:rPr>
                <w:rFonts w:hint="default" w:ascii="Times New Roman" w:hAnsi="Times New Roman" w:cs="Times New Roman"/>
                <w:b/>
                <w:iCs/>
                <w:color w:val="000000"/>
              </w:rPr>
              <w:t xml:space="preserve">0 </w:t>
            </w:r>
            <w:r>
              <w:rPr>
                <w:rFonts w:hint="default" w:ascii="Times New Roman" w:hAnsi="Times New Roman" w:cs="Times New Roman"/>
                <w:b w:val="0"/>
                <w:bCs/>
                <w:iCs/>
                <w:color w:val="000000"/>
              </w:rPr>
              <w:t>交流环节</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Cs/>
                <w:iCs/>
                <w:color w:val="000000"/>
              </w:rPr>
            </w:pPr>
            <w:r>
              <w:rPr>
                <w:rFonts w:hint="default" w:ascii="Times New Roman" w:hAnsi="Times New Roman" w:eastAsia="宋体" w:cs="Times New Roman"/>
                <w:b/>
                <w:iCs/>
                <w:color w:val="000000"/>
                <w:lang w:val="en-US" w:eastAsia="zh-CN"/>
              </w:rPr>
              <w:t>二、</w:t>
            </w:r>
            <w:r>
              <w:rPr>
                <w:rFonts w:hint="default" w:ascii="Times New Roman" w:hAnsi="Times New Roman" w:eastAsia="宋体" w:cs="Times New Roman"/>
                <w:b/>
                <w:iCs/>
                <w:color w:val="000000"/>
              </w:rPr>
              <w:t>交流的主要问题及回复：</w:t>
            </w:r>
          </w:p>
          <w:p>
            <w:pPr>
              <w:keepNext w:val="0"/>
              <w:keepLines w:val="0"/>
              <w:numPr>
                <w:ilvl w:val="0"/>
                <w:numId w:val="0"/>
              </w:numPr>
              <w:suppressLineNumbers w:val="0"/>
              <w:spacing w:before="0" w:beforeAutospacing="0" w:after="0" w:afterAutospacing="0"/>
              <w:ind w:left="0" w:right="0" w:firstLine="482" w:firstLineChars="200"/>
              <w:rPr>
                <w:rFonts w:hint="eastAsia"/>
                <w:b/>
                <w:bCs/>
                <w:lang w:val="en-US" w:eastAsia="zh-CN"/>
              </w:rPr>
            </w:pPr>
            <w:r>
              <w:rPr>
                <w:rFonts w:hint="default" w:ascii="Times New Roman" w:hAnsi="Times New Roman" w:eastAsia="宋体" w:cs="Times New Roman"/>
                <w:b/>
                <w:bCs/>
                <w:lang w:val="en-US" w:eastAsia="zh-CN"/>
              </w:rPr>
              <w:t>Q1、</w:t>
            </w:r>
            <w:r>
              <w:rPr>
                <w:rFonts w:hint="eastAsia"/>
                <w:b/>
                <w:bCs/>
                <w:lang w:val="en-US" w:eastAsia="zh-CN"/>
              </w:rPr>
              <w:t>请问公司前三季度业绩较去年大幅增长的原因是什么？</w:t>
            </w:r>
          </w:p>
          <w:p>
            <w:pPr>
              <w:keepNext w:val="0"/>
              <w:keepLines w:val="0"/>
              <w:numPr>
                <w:ilvl w:val="0"/>
                <w:numId w:val="0"/>
              </w:numPr>
              <w:suppressLineNumbers w:val="0"/>
              <w:spacing w:before="0" w:beforeAutospacing="0" w:after="0" w:afterAutospacing="0"/>
              <w:ind w:left="0" w:right="0" w:firstLine="480" w:firstLineChars="200"/>
              <w:rPr>
                <w:rFonts w:hint="eastAsia"/>
              </w:rPr>
            </w:pPr>
            <w:r>
              <w:rPr>
                <w:rFonts w:hint="eastAsia"/>
                <w:lang w:val="en-US" w:eastAsia="zh-CN"/>
              </w:rPr>
              <w:t>答：公司前三季度的营业收入为5.22亿元，较去年同期增长了43.67%。主要原因为：</w:t>
            </w:r>
            <w:r>
              <w:rPr>
                <w:rFonts w:hint="eastAsia"/>
              </w:rPr>
              <w:t>一方面，随着国家电网、南方电网智能化改造的深入，近年来两网的智能电力产品招标量逐年上升。另一方面，公司积极采取了一系列措施，包括但不限于深入走访客户、进一步了解客户需求、全面加强内部管控等，不断提高产品竞争力。公司在2023年国网第二批、2024年国网第一批集中招标中取得了显著成效，中标金额分别为20,138.93万元和22,089.22万元，其中2023年国网第二批中标金额及部分</w:t>
            </w:r>
            <w:r>
              <w:rPr>
                <w:rFonts w:hint="default"/>
              </w:rPr>
              <w:t>2024年国网第一批</w:t>
            </w:r>
            <w:r>
              <w:rPr>
                <w:rFonts w:hint="eastAsia"/>
              </w:rPr>
              <w:t>中标金额基本在今年前三季度完成收入确认，使得营业收入较去年同期大幅增长。</w:t>
            </w:r>
          </w:p>
          <w:p>
            <w:pPr>
              <w:keepNext w:val="0"/>
              <w:keepLines w:val="0"/>
              <w:numPr>
                <w:ilvl w:val="0"/>
                <w:numId w:val="0"/>
              </w:numPr>
              <w:suppressLineNumbers w:val="0"/>
              <w:spacing w:before="0" w:beforeAutospacing="0" w:after="0" w:afterAutospacing="0"/>
              <w:ind w:left="0" w:leftChars="0" w:right="0" w:firstLine="482" w:firstLineChars="200"/>
              <w:rPr>
                <w:rFonts w:hint="eastAsia"/>
                <w:b/>
                <w:bCs/>
                <w:lang w:val="en-US" w:eastAsia="zh-CN"/>
              </w:rPr>
            </w:pPr>
            <w:r>
              <w:rPr>
                <w:rFonts w:hint="default" w:ascii="Times New Roman" w:hAnsi="Times New Roman" w:eastAsia="宋体" w:cs="Times New Roman"/>
                <w:b/>
                <w:bCs/>
                <w:highlight w:val="none"/>
                <w:lang w:val="en-US" w:eastAsia="zh-CN"/>
              </w:rPr>
              <w:t>Q2、</w:t>
            </w:r>
            <w:r>
              <w:rPr>
                <w:rFonts w:hint="eastAsia"/>
                <w:b/>
                <w:bCs/>
                <w:lang w:val="en-US" w:eastAsia="zh-CN"/>
              </w:rPr>
              <w:t>请问公司前三季度的净利润有大幅增长，其具体原因是？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rPr>
            </w:pPr>
            <w:r>
              <w:rPr>
                <w:rFonts w:hint="eastAsia"/>
                <w:lang w:val="en-US" w:eastAsia="zh-CN"/>
              </w:rPr>
              <w:t>答：</w:t>
            </w:r>
            <w:r>
              <w:rPr>
                <w:rFonts w:hint="eastAsia"/>
              </w:rPr>
              <w:t>净利润上升主要原因为：</w:t>
            </w:r>
            <w:r>
              <w:rPr>
                <w:rFonts w:hint="eastAsia"/>
                <w:lang w:val="en-US" w:eastAsia="zh-CN"/>
              </w:rPr>
              <w:t>一是</w:t>
            </w:r>
            <w:r>
              <w:rPr>
                <w:rFonts w:hint="eastAsia"/>
              </w:rPr>
              <w:t>营业收入较去年同期有较大幅度增长；</w:t>
            </w:r>
            <w:r>
              <w:rPr>
                <w:rFonts w:hint="eastAsia"/>
                <w:lang w:val="en-US" w:eastAsia="zh-CN"/>
              </w:rPr>
              <w:t>二是公司</w:t>
            </w:r>
            <w:r>
              <w:rPr>
                <w:rFonts w:hint="eastAsia"/>
              </w:rPr>
              <w:t>智能电力产品的毛利率较去年同期有所提高，主要</w:t>
            </w:r>
            <w:r>
              <w:rPr>
                <w:rFonts w:hint="eastAsia"/>
                <w:lang w:val="en-US" w:eastAsia="zh-CN"/>
              </w:rPr>
              <w:t>由于</w:t>
            </w:r>
            <w:r>
              <w:rPr>
                <w:rFonts w:hint="eastAsia"/>
              </w:rPr>
              <w:t>公司提高了生产自动化水平，并加强成本管控；另一方面，随着产能利用率的提升，规模效益逐渐显现。</w:t>
            </w:r>
          </w:p>
          <w:p>
            <w:pPr>
              <w:keepNext w:val="0"/>
              <w:keepLines w:val="0"/>
              <w:numPr>
                <w:ilvl w:val="0"/>
                <w:numId w:val="0"/>
              </w:numPr>
              <w:suppressLineNumbers w:val="0"/>
              <w:spacing w:before="0" w:beforeAutospacing="0" w:after="0" w:afterAutospacing="0"/>
              <w:ind w:left="0" w:right="0" w:firstLine="482" w:firstLineChars="200"/>
              <w:rPr>
                <w:rFonts w:hint="default"/>
                <w:lang w:val="en-US" w:eastAsia="zh-CN"/>
              </w:rPr>
            </w:pPr>
            <w:r>
              <w:rPr>
                <w:rFonts w:hint="default" w:ascii="Times New Roman" w:hAnsi="Times New Roman" w:eastAsia="宋体" w:cs="Times New Roman"/>
                <w:b/>
                <w:bCs/>
                <w:lang w:val="en-US" w:eastAsia="zh-CN"/>
              </w:rPr>
              <w:t>Q3、</w:t>
            </w:r>
            <w:r>
              <w:rPr>
                <w:rFonts w:hint="eastAsia"/>
                <w:b/>
                <w:bCs/>
                <w:lang w:val="en-US" w:eastAsia="zh-CN"/>
              </w:rPr>
              <w:t>请问公司的研发能力如何？</w:t>
            </w:r>
          </w:p>
          <w:p>
            <w:pPr>
              <w:keepNext w:val="0"/>
              <w:keepLines w:val="0"/>
              <w:suppressLineNumbers w:val="0"/>
              <w:spacing w:before="0" w:beforeAutospacing="0" w:after="0" w:afterAutospacing="0"/>
              <w:ind w:left="0" w:right="0" w:firstLine="480" w:firstLineChars="200"/>
              <w:rPr>
                <w:rFonts w:hint="default"/>
              </w:rPr>
            </w:pPr>
            <w:r>
              <w:rPr>
                <w:rFonts w:hint="eastAsia"/>
                <w:lang w:val="en-US" w:eastAsia="zh-CN"/>
              </w:rPr>
              <w:t>答：</w:t>
            </w:r>
            <w:r>
              <w:rPr>
                <w:rFonts w:hint="eastAsia"/>
              </w:rPr>
              <w:t>公司拥有一支深谙行业技术发展和应用前沿领域的研发技术团队，具备较强的自主技术创新能力。截至</w:t>
            </w:r>
            <w:r>
              <w:rPr>
                <w:rFonts w:hint="eastAsia"/>
                <w:lang w:val="en-US" w:eastAsia="zh-CN"/>
              </w:rPr>
              <w:t>第三季度</w:t>
            </w:r>
            <w:r>
              <w:rPr>
                <w:rFonts w:hint="eastAsia"/>
              </w:rPr>
              <w:t>，公司研发技术人员合计3</w:t>
            </w:r>
            <w:r>
              <w:rPr>
                <w:rFonts w:hint="eastAsia"/>
                <w:lang w:val="en-US" w:eastAsia="zh-CN"/>
              </w:rPr>
              <w:t>65</w:t>
            </w:r>
            <w:r>
              <w:rPr>
                <w:rFonts w:hint="default"/>
              </w:rPr>
              <w:t>人，占员工总数比例为2</w:t>
            </w:r>
            <w:r>
              <w:rPr>
                <w:rFonts w:hint="eastAsia"/>
                <w:lang w:val="en-US" w:eastAsia="zh-CN"/>
              </w:rPr>
              <w:t>8.06</w:t>
            </w:r>
            <w:r>
              <w:rPr>
                <w:rFonts w:hint="default"/>
              </w:rPr>
              <w:t>%，拥有机械制造、硬件设计、软件开发、电子通信、电气自动化、测量工程、地质构造、数据分析等相关专业背景。公司的核心技术人员在用电信息采集、电网巡检、电力信息化等相关领域拥有多年从业经验，并积极参与行业标准制定、发表核心期刊论文，引导行业技术方向和技术标准，不断提升在行业的影响力。</w:t>
            </w:r>
          </w:p>
          <w:p>
            <w:pPr>
              <w:keepNext w:val="0"/>
              <w:keepLines w:val="0"/>
              <w:numPr>
                <w:ilvl w:val="0"/>
                <w:numId w:val="0"/>
              </w:numPr>
              <w:suppressLineNumbers w:val="0"/>
              <w:spacing w:before="0" w:beforeAutospacing="0" w:after="0" w:afterAutospacing="0"/>
              <w:ind w:left="0" w:leftChars="0" w:right="0" w:firstLine="480" w:firstLineChars="200"/>
              <w:rPr>
                <w:rFonts w:hint="default"/>
                <w:highlight w:val="none"/>
                <w:lang w:val="en-US" w:eastAsia="zh-CN"/>
              </w:rPr>
            </w:pPr>
            <w:r>
              <w:rPr>
                <w:rStyle w:val="30"/>
                <w:rFonts w:hint="eastAsia"/>
                <w:b w:val="0"/>
                <w:bCs w:val="0"/>
              </w:rPr>
              <w:t>公司注重技术的持续创新，不断加大技术创新投入，从人才储备、材料设备等多方面入手，持续进行新技术、新产品、新应用的研究开发。</w:t>
            </w:r>
            <w:r>
              <w:rPr>
                <w:rFonts w:hint="eastAsia"/>
                <w:lang w:val="en-US" w:eastAsia="zh-CN"/>
              </w:rPr>
              <w:t>公司2024年第三季度研发投入2031万元，同比增长了57.08%；公司前三季度研发投入为5299万元，同比增长39.03%。</w:t>
            </w:r>
          </w:p>
          <w:p>
            <w:pPr>
              <w:keepNext w:val="0"/>
              <w:keepLines w:val="0"/>
              <w:numPr>
                <w:ilvl w:val="0"/>
                <w:numId w:val="0"/>
              </w:numPr>
              <w:suppressLineNumbers w:val="0"/>
              <w:spacing w:before="0" w:beforeAutospacing="0" w:after="0" w:afterAutospacing="0"/>
              <w:ind w:left="0" w:leftChars="0" w:right="0" w:firstLine="482" w:firstLineChars="200"/>
              <w:rPr>
                <w:rFonts w:hint="eastAsia"/>
                <w:highlight w:val="none"/>
                <w:lang w:val="en-US" w:eastAsia="zh-CN"/>
              </w:rPr>
            </w:pPr>
            <w:r>
              <w:rPr>
                <w:rFonts w:hint="default" w:ascii="Times New Roman" w:hAnsi="Times New Roman" w:eastAsia="宋体" w:cs="Times New Roman"/>
                <w:b/>
                <w:bCs/>
                <w:lang w:val="en-US" w:eastAsia="zh-CN"/>
              </w:rPr>
              <w:t>Q4、</w:t>
            </w:r>
            <w:r>
              <w:rPr>
                <w:rFonts w:hint="eastAsia"/>
                <w:b/>
                <w:bCs/>
                <w:highlight w:val="none"/>
                <w:lang w:val="en-US" w:eastAsia="zh-CN"/>
              </w:rPr>
              <w:t>公司的业务优势有哪些？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auto"/>
              <w:rPr>
                <w:rFonts w:hint="default"/>
                <w:highlight w:val="none"/>
                <w:lang w:val="en-US" w:eastAsia="zh-CN"/>
              </w:rPr>
            </w:pPr>
            <w:r>
              <w:rPr>
                <w:rFonts w:hint="eastAsia"/>
                <w:highlight w:val="none"/>
                <w:lang w:val="en-US" w:eastAsia="zh-CN"/>
              </w:rPr>
              <w:t>答：</w:t>
            </w:r>
            <w:r>
              <w:rPr>
                <w:rFonts w:hint="default"/>
                <w:highlight w:val="none"/>
                <w:lang w:val="en-US" w:eastAsia="zh-CN"/>
              </w:rPr>
              <w:t>公司成立于1996年，曾为国网华北电力科学研究院下属研究机构，公司深耕智能电网领域近30年，公司软硬件业务并举，产品覆盖发电、输电、变电、配电、送电、调度六大领域，已成为一家电力综合服务商，是公司区别于行业企业的典型特征，公司行业布局优势明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auto"/>
              <w:rPr>
                <w:rFonts w:hint="default"/>
                <w:highlight w:val="none"/>
                <w:lang w:val="en-US" w:eastAsia="zh-CN"/>
              </w:rPr>
            </w:pPr>
            <w:r>
              <w:rPr>
                <w:rFonts w:hint="eastAsia"/>
              </w:rPr>
              <w:t>公司的智能电表产品在计量、需求测量、信息交互、费控、安全认证和事件记录等方面相比传统电子式电能表有较大的功能提升，在实际使用中可有效降低计量误差，并通过多种通信方式实现与供电企业营销系统的实时信息互通，进一步实现费控操作和用电监测，达到用电信息的实时网络交互的目的。通过“时钟补偿校准技术”、“宽电流量程设计技术”等核心技术的应用，公司的智能电表产品电能误差精度、环境温度改变影响量、功耗等重要技术指标均优于国际及国内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auto"/>
              <w:rPr>
                <w:rFonts w:hint="eastAsia"/>
              </w:rPr>
            </w:pPr>
            <w:r>
              <w:rPr>
                <w:rFonts w:hint="eastAsia"/>
              </w:rPr>
              <w:t>在智能巡检领域，公司是行业内最早开展电网输电线路智能巡检业务的公司</w:t>
            </w:r>
            <w:r>
              <w:rPr>
                <w:rFonts w:hint="eastAsia"/>
                <w:lang w:val="en-US" w:eastAsia="zh-CN"/>
              </w:rPr>
              <w:t>之一</w:t>
            </w:r>
            <w:r>
              <w:rPr>
                <w:rFonts w:hint="eastAsia"/>
              </w:rPr>
              <w:t>，与电网公司开展了多年的合作，客户粘性强。公司以领先的技术为核心，实现了巡检业务的快速拓展，业务覆盖面已达到</w:t>
            </w:r>
            <w:r>
              <w:rPr>
                <w:rFonts w:hint="default"/>
              </w:rPr>
              <w:t>15个省份。公司依托在行业内长期积累的数据和经验，建立了目前市场上具有独创性的输电线路通道大数据库</w:t>
            </w:r>
            <w:r>
              <w:rPr>
                <w:rFonts w:hint="eastAsia"/>
                <w:lang w:eastAsia="zh-CN"/>
              </w:rPr>
              <w:t>，</w:t>
            </w:r>
            <w:r>
              <w:rPr>
                <w:rFonts w:hint="eastAsia"/>
                <w:lang w:val="en-US" w:eastAsia="zh-CN"/>
              </w:rPr>
              <w:t>并</w:t>
            </w:r>
            <w:r>
              <w:rPr>
                <w:rFonts w:hint="eastAsia"/>
              </w:rPr>
              <w:t>高效地利用了公司多年积淀的历史数据，为大数据分析提供了一个便捷高效的云服务平台。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rPr>
            </w:pPr>
            <w:r>
              <w:rPr>
                <w:rFonts w:hint="eastAsia"/>
              </w:rPr>
              <w:t>在信息技术服务领域，公司自主研发的电力大数据治理与应用平台可对种类复杂、孤岛化、质量不佳、缺乏统一标识和规范的庞大电网数据进行数据治理与数据融合，通过算法、建模技术、标签体系与画像技术等技术的运用，帮助客户实现调度自动化管控、调控运行、营销征信、市场化电费结算等领域的场景化应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auto"/>
              <w:rPr>
                <w:rFonts w:hint="eastAsia"/>
                <w:lang w:val="en-US" w:eastAsia="zh-CN"/>
              </w:rPr>
            </w:pPr>
            <w:r>
              <w:rPr>
                <w:rFonts w:hint="eastAsia"/>
              </w:rPr>
              <w:t>在储能领域，公司具备电力电子技术、构网型储能技术、面向电网的快速通讯及调度响应技术等技术积累，未来将陆续推出储能变流升压一体机、能量管理系统与协调控制系统，可灵活应用于源网侧或配电台区、工商业用户侧，可聚合可调节资源，为参与电力市场现货交易、辅助服务及虚拟电厂业务提供技术支撑。</w:t>
            </w:r>
          </w:p>
          <w:p>
            <w:pPr>
              <w:keepNext w:val="0"/>
              <w:keepLines w:val="0"/>
              <w:suppressLineNumbers w:val="0"/>
              <w:spacing w:before="0" w:beforeAutospacing="0" w:after="0" w:afterAutospacing="0" w:line="360" w:lineRule="auto"/>
              <w:ind w:left="0" w:right="0" w:firstLine="482" w:firstLineChars="200"/>
              <w:rPr>
                <w:rFonts w:hint="eastAsia" w:ascii="宋体" w:hAnsi="宋体" w:eastAsia="宋体"/>
                <w:b/>
                <w:bCs/>
                <w:sz w:val="24"/>
                <w:szCs w:val="24"/>
              </w:rPr>
            </w:pPr>
            <w:r>
              <w:rPr>
                <w:rFonts w:hint="eastAsia" w:cs="Times New Roman"/>
                <w:b/>
                <w:bCs/>
                <w:lang w:val="en-US" w:eastAsia="zh-CN"/>
              </w:rPr>
              <w:t>Q5、</w:t>
            </w:r>
            <w:r>
              <w:rPr>
                <w:rFonts w:hint="eastAsia" w:ascii="宋体" w:hAnsi="宋体" w:eastAsia="宋体"/>
                <w:b/>
                <w:bCs/>
                <w:sz w:val="24"/>
                <w:szCs w:val="24"/>
              </w:rPr>
              <w:t>请问公司2024年</w:t>
            </w:r>
            <w:r>
              <w:rPr>
                <w:rFonts w:hint="eastAsia" w:ascii="宋体" w:hAnsi="宋体"/>
                <w:b/>
                <w:bCs/>
                <w:sz w:val="24"/>
                <w:szCs w:val="24"/>
                <w:lang w:val="en-US" w:eastAsia="zh-CN"/>
              </w:rPr>
              <w:t>前三季度</w:t>
            </w:r>
            <w:r>
              <w:rPr>
                <w:rFonts w:hint="eastAsia" w:ascii="宋体" w:hAnsi="宋体" w:eastAsia="宋体"/>
                <w:b/>
                <w:bCs/>
                <w:sz w:val="24"/>
                <w:szCs w:val="24"/>
              </w:rPr>
              <w:t>的在手订单有多少？</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sz w:val="24"/>
                <w:szCs w:val="24"/>
              </w:rPr>
            </w:pPr>
            <w:r>
              <w:rPr>
                <w:rFonts w:hint="eastAsia" w:ascii="宋体" w:hAnsi="宋体" w:eastAsia="宋体"/>
                <w:sz w:val="24"/>
                <w:szCs w:val="24"/>
              </w:rPr>
              <w:t>答：2024年前三季度，公司在实现智能电力设备业务稳固发展的同时，大力发展智能巡检、信息技术和储能等业务，实现了围绕新型电力产业的多板块协同发展，为企业未来业绩提升奠定了坚实基础。截至2024年9月底，公司</w:t>
            </w:r>
            <w:r>
              <w:rPr>
                <w:rFonts w:hint="eastAsia" w:ascii="宋体" w:hAnsi="宋体"/>
                <w:sz w:val="24"/>
                <w:szCs w:val="24"/>
                <w:lang w:val="en-US" w:eastAsia="zh-CN"/>
              </w:rPr>
              <w:t>除储能业务外</w:t>
            </w:r>
            <w:bookmarkStart w:id="0" w:name="_GoBack"/>
            <w:bookmarkEnd w:id="0"/>
            <w:r>
              <w:rPr>
                <w:rFonts w:hint="eastAsia" w:ascii="宋体" w:hAnsi="宋体" w:eastAsia="宋体"/>
                <w:sz w:val="24"/>
                <w:szCs w:val="24"/>
              </w:rPr>
              <w:t>在手订单约7.36亿元。为公司未来的业绩发展提供了有力支撑。</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2" w:firstLineChars="200"/>
              <w:textAlignment w:val="auto"/>
              <w:rPr>
                <w:rFonts w:hint="eastAsia" w:cs="Times New Roman"/>
                <w:b/>
                <w:bCs/>
                <w:lang w:val="en-US" w:eastAsia="zh-CN"/>
              </w:rPr>
            </w:pPr>
            <w:r>
              <w:rPr>
                <w:rFonts w:hint="eastAsia" w:cs="Times New Roman"/>
                <w:b/>
                <w:bCs/>
                <w:lang w:val="en-US" w:eastAsia="zh-CN"/>
              </w:rPr>
              <w:t>Q6、公司所处行业前景怎么样？</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答：煜邦电力所处的电力行业随着新型电力系统建设的推进，处于稳步向上的发展阶段，电网投资保持了高位水平。</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根据中国电力联合会2024年7月10日发布的《中国电力行业年度发展报告2024》，2023年全国全社会用电量9.22万亿千瓦时，同比增长6.7%，增速同比提高3.1个百分点，全年增速逐季上升，预计2024年全国全社会用电量增速接近2023年。伴随着全国用电和发电总量的稳步增长，我国电网投资规模整体亦保持在较高水平，2023年，全国主要电力企业合计完成投资15502亿元，同比增长24.7%。全国电源工同比增长37.7%，2023年全国电网工程同比增长5.4%。电源投资加速释放，电网投资保持了较高水平。</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（2）电力行业绿色低碳转型步伐加快，新型储能产业快速发展</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中关村储能产业联盟《储能产业发展白皮书2024》显示，2023年全球新增新型储能装机规模创历史新高，新增投运电力储能项目装机规模突破50GW，达到52.0GW，同比增长69.5%。中国占比接近50%。其中，新型储能新增投运规模创历史新高，达到45.6GW， 中国占比接近了50%。2023年中国新增投运新型储能装机规模21.5GW/46.6GWH，功率和能量规模同比增长均超150%。《储能产业发展白皮书2024》预计，在保守场景下2028年中国新型储能市场累计装机规模将达到168.7GW，2024-2028年复合年增长率（CAGR）为37.4%；理想场景下，预计2028年新型储能累计规模将达到220.9GW，2024-2028年复合年均增长率（CAGR）为45.0%。</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（3）电力物联网、数字电网是电网未来的建设方向</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2023年，国家能源局发布《国家能源局关于加快推进能源数字化智能化发展的若干意见》规划要求至2030年 电网企业基本完成数智化转型，以数字化智能化电网支撑新型电力系统建设。</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（4）所处行业细分领域亦发展迅速</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国家电网和南方电网共同构成智能电力产品最主要的市场。截至2022年12月底我国智能电表保有量已超过6.5亿只。2021-2022-23年国家电网智能电表招标总量分别连续三年增长。按照国家电网的规划，预计到2025年接入终端设备将超过10亿只，到2030年将超过20亿只。受益于电力物联网和数字电网的建设，应用于电网和各大发电企业的智能电力终端产品市场有望快速扩容，为公司智能硬件类产品的增长打开发展空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eastAsia" w:cs="Times New Roman"/>
                <w:b w:val="0"/>
                <w:bCs w:val="0"/>
                <w:lang w:val="en-US" w:eastAsia="zh-CN"/>
              </w:rPr>
            </w:pPr>
            <w:r>
              <w:rPr>
                <w:rFonts w:hint="eastAsia" w:cs="Times New Roman"/>
                <w:b w:val="0"/>
                <w:bCs w:val="0"/>
                <w:lang w:val="en-US" w:eastAsia="zh-CN"/>
              </w:rPr>
              <w:t>2024年3月，国家电网《国网设备部关于印发2024年输电线路无人机业务高质量发展工作方案的通知》，要求在2024年底，建设一批全无人机智能巡视示范区，进一步推进输电运维模式转型升级。110(66)千伏及以上线路无人机激光点云及航线规划覆盖率达到80%。220千伏及以上适航区线路无人机自主巡检覆盖率达到100%,110(66)千伏以及上适航区线路无人机自主巡检覆盖率达到60%。</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480" w:firstLineChars="200"/>
              <w:textAlignment w:val="auto"/>
              <w:rPr>
                <w:rFonts w:hint="default" w:cs="Times New Roman"/>
                <w:b w:val="0"/>
                <w:bCs w:val="0"/>
                <w:lang w:val="en-US" w:eastAsia="zh-CN"/>
              </w:rPr>
            </w:pPr>
            <w:r>
              <w:rPr>
                <w:rFonts w:hint="eastAsia" w:cs="Times New Roman"/>
                <w:b w:val="0"/>
                <w:bCs w:val="0"/>
                <w:lang w:val="en-US" w:eastAsia="zh-CN"/>
              </w:rPr>
              <w:t>行业发展和细分领域市场空间提升，为企业业绩成长提供了广阔的空间。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附件清单（如有）</w:t>
            </w: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p>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color w:val="000000"/>
                <w:kern w:val="0"/>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日期</w:t>
            </w:r>
          </w:p>
        </w:tc>
        <w:tc>
          <w:tcPr>
            <w:tcW w:w="63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202</w:t>
            </w:r>
            <w:r>
              <w:rPr>
                <w:rFonts w:hint="default" w:ascii="Times New Roman" w:hAnsi="Times New Roman" w:cs="Times New Roman"/>
                <w:bCs/>
                <w:iCs/>
                <w:color w:val="000000"/>
                <w:lang w:val="en-US" w:eastAsia="zh-CN"/>
              </w:rPr>
              <w:t>4</w:t>
            </w:r>
            <w:r>
              <w:rPr>
                <w:rFonts w:hint="default" w:ascii="Times New Roman" w:hAnsi="Times New Roman" w:cs="Times New Roman"/>
                <w:bCs/>
                <w:iCs/>
                <w:color w:val="000000"/>
              </w:rPr>
              <w:t>年</w:t>
            </w:r>
            <w:r>
              <w:rPr>
                <w:rFonts w:hint="eastAsia" w:cs="Times New Roman"/>
                <w:bCs/>
                <w:iCs/>
                <w:color w:val="000000"/>
                <w:lang w:val="en-US" w:eastAsia="zh-CN"/>
              </w:rPr>
              <w:t>10</w:t>
            </w:r>
            <w:r>
              <w:rPr>
                <w:rFonts w:hint="default" w:ascii="Times New Roman" w:hAnsi="Times New Roman" w:cs="Times New Roman"/>
                <w:bCs/>
                <w:iCs/>
                <w:color w:val="000000"/>
              </w:rPr>
              <w:t>月</w:t>
            </w:r>
            <w:r>
              <w:rPr>
                <w:rFonts w:hint="eastAsia" w:cs="Times New Roman"/>
                <w:bCs/>
                <w:iCs/>
                <w:color w:val="000000"/>
                <w:lang w:val="en-US" w:eastAsia="zh-CN"/>
              </w:rPr>
              <w:t>24</w:t>
            </w:r>
            <w:r>
              <w:rPr>
                <w:rFonts w:hint="default" w:ascii="Times New Roman" w:hAnsi="Times New Roman" w:cs="Times New Roman"/>
                <w:bCs/>
                <w:iCs/>
                <w:color w:val="000000"/>
              </w:rPr>
              <w:t>日</w:t>
            </w:r>
          </w:p>
        </w:tc>
      </w:tr>
    </w:tbl>
    <w:p>
      <w:pPr>
        <w:ind w:firstLine="0" w:firstLineChars="0"/>
        <w:rPr>
          <w:rFonts w:ascii="宋体" w:hAnsi="宋体" w:cs="宋体"/>
          <w:color w:val="000000"/>
          <w:kern w:val="0"/>
          <w:lang w:bidi="ar"/>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480"/>
      <w:jc w:val="center"/>
      <w:rPr>
        <w:rFonts w:ascii="宋体" w:hAnsi="宋体"/>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FB08F"/>
    <w:multiLevelType w:val="singleLevel"/>
    <w:tmpl w:val="04BFB08F"/>
    <w:lvl w:ilvl="0" w:tentative="0">
      <w:start w:val="1"/>
      <w:numFmt w:val="chineseCounting"/>
      <w:suff w:val="nothing"/>
      <w:lvlText w:val="%1、"/>
      <w:lvlJc w:val="left"/>
      <w:rPr>
        <w:rFonts w:hint="eastAsia"/>
      </w:rPr>
    </w:lvl>
  </w:abstractNum>
  <w:abstractNum w:abstractNumId="1">
    <w:nsid w:val="3F3231A3"/>
    <w:multiLevelType w:val="multilevel"/>
    <w:tmpl w:val="3F3231A3"/>
    <w:lvl w:ilvl="0" w:tentative="0">
      <w:start w:val="1"/>
      <w:numFmt w:val="chineseCountingThousand"/>
      <w:pStyle w:val="2"/>
      <w:lvlText w:val="%1、"/>
      <w:lvlJc w:val="left"/>
      <w:pPr>
        <w:ind w:left="450" w:hanging="450"/>
      </w:pPr>
      <w:rPr>
        <w:rFonts w:hint="default"/>
        <w:color w:val="000000" w:themeColor="text1"/>
        <w:lang w:val="en-US"/>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 w:name="KSO_WPS_MARK_KEY" w:val="c9e77134-38d3-439c-a9fa-6fd0d7276fc5"/>
  </w:docVars>
  <w:rsids>
    <w:rsidRoot w:val="00172A27"/>
    <w:rsid w:val="0005033A"/>
    <w:rsid w:val="000738A4"/>
    <w:rsid w:val="000D6F1B"/>
    <w:rsid w:val="0010748C"/>
    <w:rsid w:val="001178D6"/>
    <w:rsid w:val="00172FFC"/>
    <w:rsid w:val="00176A2D"/>
    <w:rsid w:val="002041AE"/>
    <w:rsid w:val="00206F58"/>
    <w:rsid w:val="00225D75"/>
    <w:rsid w:val="00244DE9"/>
    <w:rsid w:val="002475A5"/>
    <w:rsid w:val="00280131"/>
    <w:rsid w:val="0028690D"/>
    <w:rsid w:val="002E5D8B"/>
    <w:rsid w:val="00307C20"/>
    <w:rsid w:val="00313583"/>
    <w:rsid w:val="00324D9E"/>
    <w:rsid w:val="003478C0"/>
    <w:rsid w:val="00360592"/>
    <w:rsid w:val="003614AE"/>
    <w:rsid w:val="00364D27"/>
    <w:rsid w:val="003E1A15"/>
    <w:rsid w:val="003F1823"/>
    <w:rsid w:val="00427425"/>
    <w:rsid w:val="00477E7B"/>
    <w:rsid w:val="004A6D07"/>
    <w:rsid w:val="004D2C93"/>
    <w:rsid w:val="004E0AE0"/>
    <w:rsid w:val="004E1A9F"/>
    <w:rsid w:val="0054178E"/>
    <w:rsid w:val="00545D6F"/>
    <w:rsid w:val="0057682D"/>
    <w:rsid w:val="00591F26"/>
    <w:rsid w:val="005929E1"/>
    <w:rsid w:val="005C77A7"/>
    <w:rsid w:val="005E043F"/>
    <w:rsid w:val="005F3E45"/>
    <w:rsid w:val="00663A0F"/>
    <w:rsid w:val="006872A8"/>
    <w:rsid w:val="006D44B9"/>
    <w:rsid w:val="006E1D17"/>
    <w:rsid w:val="007F7938"/>
    <w:rsid w:val="00811140"/>
    <w:rsid w:val="00812D16"/>
    <w:rsid w:val="008340F4"/>
    <w:rsid w:val="008C5EC8"/>
    <w:rsid w:val="008F1ED9"/>
    <w:rsid w:val="0090566B"/>
    <w:rsid w:val="00941FB6"/>
    <w:rsid w:val="009E5CBD"/>
    <w:rsid w:val="00A25F27"/>
    <w:rsid w:val="00A46227"/>
    <w:rsid w:val="00A64516"/>
    <w:rsid w:val="00A913E1"/>
    <w:rsid w:val="00AC5B85"/>
    <w:rsid w:val="00B43CC5"/>
    <w:rsid w:val="00B51B9D"/>
    <w:rsid w:val="00C27462"/>
    <w:rsid w:val="00C93D71"/>
    <w:rsid w:val="00CD7119"/>
    <w:rsid w:val="00CF601E"/>
    <w:rsid w:val="00D07FE0"/>
    <w:rsid w:val="00D259B0"/>
    <w:rsid w:val="00D40B66"/>
    <w:rsid w:val="00D41127"/>
    <w:rsid w:val="00D53FAB"/>
    <w:rsid w:val="00D66DEA"/>
    <w:rsid w:val="00D87F8B"/>
    <w:rsid w:val="00D912CB"/>
    <w:rsid w:val="00E00922"/>
    <w:rsid w:val="00E22C38"/>
    <w:rsid w:val="00E51CD1"/>
    <w:rsid w:val="00E8720F"/>
    <w:rsid w:val="00EB5FD4"/>
    <w:rsid w:val="00F14F34"/>
    <w:rsid w:val="00F66EE8"/>
    <w:rsid w:val="00FC635B"/>
    <w:rsid w:val="01234FE0"/>
    <w:rsid w:val="01502D10"/>
    <w:rsid w:val="01B251D8"/>
    <w:rsid w:val="01B76DA6"/>
    <w:rsid w:val="0244428D"/>
    <w:rsid w:val="0289355D"/>
    <w:rsid w:val="04472FBC"/>
    <w:rsid w:val="04D4371E"/>
    <w:rsid w:val="04F670C0"/>
    <w:rsid w:val="04FB15C8"/>
    <w:rsid w:val="06A93138"/>
    <w:rsid w:val="06BE7A2F"/>
    <w:rsid w:val="09623430"/>
    <w:rsid w:val="0A141655"/>
    <w:rsid w:val="0A232419"/>
    <w:rsid w:val="0B601776"/>
    <w:rsid w:val="0E0B7D94"/>
    <w:rsid w:val="0E3A7A5E"/>
    <w:rsid w:val="0F5172E4"/>
    <w:rsid w:val="0FB45D3D"/>
    <w:rsid w:val="111A7F35"/>
    <w:rsid w:val="11BB005F"/>
    <w:rsid w:val="12E623F4"/>
    <w:rsid w:val="13E94E98"/>
    <w:rsid w:val="13F41679"/>
    <w:rsid w:val="145044DA"/>
    <w:rsid w:val="145D635C"/>
    <w:rsid w:val="14C96AE8"/>
    <w:rsid w:val="1511125D"/>
    <w:rsid w:val="16AF7B64"/>
    <w:rsid w:val="17B179BF"/>
    <w:rsid w:val="1A6525DA"/>
    <w:rsid w:val="1BD91EA9"/>
    <w:rsid w:val="1C8020C6"/>
    <w:rsid w:val="1D4E4D5C"/>
    <w:rsid w:val="1D8A34E9"/>
    <w:rsid w:val="1DA23FF1"/>
    <w:rsid w:val="1EBC1835"/>
    <w:rsid w:val="1F6745C6"/>
    <w:rsid w:val="20255703"/>
    <w:rsid w:val="21582E98"/>
    <w:rsid w:val="21595751"/>
    <w:rsid w:val="22746013"/>
    <w:rsid w:val="22B14FED"/>
    <w:rsid w:val="23214F26"/>
    <w:rsid w:val="2328463F"/>
    <w:rsid w:val="249935AB"/>
    <w:rsid w:val="25137AB5"/>
    <w:rsid w:val="252510E2"/>
    <w:rsid w:val="261A2F71"/>
    <w:rsid w:val="26C84E2F"/>
    <w:rsid w:val="26D03852"/>
    <w:rsid w:val="274C34D5"/>
    <w:rsid w:val="281E2746"/>
    <w:rsid w:val="288558F5"/>
    <w:rsid w:val="28D40A43"/>
    <w:rsid w:val="28E4215B"/>
    <w:rsid w:val="295E47AB"/>
    <w:rsid w:val="2A0B22AF"/>
    <w:rsid w:val="2AAD43DD"/>
    <w:rsid w:val="2B96237A"/>
    <w:rsid w:val="2C802549"/>
    <w:rsid w:val="2C974366"/>
    <w:rsid w:val="2D0C5076"/>
    <w:rsid w:val="2DAB2A2E"/>
    <w:rsid w:val="2E1A363E"/>
    <w:rsid w:val="2ED83964"/>
    <w:rsid w:val="2F234024"/>
    <w:rsid w:val="2FEE7FD3"/>
    <w:rsid w:val="30506672"/>
    <w:rsid w:val="31472D24"/>
    <w:rsid w:val="31B86E8C"/>
    <w:rsid w:val="31E9479D"/>
    <w:rsid w:val="32FA4514"/>
    <w:rsid w:val="32FB2E93"/>
    <w:rsid w:val="358520A4"/>
    <w:rsid w:val="35E2495D"/>
    <w:rsid w:val="361436B2"/>
    <w:rsid w:val="365B4235"/>
    <w:rsid w:val="36C32AA7"/>
    <w:rsid w:val="36D93CDC"/>
    <w:rsid w:val="36E713FF"/>
    <w:rsid w:val="37382FE8"/>
    <w:rsid w:val="386B36DD"/>
    <w:rsid w:val="3A347BA7"/>
    <w:rsid w:val="3ABC3E96"/>
    <w:rsid w:val="3BA935E9"/>
    <w:rsid w:val="3D3D38C7"/>
    <w:rsid w:val="3E546A69"/>
    <w:rsid w:val="3E901EE1"/>
    <w:rsid w:val="3ECC35F3"/>
    <w:rsid w:val="3F1E0435"/>
    <w:rsid w:val="3FBA4920"/>
    <w:rsid w:val="40980764"/>
    <w:rsid w:val="40AD49D3"/>
    <w:rsid w:val="40BA6693"/>
    <w:rsid w:val="433C66B4"/>
    <w:rsid w:val="4447737B"/>
    <w:rsid w:val="44680FD8"/>
    <w:rsid w:val="44867AEB"/>
    <w:rsid w:val="45060DC3"/>
    <w:rsid w:val="466E7585"/>
    <w:rsid w:val="475143C5"/>
    <w:rsid w:val="48CF5863"/>
    <w:rsid w:val="49CC144D"/>
    <w:rsid w:val="4BF9574E"/>
    <w:rsid w:val="4C410F9B"/>
    <w:rsid w:val="4C464239"/>
    <w:rsid w:val="50774629"/>
    <w:rsid w:val="507C320F"/>
    <w:rsid w:val="527E51E3"/>
    <w:rsid w:val="52EB0BC7"/>
    <w:rsid w:val="54980E30"/>
    <w:rsid w:val="557963A3"/>
    <w:rsid w:val="56903F5F"/>
    <w:rsid w:val="571C73E3"/>
    <w:rsid w:val="57374A11"/>
    <w:rsid w:val="5AF80325"/>
    <w:rsid w:val="5AFD593B"/>
    <w:rsid w:val="5D0D455B"/>
    <w:rsid w:val="5D131F08"/>
    <w:rsid w:val="5E082837"/>
    <w:rsid w:val="5E802817"/>
    <w:rsid w:val="622D66DF"/>
    <w:rsid w:val="62535E8B"/>
    <w:rsid w:val="63647270"/>
    <w:rsid w:val="642A25F8"/>
    <w:rsid w:val="654E74BF"/>
    <w:rsid w:val="662F78AA"/>
    <w:rsid w:val="67504A1F"/>
    <w:rsid w:val="677D6C3B"/>
    <w:rsid w:val="679C3CDE"/>
    <w:rsid w:val="6866618F"/>
    <w:rsid w:val="68727938"/>
    <w:rsid w:val="68A13DAA"/>
    <w:rsid w:val="69617F7B"/>
    <w:rsid w:val="6B6B2A60"/>
    <w:rsid w:val="6D3639C4"/>
    <w:rsid w:val="6E2C05BA"/>
    <w:rsid w:val="6E92241A"/>
    <w:rsid w:val="6ED03AA2"/>
    <w:rsid w:val="6F0B53B7"/>
    <w:rsid w:val="6FB90C23"/>
    <w:rsid w:val="6FD35D9C"/>
    <w:rsid w:val="70801882"/>
    <w:rsid w:val="70A01788"/>
    <w:rsid w:val="72A72905"/>
    <w:rsid w:val="7338479B"/>
    <w:rsid w:val="73D94E13"/>
    <w:rsid w:val="74200A04"/>
    <w:rsid w:val="74C07CAE"/>
    <w:rsid w:val="75E17122"/>
    <w:rsid w:val="76B854AE"/>
    <w:rsid w:val="778E68BB"/>
    <w:rsid w:val="799B4584"/>
    <w:rsid w:val="79A225D4"/>
    <w:rsid w:val="79EF2F14"/>
    <w:rsid w:val="7A2603C8"/>
    <w:rsid w:val="7B013661"/>
    <w:rsid w:val="7BE63AA2"/>
    <w:rsid w:val="7D354697"/>
    <w:rsid w:val="7E866635"/>
    <w:rsid w:val="7E9764D0"/>
    <w:rsid w:val="7EF667A6"/>
    <w:rsid w:val="7F477001"/>
    <w:rsid w:val="7FBB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30"/>
    <w:autoRedefine/>
    <w:qFormat/>
    <w:uiPriority w:val="0"/>
    <w:pPr>
      <w:keepNext/>
      <w:keepLines/>
      <w:numPr>
        <w:ilvl w:val="0"/>
        <w:numId w:val="1"/>
      </w:numPr>
      <w:spacing w:line="360" w:lineRule="auto"/>
      <w:outlineLvl w:val="1"/>
    </w:pPr>
    <w:rPr>
      <w:b/>
      <w:bCs/>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link w:val="15"/>
    <w:autoRedefine/>
    <w:qFormat/>
    <w:uiPriority w:val="0"/>
    <w:pPr>
      <w:jc w:val="left"/>
    </w:pPr>
  </w:style>
  <w:style w:type="paragraph" w:styleId="4">
    <w:name w:val="footer"/>
    <w:basedOn w:val="1"/>
    <w:autoRedefine/>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6">
    <w:name w:val="Normal (Web)"/>
    <w:basedOn w:val="1"/>
    <w:qFormat/>
    <w:uiPriority w:val="0"/>
    <w:rPr>
      <w:sz w:val="24"/>
    </w:rPr>
  </w:style>
  <w:style w:type="paragraph" w:styleId="7">
    <w:name w:val="annotation subject"/>
    <w:basedOn w:val="3"/>
    <w:next w:val="3"/>
    <w:link w:val="16"/>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autoRedefine/>
    <w:qFormat/>
    <w:uiPriority w:val="0"/>
    <w:rPr>
      <w:color w:val="333333"/>
      <w:u w:val="none"/>
    </w:rPr>
  </w:style>
  <w:style w:type="character" w:styleId="12">
    <w:name w:val="Hyperlink"/>
    <w:basedOn w:val="10"/>
    <w:autoRedefine/>
    <w:qFormat/>
    <w:uiPriority w:val="0"/>
    <w:rPr>
      <w:color w:val="333333"/>
      <w:u w:val="none"/>
    </w:rPr>
  </w:style>
  <w:style w:type="character" w:styleId="13">
    <w:name w:val="annotation reference"/>
    <w:basedOn w:val="10"/>
    <w:autoRedefine/>
    <w:qFormat/>
    <w:uiPriority w:val="0"/>
    <w:rPr>
      <w:sz w:val="21"/>
      <w:szCs w:val="21"/>
    </w:rPr>
  </w:style>
  <w:style w:type="paragraph" w:styleId="14">
    <w:name w:val="List Paragraph"/>
    <w:basedOn w:val="1"/>
    <w:autoRedefine/>
    <w:qFormat/>
    <w:uiPriority w:val="34"/>
    <w:pPr>
      <w:ind w:firstLine="420"/>
    </w:pPr>
  </w:style>
  <w:style w:type="character" w:customStyle="1" w:styleId="15">
    <w:name w:val="批注文字 Char"/>
    <w:basedOn w:val="10"/>
    <w:link w:val="3"/>
    <w:autoRedefine/>
    <w:qFormat/>
    <w:uiPriority w:val="0"/>
    <w:rPr>
      <w:kern w:val="2"/>
      <w:sz w:val="24"/>
      <w:szCs w:val="24"/>
    </w:rPr>
  </w:style>
  <w:style w:type="character" w:customStyle="1" w:styleId="16">
    <w:name w:val="批注主题 Char"/>
    <w:basedOn w:val="15"/>
    <w:link w:val="7"/>
    <w:autoRedefine/>
    <w:qFormat/>
    <w:uiPriority w:val="0"/>
    <w:rPr>
      <w:b/>
      <w:bCs/>
      <w:kern w:val="2"/>
      <w:sz w:val="24"/>
      <w:szCs w:val="24"/>
    </w:rPr>
  </w:style>
  <w:style w:type="paragraph" w:customStyle="1" w:styleId="17">
    <w:name w:val="修订1"/>
    <w:autoRedefine/>
    <w:hidden/>
    <w:semiHidden/>
    <w:qFormat/>
    <w:uiPriority w:val="99"/>
    <w:rPr>
      <w:rFonts w:ascii="Times New Roman" w:hAnsi="Times New Roman" w:eastAsia="宋体" w:cs="Times New Roman"/>
      <w:kern w:val="2"/>
      <w:sz w:val="24"/>
      <w:szCs w:val="24"/>
      <w:lang w:val="en-US" w:eastAsia="zh-CN" w:bidi="ar-SA"/>
    </w:rPr>
  </w:style>
  <w:style w:type="character" w:customStyle="1" w:styleId="18">
    <w:name w:val="layui-laydate-preview"/>
    <w:basedOn w:val="10"/>
    <w:autoRedefine/>
    <w:qFormat/>
    <w:uiPriority w:val="0"/>
  </w:style>
  <w:style w:type="character" w:customStyle="1" w:styleId="19">
    <w:name w:val="layui-this"/>
    <w:basedOn w:val="10"/>
    <w:autoRedefine/>
    <w:qFormat/>
    <w:uiPriority w:val="0"/>
    <w:rPr>
      <w:bdr w:val="single" w:color="EEEEEE" w:sz="4" w:space="0"/>
      <w:shd w:val="clear" w:fill="FFFFFF"/>
    </w:rPr>
  </w:style>
  <w:style w:type="character" w:customStyle="1" w:styleId="20">
    <w:name w:val="hover11"/>
    <w:basedOn w:val="10"/>
    <w:autoRedefine/>
    <w:qFormat/>
    <w:uiPriority w:val="0"/>
    <w:rPr>
      <w:color w:val="5FB878"/>
    </w:rPr>
  </w:style>
  <w:style w:type="character" w:customStyle="1" w:styleId="21">
    <w:name w:val="hover12"/>
    <w:basedOn w:val="10"/>
    <w:autoRedefine/>
    <w:qFormat/>
    <w:uiPriority w:val="0"/>
    <w:rPr>
      <w:color w:val="5FB878"/>
    </w:rPr>
  </w:style>
  <w:style w:type="character" w:customStyle="1" w:styleId="22">
    <w:name w:val="hover13"/>
    <w:basedOn w:val="10"/>
    <w:autoRedefine/>
    <w:qFormat/>
    <w:uiPriority w:val="0"/>
    <w:rPr>
      <w:color w:val="FFFFFF"/>
    </w:rPr>
  </w:style>
  <w:style w:type="character" w:customStyle="1" w:styleId="23">
    <w:name w:val="first-child1"/>
    <w:basedOn w:val="10"/>
    <w:autoRedefine/>
    <w:qFormat/>
    <w:uiPriority w:val="0"/>
  </w:style>
  <w:style w:type="character" w:customStyle="1" w:styleId="24">
    <w:name w:val="layui-laypage-curr"/>
    <w:basedOn w:val="10"/>
    <w:autoRedefine/>
    <w:qFormat/>
    <w:uiPriority w:val="0"/>
  </w:style>
  <w:style w:type="character" w:customStyle="1" w:styleId="25">
    <w:name w:val="font-gray1"/>
    <w:basedOn w:val="10"/>
    <w:autoRedefine/>
    <w:qFormat/>
    <w:uiPriority w:val="0"/>
    <w:rPr>
      <w:color w:val="A7A7A7"/>
    </w:rPr>
  </w:style>
  <w:style w:type="character" w:customStyle="1" w:styleId="26">
    <w:name w:val="hover"/>
    <w:basedOn w:val="10"/>
    <w:autoRedefine/>
    <w:qFormat/>
    <w:uiPriority w:val="0"/>
    <w:rPr>
      <w:color w:val="5FB878"/>
    </w:rPr>
  </w:style>
  <w:style w:type="character" w:customStyle="1" w:styleId="27">
    <w:name w:val="hover1"/>
    <w:basedOn w:val="10"/>
    <w:autoRedefine/>
    <w:qFormat/>
    <w:uiPriority w:val="0"/>
    <w:rPr>
      <w:color w:val="FFFFFF"/>
    </w:rPr>
  </w:style>
  <w:style w:type="character" w:customStyle="1" w:styleId="28">
    <w:name w:val="hover2"/>
    <w:basedOn w:val="10"/>
    <w:autoRedefine/>
    <w:qFormat/>
    <w:uiPriority w:val="0"/>
    <w:rPr>
      <w:color w:val="5FB878"/>
    </w:rPr>
  </w:style>
  <w:style w:type="paragraph" w:customStyle="1" w:styleId="29">
    <w:name w:val="A-正文"/>
    <w:basedOn w:val="1"/>
    <w:autoRedefine/>
    <w:qFormat/>
    <w:uiPriority w:val="0"/>
    <w:pPr>
      <w:adjustRightInd w:val="0"/>
      <w:snapToGrid w:val="0"/>
      <w:ind w:firstLine="200"/>
    </w:pPr>
    <w:rPr>
      <w:rFonts w:ascii="Times New Roman" w:hAnsi="Times New Roman" w:eastAsia="宋体"/>
      <w:sz w:val="24"/>
      <w:szCs w:val="21"/>
      <w14:ligatures w14:val="none"/>
    </w:rPr>
  </w:style>
  <w:style w:type="character" w:customStyle="1" w:styleId="30">
    <w:name w:val="标题 2 Char2"/>
    <w:basedOn w:val="10"/>
    <w:link w:val="2"/>
    <w:autoRedefine/>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5DD8-67F4-4749-AAC1-950D1A59FCF2}">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3014</Words>
  <Characters>3276</Characters>
  <Lines>14</Lines>
  <Paragraphs>3</Paragraphs>
  <TotalTime>8</TotalTime>
  <ScaleCrop>false</ScaleCrop>
  <LinksUpToDate>false</LinksUpToDate>
  <CharactersWithSpaces>3428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2022-04-14T09:02:00Z</dcterms:created>
  <dc:creator>WY</dc:creator>
  <cp:lastModifiedBy>wy</cp:lastModifiedBy>
  <cp:lastPrinted>2021-07-15T03:39:00Z</cp:lastPrinted>
  <dcterms:modified xsi:type="dcterms:W3CDTF">2024-10-24T09:22:43Z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6662CD73D60C4F3CBA4716AE784B412F</vt:lpwstr>
  </property>
</Properties>
</file>