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AEFC9" w14:textId="255B4882" w:rsidR="005A0559" w:rsidRDefault="00650708" w:rsidP="005A0559">
      <w:pPr>
        <w:pStyle w:val="a3"/>
        <w:spacing w:line="520" w:lineRule="exact"/>
        <w:jc w:val="center"/>
        <w:rPr>
          <w:rFonts w:hAnsi="宋体" w:cs="宋体"/>
          <w:b/>
          <w:sz w:val="36"/>
          <w:szCs w:val="24"/>
        </w:rPr>
      </w:pPr>
      <w:r>
        <w:rPr>
          <w:rFonts w:hAnsi="宋体" w:cs="宋体" w:hint="eastAsia"/>
          <w:b/>
          <w:sz w:val="36"/>
          <w:szCs w:val="24"/>
        </w:rPr>
        <w:t>兖矿能源集团</w:t>
      </w:r>
      <w:r w:rsidR="005A0559">
        <w:rPr>
          <w:rFonts w:hAnsi="宋体" w:cs="宋体" w:hint="eastAsia"/>
          <w:b/>
          <w:sz w:val="36"/>
          <w:szCs w:val="24"/>
        </w:rPr>
        <w:t>股份有限公司</w:t>
      </w:r>
    </w:p>
    <w:p w14:paraId="1B4DB1C9" w14:textId="1853A052" w:rsidR="005A0559" w:rsidRDefault="00367A5D" w:rsidP="005A0559">
      <w:pPr>
        <w:pStyle w:val="a3"/>
        <w:spacing w:line="520" w:lineRule="exact"/>
        <w:jc w:val="center"/>
        <w:rPr>
          <w:rFonts w:hAnsi="宋体" w:cs="宋体"/>
          <w:b/>
          <w:sz w:val="36"/>
          <w:szCs w:val="24"/>
        </w:rPr>
      </w:pPr>
      <w:r>
        <w:rPr>
          <w:rFonts w:hAnsi="宋体" w:cs="宋体" w:hint="eastAsia"/>
          <w:b/>
          <w:sz w:val="36"/>
          <w:szCs w:val="24"/>
        </w:rPr>
        <w:t>202</w:t>
      </w:r>
      <w:r w:rsidR="00361C33">
        <w:rPr>
          <w:rFonts w:hAnsi="宋体" w:cs="宋体"/>
          <w:b/>
          <w:sz w:val="36"/>
          <w:szCs w:val="24"/>
        </w:rPr>
        <w:t>4</w:t>
      </w:r>
      <w:r w:rsidR="005A0559" w:rsidRPr="005B5BC7">
        <w:rPr>
          <w:rFonts w:hAnsi="宋体" w:cs="宋体" w:hint="eastAsia"/>
          <w:b/>
          <w:sz w:val="36"/>
          <w:szCs w:val="24"/>
        </w:rPr>
        <w:t>年</w:t>
      </w:r>
      <w:r w:rsidR="00757686">
        <w:rPr>
          <w:rFonts w:hAnsi="宋体" w:cs="宋体" w:hint="eastAsia"/>
          <w:b/>
          <w:sz w:val="36"/>
          <w:szCs w:val="24"/>
        </w:rPr>
        <w:t>第三季度</w:t>
      </w:r>
      <w:r w:rsidR="005A0559" w:rsidRPr="005A0559">
        <w:rPr>
          <w:rFonts w:hAnsi="宋体" w:cs="宋体"/>
          <w:b/>
          <w:sz w:val="36"/>
          <w:szCs w:val="24"/>
        </w:rPr>
        <w:t>业绩说明会</w:t>
      </w:r>
      <w:r w:rsidR="005A0559">
        <w:rPr>
          <w:rFonts w:hAnsi="宋体" w:cs="宋体" w:hint="eastAsia"/>
          <w:b/>
          <w:sz w:val="36"/>
          <w:szCs w:val="24"/>
        </w:rPr>
        <w:t>会</w:t>
      </w:r>
      <w:r w:rsidR="005A0559" w:rsidRPr="005B5BC7">
        <w:rPr>
          <w:rFonts w:hAnsi="宋体" w:cs="宋体" w:hint="eastAsia"/>
          <w:b/>
          <w:sz w:val="36"/>
          <w:szCs w:val="24"/>
        </w:rPr>
        <w:t>议</w:t>
      </w:r>
      <w:r w:rsidR="005A0559" w:rsidRPr="005B5BC7">
        <w:rPr>
          <w:rFonts w:hAnsi="宋体" w:cs="宋体"/>
          <w:b/>
          <w:sz w:val="36"/>
          <w:szCs w:val="24"/>
        </w:rPr>
        <w:t>纪要</w:t>
      </w:r>
    </w:p>
    <w:p w14:paraId="75BC6245" w14:textId="263E8F30" w:rsidR="00120966" w:rsidRPr="000747EE" w:rsidRDefault="00120966" w:rsidP="000747EE">
      <w:pPr>
        <w:pStyle w:val="a3"/>
        <w:spacing w:line="520" w:lineRule="exact"/>
        <w:ind w:firstLineChars="200" w:firstLine="600"/>
        <w:rPr>
          <w:rFonts w:hAnsi="宋体"/>
          <w:sz w:val="30"/>
          <w:szCs w:val="30"/>
        </w:rPr>
      </w:pPr>
    </w:p>
    <w:p w14:paraId="51AF2F6B" w14:textId="7B7FC39D" w:rsidR="0076723F" w:rsidRPr="00305D38" w:rsidRDefault="006A77F6" w:rsidP="00A655DF">
      <w:pPr>
        <w:adjustRightInd w:val="0"/>
        <w:snapToGrid w:val="0"/>
        <w:spacing w:line="600" w:lineRule="exact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202</w:t>
      </w:r>
      <w:r w:rsidR="00367A5D">
        <w:rPr>
          <w:rFonts w:ascii="宋体" w:eastAsia="宋体" w:hAnsi="宋体"/>
          <w:sz w:val="32"/>
          <w:szCs w:val="32"/>
        </w:rPr>
        <w:t>4</w:t>
      </w:r>
      <w:r w:rsidR="0076723F" w:rsidRPr="00305D38">
        <w:rPr>
          <w:rFonts w:ascii="宋体" w:eastAsia="宋体" w:hAnsi="宋体"/>
          <w:sz w:val="32"/>
          <w:szCs w:val="32"/>
        </w:rPr>
        <w:t>年</w:t>
      </w:r>
      <w:r w:rsidR="00757686">
        <w:rPr>
          <w:rFonts w:ascii="宋体" w:eastAsia="宋体" w:hAnsi="宋体"/>
          <w:sz w:val="32"/>
          <w:szCs w:val="32"/>
        </w:rPr>
        <w:t>10</w:t>
      </w:r>
      <w:r w:rsidR="0076723F" w:rsidRPr="00305D38">
        <w:rPr>
          <w:rFonts w:ascii="宋体" w:eastAsia="宋体" w:hAnsi="宋体" w:hint="eastAsia"/>
          <w:sz w:val="32"/>
          <w:szCs w:val="32"/>
        </w:rPr>
        <w:t>月</w:t>
      </w:r>
      <w:r w:rsidR="00361C33">
        <w:rPr>
          <w:rFonts w:ascii="宋体" w:eastAsia="宋体" w:hAnsi="宋体"/>
          <w:sz w:val="32"/>
          <w:szCs w:val="32"/>
        </w:rPr>
        <w:t>2</w:t>
      </w:r>
      <w:r w:rsidR="00757686">
        <w:rPr>
          <w:rFonts w:ascii="宋体" w:eastAsia="宋体" w:hAnsi="宋体"/>
          <w:sz w:val="32"/>
          <w:szCs w:val="32"/>
        </w:rPr>
        <w:t>7</w:t>
      </w:r>
      <w:r w:rsidR="0076723F" w:rsidRPr="00305D38">
        <w:rPr>
          <w:rFonts w:ascii="宋体" w:eastAsia="宋体" w:hAnsi="宋体" w:hint="eastAsia"/>
          <w:sz w:val="32"/>
          <w:szCs w:val="32"/>
        </w:rPr>
        <w:t>日，</w:t>
      </w:r>
      <w:r w:rsidR="00650708">
        <w:rPr>
          <w:rFonts w:ascii="宋体" w:eastAsia="宋体" w:hAnsi="宋体" w:hint="eastAsia"/>
          <w:sz w:val="32"/>
          <w:szCs w:val="32"/>
        </w:rPr>
        <w:t>兖矿能源集团</w:t>
      </w:r>
      <w:r w:rsidR="0076723F" w:rsidRPr="00305D38">
        <w:rPr>
          <w:rFonts w:ascii="宋体" w:eastAsia="宋体" w:hAnsi="宋体" w:hint="eastAsia"/>
          <w:sz w:val="32"/>
          <w:szCs w:val="32"/>
        </w:rPr>
        <w:t>股份有限公司（“</w:t>
      </w:r>
      <w:r w:rsidR="00650708">
        <w:rPr>
          <w:rFonts w:ascii="宋体" w:eastAsia="宋体" w:hAnsi="宋体" w:hint="eastAsia"/>
          <w:sz w:val="32"/>
          <w:szCs w:val="32"/>
        </w:rPr>
        <w:t>兖矿能源</w:t>
      </w:r>
      <w:r w:rsidR="0076723F" w:rsidRPr="00305D38">
        <w:rPr>
          <w:rFonts w:ascii="宋体" w:eastAsia="宋体" w:hAnsi="宋体" w:hint="eastAsia"/>
          <w:sz w:val="32"/>
          <w:szCs w:val="32"/>
        </w:rPr>
        <w:t>”或“公司”）以电话</w:t>
      </w:r>
      <w:r w:rsidR="009D6D0A">
        <w:rPr>
          <w:rFonts w:ascii="宋体" w:eastAsia="宋体" w:hAnsi="宋体" w:hint="eastAsia"/>
          <w:sz w:val="32"/>
          <w:szCs w:val="32"/>
        </w:rPr>
        <w:t>及网络会议</w:t>
      </w:r>
      <w:r w:rsidR="0076723F" w:rsidRPr="00305D38">
        <w:rPr>
          <w:rFonts w:ascii="宋体" w:eastAsia="宋体" w:hAnsi="宋体" w:hint="eastAsia"/>
          <w:sz w:val="32"/>
          <w:szCs w:val="32"/>
        </w:rPr>
        <w:t>的方式召开</w:t>
      </w:r>
      <w:r w:rsidR="00367A5D">
        <w:rPr>
          <w:rFonts w:ascii="宋体" w:eastAsia="宋体" w:hAnsi="宋体"/>
          <w:sz w:val="32"/>
          <w:szCs w:val="32"/>
        </w:rPr>
        <w:t>202</w:t>
      </w:r>
      <w:r w:rsidR="00361C33">
        <w:rPr>
          <w:rFonts w:ascii="宋体" w:eastAsia="宋体" w:hAnsi="宋体"/>
          <w:sz w:val="32"/>
          <w:szCs w:val="32"/>
        </w:rPr>
        <w:t>4</w:t>
      </w:r>
      <w:r w:rsidR="00613F28">
        <w:rPr>
          <w:rFonts w:ascii="宋体" w:eastAsia="宋体" w:hAnsi="宋体" w:hint="eastAsia"/>
          <w:sz w:val="32"/>
          <w:szCs w:val="32"/>
        </w:rPr>
        <w:t>年</w:t>
      </w:r>
      <w:r w:rsidR="00757686" w:rsidRPr="00757686">
        <w:rPr>
          <w:rFonts w:ascii="宋体" w:eastAsia="宋体" w:hAnsi="宋体" w:hint="eastAsia"/>
          <w:sz w:val="32"/>
          <w:szCs w:val="32"/>
        </w:rPr>
        <w:t>第三季度</w:t>
      </w:r>
      <w:r w:rsidR="0076723F" w:rsidRPr="00305D38">
        <w:rPr>
          <w:rFonts w:ascii="宋体" w:eastAsia="宋体" w:hAnsi="宋体" w:hint="eastAsia"/>
          <w:sz w:val="32"/>
          <w:szCs w:val="32"/>
        </w:rPr>
        <w:t>业绩说明会。</w:t>
      </w:r>
      <w:r w:rsidR="00364396" w:rsidRPr="00305D38">
        <w:rPr>
          <w:rFonts w:ascii="宋体" w:eastAsia="宋体" w:hAnsi="宋体" w:hint="eastAsia"/>
          <w:sz w:val="32"/>
          <w:szCs w:val="32"/>
        </w:rPr>
        <w:t>公司</w:t>
      </w:r>
      <w:r w:rsidR="00757686" w:rsidRPr="00757686">
        <w:rPr>
          <w:rFonts w:ascii="宋体" w:eastAsia="宋体" w:hAnsi="宋体" w:hint="eastAsia"/>
          <w:sz w:val="32"/>
          <w:szCs w:val="32"/>
        </w:rPr>
        <w:t>副总经理王九红先生（代行</w:t>
      </w:r>
      <w:r w:rsidR="00757686">
        <w:rPr>
          <w:rFonts w:ascii="宋体" w:eastAsia="宋体" w:hAnsi="宋体" w:hint="eastAsia"/>
          <w:sz w:val="32"/>
          <w:szCs w:val="32"/>
        </w:rPr>
        <w:t>总经理</w:t>
      </w:r>
      <w:r w:rsidR="00757686" w:rsidRPr="00757686">
        <w:rPr>
          <w:rFonts w:ascii="宋体" w:eastAsia="宋体" w:hAnsi="宋体" w:hint="eastAsia"/>
          <w:sz w:val="32"/>
          <w:szCs w:val="32"/>
        </w:rPr>
        <w:t>职责），</w:t>
      </w:r>
      <w:r w:rsidR="00364396" w:rsidRPr="00305D38">
        <w:rPr>
          <w:rFonts w:ascii="宋体" w:eastAsia="宋体" w:hAnsi="宋体" w:hint="eastAsia"/>
          <w:sz w:val="32"/>
          <w:szCs w:val="32"/>
        </w:rPr>
        <w:t>董事、董事会秘书黄霄龙先生</w:t>
      </w:r>
      <w:r w:rsidR="00613F28">
        <w:rPr>
          <w:rFonts w:ascii="宋体" w:eastAsia="宋体" w:hAnsi="宋体" w:hint="eastAsia"/>
          <w:sz w:val="32"/>
          <w:szCs w:val="32"/>
        </w:rPr>
        <w:t>，</w:t>
      </w:r>
      <w:r w:rsidR="00367A5D" w:rsidRPr="00367A5D">
        <w:rPr>
          <w:rFonts w:ascii="宋体" w:eastAsia="宋体" w:hAnsi="宋体" w:hint="eastAsia"/>
          <w:sz w:val="32"/>
          <w:szCs w:val="32"/>
        </w:rPr>
        <w:t>财务总监</w:t>
      </w:r>
      <w:r w:rsidR="00367A5D">
        <w:rPr>
          <w:rFonts w:ascii="宋体" w:eastAsia="宋体" w:hAnsi="宋体" w:hint="eastAsia"/>
          <w:sz w:val="32"/>
          <w:szCs w:val="32"/>
        </w:rPr>
        <w:t>赵治国</w:t>
      </w:r>
      <w:r w:rsidR="00367A5D" w:rsidRPr="00367A5D">
        <w:rPr>
          <w:rFonts w:ascii="宋体" w:eastAsia="宋体" w:hAnsi="宋体" w:hint="eastAsia"/>
          <w:sz w:val="32"/>
          <w:szCs w:val="32"/>
        </w:rPr>
        <w:t>先生，</w:t>
      </w:r>
      <w:r w:rsidR="00613F28">
        <w:rPr>
          <w:rFonts w:ascii="宋体" w:eastAsia="宋体" w:hAnsi="宋体" w:hint="eastAsia"/>
          <w:sz w:val="32"/>
          <w:szCs w:val="32"/>
        </w:rPr>
        <w:t>独立董事</w:t>
      </w:r>
      <w:r w:rsidR="00367A5D">
        <w:rPr>
          <w:rFonts w:ascii="宋体" w:eastAsia="宋体" w:hAnsi="宋体" w:hint="eastAsia"/>
          <w:sz w:val="32"/>
          <w:szCs w:val="32"/>
        </w:rPr>
        <w:t>胡家栋</w:t>
      </w:r>
      <w:r w:rsidR="00613F28">
        <w:rPr>
          <w:rFonts w:ascii="宋体" w:eastAsia="宋体" w:hAnsi="宋体" w:hint="eastAsia"/>
          <w:sz w:val="32"/>
          <w:szCs w:val="32"/>
        </w:rPr>
        <w:t>先生</w:t>
      </w:r>
      <w:r w:rsidR="0076723F" w:rsidRPr="00305D38">
        <w:rPr>
          <w:rFonts w:ascii="宋体" w:eastAsia="宋体" w:hAnsi="宋体" w:hint="eastAsia"/>
          <w:sz w:val="32"/>
          <w:szCs w:val="32"/>
        </w:rPr>
        <w:t>和有关业务负责人出席会议，向投资者</w:t>
      </w:r>
      <w:r w:rsidR="00A655DF" w:rsidRPr="00305D38">
        <w:rPr>
          <w:rFonts w:ascii="宋体" w:eastAsia="宋体" w:hAnsi="宋体" w:hint="eastAsia"/>
          <w:sz w:val="32"/>
          <w:szCs w:val="32"/>
        </w:rPr>
        <w:t>介绍</w:t>
      </w:r>
      <w:r w:rsidR="00367A5D">
        <w:rPr>
          <w:rFonts w:ascii="宋体" w:eastAsia="宋体" w:hAnsi="宋体"/>
          <w:sz w:val="32"/>
          <w:szCs w:val="32"/>
        </w:rPr>
        <w:t>202</w:t>
      </w:r>
      <w:r w:rsidR="00361C33">
        <w:rPr>
          <w:rFonts w:ascii="宋体" w:eastAsia="宋体" w:hAnsi="宋体"/>
          <w:sz w:val="32"/>
          <w:szCs w:val="32"/>
        </w:rPr>
        <w:t>4</w:t>
      </w:r>
      <w:r w:rsidR="00A655DF" w:rsidRPr="00305D38">
        <w:rPr>
          <w:rFonts w:ascii="宋体" w:eastAsia="宋体" w:hAnsi="宋体"/>
          <w:sz w:val="32"/>
          <w:szCs w:val="32"/>
        </w:rPr>
        <w:t>年</w:t>
      </w:r>
      <w:r w:rsidR="00757686">
        <w:rPr>
          <w:rFonts w:ascii="宋体" w:eastAsia="宋体" w:hAnsi="宋体" w:hint="eastAsia"/>
          <w:sz w:val="32"/>
          <w:szCs w:val="32"/>
        </w:rPr>
        <w:t>第三季度</w:t>
      </w:r>
      <w:r w:rsidR="00A655DF" w:rsidRPr="00305D38">
        <w:rPr>
          <w:rFonts w:ascii="宋体" w:eastAsia="宋体" w:hAnsi="宋体"/>
          <w:sz w:val="32"/>
          <w:szCs w:val="32"/>
        </w:rPr>
        <w:t>经营业绩、</w:t>
      </w:r>
      <w:r w:rsidR="00361C33">
        <w:rPr>
          <w:rFonts w:ascii="宋体" w:eastAsia="宋体" w:hAnsi="宋体" w:hint="eastAsia"/>
          <w:sz w:val="32"/>
          <w:szCs w:val="32"/>
        </w:rPr>
        <w:t>未来</w:t>
      </w:r>
      <w:r w:rsidR="00A655DF" w:rsidRPr="00305D38">
        <w:rPr>
          <w:rFonts w:ascii="宋体" w:eastAsia="宋体" w:hAnsi="宋体"/>
          <w:sz w:val="32"/>
          <w:szCs w:val="32"/>
        </w:rPr>
        <w:t>市场分析和</w:t>
      </w:r>
      <w:r w:rsidR="00A655DF" w:rsidRPr="00305D38">
        <w:rPr>
          <w:rFonts w:ascii="宋体" w:eastAsia="宋体" w:hAnsi="宋体" w:hint="eastAsia"/>
          <w:sz w:val="32"/>
          <w:szCs w:val="32"/>
        </w:rPr>
        <w:t>经营措施等相关情况，并就投资者关注的问题进行沟通和交流。</w:t>
      </w:r>
      <w:r w:rsidR="0076723F" w:rsidRPr="00305D38">
        <w:rPr>
          <w:rFonts w:ascii="宋体" w:eastAsia="宋体" w:hAnsi="宋体" w:hint="eastAsia"/>
          <w:sz w:val="32"/>
          <w:szCs w:val="32"/>
        </w:rPr>
        <w:t>现就本次会议沟通、交流的重点内容整理如下：</w:t>
      </w:r>
    </w:p>
    <w:p w14:paraId="4FA4D94F" w14:textId="7FBE8F4A" w:rsidR="003D2C3B" w:rsidRDefault="00823591" w:rsidP="00F242C9">
      <w:pPr>
        <w:pStyle w:val="1"/>
        <w:spacing w:before="156" w:after="156"/>
        <w:ind w:firstLineChars="220" w:firstLine="707"/>
      </w:pPr>
      <w:r w:rsidRPr="00823591">
        <w:rPr>
          <w:rFonts w:cs="Arial" w:hint="eastAsia"/>
          <w:bCs/>
        </w:rPr>
        <w:t>公司对化工板块</w:t>
      </w:r>
      <w:r>
        <w:rPr>
          <w:rFonts w:cs="Arial" w:hint="eastAsia"/>
          <w:bCs/>
        </w:rPr>
        <w:t>的</w:t>
      </w:r>
      <w:r w:rsidRPr="00823591">
        <w:rPr>
          <w:rFonts w:cs="Arial" w:hint="eastAsia"/>
          <w:bCs/>
        </w:rPr>
        <w:t>定位</w:t>
      </w:r>
    </w:p>
    <w:p w14:paraId="4D7B18CC" w14:textId="3D7A9D68" w:rsidR="003D2C3B" w:rsidRPr="00FC6D5C" w:rsidRDefault="00823591" w:rsidP="002511EC">
      <w:pPr>
        <w:spacing w:line="560" w:lineRule="exact"/>
        <w:ind w:firstLineChars="200" w:firstLine="640"/>
        <w:contextualSpacing/>
        <w:rPr>
          <w:rFonts w:ascii="宋体" w:eastAsia="宋体" w:hAnsi="宋体" w:cs="Arial"/>
          <w:bCs/>
          <w:sz w:val="32"/>
          <w:szCs w:val="32"/>
        </w:rPr>
      </w:pPr>
      <w:r w:rsidRPr="00823591">
        <w:rPr>
          <w:rFonts w:ascii="宋体" w:eastAsia="宋体" w:hAnsi="宋体" w:cs="Arial" w:hint="eastAsia"/>
          <w:bCs/>
          <w:sz w:val="32"/>
          <w:szCs w:val="32"/>
        </w:rPr>
        <w:t>兖矿能源煤化工产业的发展，是优化产业结构、提升可持续发展能力的重要保障。一是“以投资换资源”的必要途径。从走出去外部开发伊始，公司按照地方政策，依托化工项目投资建设，在属地区域获取了大量优质煤炭资源和配套项目，保障了持续发展。二是“延伸煤拓展煤”的重要载体。煤化工是煤炭清洁高效利用的重要途径，推动煤炭向原料、材料、终端产品转化。三是“产业转型升级”的关键路径。煤化工推动传统产业延链增值，是传统产业绿色低碳发展的重要方向。在煤化工方面，</w:t>
      </w:r>
      <w:r w:rsidR="00612A71">
        <w:rPr>
          <w:rFonts w:ascii="宋体" w:eastAsia="宋体" w:hAnsi="宋体" w:cs="Arial" w:hint="eastAsia"/>
          <w:bCs/>
          <w:sz w:val="32"/>
          <w:szCs w:val="32"/>
        </w:rPr>
        <w:t>公司</w:t>
      </w:r>
      <w:r w:rsidRPr="00823591">
        <w:rPr>
          <w:rFonts w:ascii="宋体" w:eastAsia="宋体" w:hAnsi="宋体" w:cs="Arial" w:hint="eastAsia"/>
          <w:bCs/>
          <w:sz w:val="32"/>
          <w:szCs w:val="32"/>
        </w:rPr>
        <w:t>有几十年的经验积累，建成煤气化、煤液化等多条完整产业链，拥有全国首套百万吨级煤间接液化示范装置，“</w:t>
      </w:r>
      <w:r w:rsidRPr="00823591">
        <w:rPr>
          <w:rFonts w:ascii="宋体" w:eastAsia="宋体" w:hAnsi="宋体" w:cs="Arial"/>
          <w:bCs/>
          <w:sz w:val="32"/>
          <w:szCs w:val="32"/>
        </w:rPr>
        <w:t>4000吨级煤气化示范装置”国际领</w:t>
      </w:r>
      <w:r w:rsidRPr="00823591">
        <w:rPr>
          <w:rFonts w:ascii="宋体" w:eastAsia="宋体" w:hAnsi="宋体" w:cs="Arial"/>
          <w:bCs/>
          <w:sz w:val="32"/>
          <w:szCs w:val="32"/>
        </w:rPr>
        <w:lastRenderedPageBreak/>
        <w:t>先，这些为公司规模扩大、产业延伸、转型升级提供坚实保障。</w:t>
      </w:r>
    </w:p>
    <w:p w14:paraId="0519968C" w14:textId="250D6A31" w:rsidR="000B625D" w:rsidRPr="00305D38" w:rsidRDefault="00E27563" w:rsidP="003A1437">
      <w:pPr>
        <w:pStyle w:val="1"/>
        <w:spacing w:before="156" w:after="156"/>
        <w:ind w:firstLineChars="220" w:firstLine="707"/>
      </w:pPr>
      <w:r w:rsidRPr="00E27563">
        <w:rPr>
          <w:rFonts w:hint="eastAsia"/>
        </w:rPr>
        <w:t>公司</w:t>
      </w:r>
      <w:r w:rsidRPr="00E27563">
        <w:t>2024年资本开支计划</w:t>
      </w:r>
    </w:p>
    <w:p w14:paraId="6E6ABB91" w14:textId="1D464B92" w:rsidR="00314CB5" w:rsidRDefault="00E27563" w:rsidP="00314CB5">
      <w:pPr>
        <w:adjustRightInd w:val="0"/>
        <w:snapToGrid w:val="0"/>
        <w:spacing w:line="6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E27563">
        <w:rPr>
          <w:rFonts w:ascii="宋体" w:eastAsia="宋体" w:hAnsi="宋体" w:hint="eastAsia"/>
          <w:sz w:val="32"/>
          <w:szCs w:val="32"/>
        </w:rPr>
        <w:t>根据公司</w:t>
      </w:r>
      <w:r w:rsidRPr="00E27563">
        <w:rPr>
          <w:rFonts w:ascii="宋体" w:eastAsia="宋体" w:hAnsi="宋体"/>
          <w:sz w:val="32"/>
          <w:szCs w:val="32"/>
        </w:rPr>
        <w:t>2023</w:t>
      </w:r>
      <w:r w:rsidR="00CD07AA">
        <w:rPr>
          <w:rFonts w:ascii="宋体" w:eastAsia="宋体" w:hAnsi="宋体" w:hint="eastAsia"/>
          <w:sz w:val="32"/>
          <w:szCs w:val="32"/>
        </w:rPr>
        <w:t>年</w:t>
      </w:r>
      <w:r w:rsidRPr="00E27563">
        <w:rPr>
          <w:rFonts w:ascii="宋体" w:eastAsia="宋体" w:hAnsi="宋体"/>
          <w:sz w:val="32"/>
          <w:szCs w:val="32"/>
        </w:rPr>
        <w:t>年度报告，2024年</w:t>
      </w:r>
      <w:r w:rsidR="00C30F58">
        <w:rPr>
          <w:rFonts w:ascii="宋体" w:eastAsia="宋体" w:hAnsi="宋体" w:hint="eastAsia"/>
          <w:sz w:val="32"/>
          <w:szCs w:val="32"/>
        </w:rPr>
        <w:t>公司及其附属公司（“本集团”）</w:t>
      </w:r>
      <w:r w:rsidRPr="00E27563">
        <w:rPr>
          <w:rFonts w:ascii="宋体" w:eastAsia="宋体" w:hAnsi="宋体" w:hint="eastAsia"/>
          <w:sz w:val="32"/>
          <w:szCs w:val="32"/>
        </w:rPr>
        <w:t>资本开支</w:t>
      </w:r>
      <w:r w:rsidRPr="00E27563">
        <w:rPr>
          <w:rFonts w:ascii="宋体" w:eastAsia="宋体" w:hAnsi="宋体"/>
          <w:sz w:val="32"/>
          <w:szCs w:val="32"/>
        </w:rPr>
        <w:t>计划为197亿元，</w:t>
      </w:r>
      <w:r w:rsidR="00314CB5">
        <w:rPr>
          <w:rFonts w:ascii="宋体" w:eastAsia="宋体" w:hAnsi="宋体" w:hint="eastAsia"/>
          <w:sz w:val="32"/>
          <w:szCs w:val="32"/>
        </w:rPr>
        <w:t>其中</w:t>
      </w:r>
      <w:r w:rsidR="00953984">
        <w:rPr>
          <w:rFonts w:ascii="宋体" w:eastAsia="宋体" w:hAnsi="宋体" w:hint="eastAsia"/>
          <w:sz w:val="32"/>
          <w:szCs w:val="32"/>
        </w:rPr>
        <w:t>：</w:t>
      </w:r>
      <w:r w:rsidR="00953984" w:rsidRPr="00E27563">
        <w:rPr>
          <w:rFonts w:ascii="宋体" w:eastAsia="宋体" w:hAnsi="宋体"/>
          <w:sz w:val="32"/>
          <w:szCs w:val="32"/>
        </w:rPr>
        <w:t>维持简单再生产</w:t>
      </w:r>
      <w:r w:rsidR="00953984">
        <w:rPr>
          <w:rFonts w:ascii="宋体" w:eastAsia="宋体" w:hAnsi="宋体" w:hint="eastAsia"/>
          <w:sz w:val="32"/>
          <w:szCs w:val="32"/>
        </w:rPr>
        <w:t>1</w:t>
      </w:r>
      <w:r w:rsidR="00953984">
        <w:rPr>
          <w:rFonts w:ascii="宋体" w:eastAsia="宋体" w:hAnsi="宋体"/>
          <w:sz w:val="32"/>
          <w:szCs w:val="32"/>
        </w:rPr>
        <w:t>02</w:t>
      </w:r>
      <w:r w:rsidR="00953984">
        <w:rPr>
          <w:rFonts w:ascii="宋体" w:eastAsia="宋体" w:hAnsi="宋体" w:hint="eastAsia"/>
          <w:sz w:val="32"/>
          <w:szCs w:val="32"/>
        </w:rPr>
        <w:t>亿元；</w:t>
      </w:r>
      <w:r w:rsidR="00314CB5">
        <w:rPr>
          <w:rFonts w:ascii="宋体" w:eastAsia="宋体" w:hAnsi="宋体" w:hint="eastAsia"/>
          <w:sz w:val="32"/>
          <w:szCs w:val="32"/>
        </w:rPr>
        <w:t>基建项目</w:t>
      </w:r>
      <w:r w:rsidR="00314CB5">
        <w:rPr>
          <w:rFonts w:ascii="宋体" w:eastAsia="宋体" w:hAnsi="宋体"/>
          <w:sz w:val="32"/>
          <w:szCs w:val="32"/>
        </w:rPr>
        <w:t>80</w:t>
      </w:r>
      <w:r w:rsidR="00314CB5">
        <w:rPr>
          <w:rFonts w:ascii="宋体" w:eastAsia="宋体" w:hAnsi="宋体" w:hint="eastAsia"/>
          <w:sz w:val="32"/>
          <w:szCs w:val="32"/>
        </w:rPr>
        <w:t>亿元，</w:t>
      </w:r>
      <w:r w:rsidR="00314CB5" w:rsidRPr="00E27563">
        <w:rPr>
          <w:rFonts w:ascii="宋体" w:eastAsia="宋体" w:hAnsi="宋体"/>
          <w:sz w:val="32"/>
          <w:szCs w:val="32"/>
        </w:rPr>
        <w:t>主要包括“陕蒙疆”区域矿井建设、高端化工新材料等增量创效项目。</w:t>
      </w:r>
    </w:p>
    <w:p w14:paraId="5BF83861" w14:textId="1F22D5C8" w:rsidR="004C4EBB" w:rsidRPr="003D2C3B" w:rsidRDefault="00B03AC8" w:rsidP="00B03AC8">
      <w:pPr>
        <w:pStyle w:val="1"/>
        <w:spacing w:before="156" w:after="156"/>
        <w:ind w:firstLineChars="220" w:firstLine="707"/>
      </w:pPr>
      <w:r w:rsidRPr="00B03AC8">
        <w:rPr>
          <w:rFonts w:hint="eastAsia"/>
        </w:rPr>
        <w:t>公司</w:t>
      </w:r>
      <w:r w:rsidRPr="00B03AC8">
        <w:t>3亿吨煤炭产量计划如何实现</w:t>
      </w:r>
    </w:p>
    <w:p w14:paraId="49712DA4" w14:textId="42F0F9E2" w:rsidR="003A4566" w:rsidRPr="003A4566" w:rsidRDefault="003A4566" w:rsidP="00F23F4A">
      <w:pPr>
        <w:adjustRightInd w:val="0"/>
        <w:snapToGrid w:val="0"/>
        <w:spacing w:line="6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3A4566">
        <w:rPr>
          <w:rFonts w:ascii="宋体" w:eastAsia="宋体" w:hAnsi="宋体" w:hint="eastAsia"/>
          <w:sz w:val="32"/>
          <w:szCs w:val="32"/>
        </w:rPr>
        <w:t>公司</w:t>
      </w:r>
      <w:r w:rsidRPr="003A4566">
        <w:rPr>
          <w:rFonts w:ascii="宋体" w:eastAsia="宋体" w:hAnsi="宋体"/>
          <w:sz w:val="32"/>
          <w:szCs w:val="32"/>
        </w:rPr>
        <w:t>2021年12月制定的《发展战略纲要》提出，力争5-10年煤炭产量（100%权益的原煤产量）达到3亿吨/年。2023年公司完成鲁西矿业、新疆能化的收购，山东能源于山东、新疆区域的优质煤炭资产已注入上市公司。根据公司2023</w:t>
      </w:r>
      <w:r w:rsidR="00F23F4A">
        <w:rPr>
          <w:rFonts w:ascii="宋体" w:eastAsia="宋体" w:hAnsi="宋体" w:hint="eastAsia"/>
          <w:sz w:val="32"/>
          <w:szCs w:val="32"/>
        </w:rPr>
        <w:t>年</w:t>
      </w:r>
      <w:r w:rsidRPr="003A4566">
        <w:rPr>
          <w:rFonts w:ascii="宋体" w:eastAsia="宋体" w:hAnsi="宋体"/>
          <w:sz w:val="32"/>
          <w:szCs w:val="32"/>
        </w:rPr>
        <w:t>年度报告，本集团2024年</w:t>
      </w:r>
      <w:r w:rsidR="00F23F4A">
        <w:rPr>
          <w:rFonts w:ascii="宋体" w:eastAsia="宋体" w:hAnsi="宋体" w:hint="eastAsia"/>
          <w:sz w:val="32"/>
          <w:szCs w:val="32"/>
        </w:rPr>
        <w:t>计划生产商品煤约</w:t>
      </w:r>
      <w:r w:rsidRPr="003A4566">
        <w:rPr>
          <w:rFonts w:ascii="宋体" w:eastAsia="宋体" w:hAnsi="宋体"/>
          <w:sz w:val="32"/>
          <w:szCs w:val="32"/>
        </w:rPr>
        <w:t>1.4亿吨，对应原煤产量约1.7亿吨。</w:t>
      </w:r>
    </w:p>
    <w:p w14:paraId="15F0C90B" w14:textId="2CCDE1E7" w:rsidR="003A4566" w:rsidRPr="003A4566" w:rsidRDefault="003A4566" w:rsidP="003A4566">
      <w:pPr>
        <w:adjustRightInd w:val="0"/>
        <w:snapToGrid w:val="0"/>
        <w:spacing w:line="6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3A4566">
        <w:rPr>
          <w:rFonts w:ascii="宋体" w:eastAsia="宋体" w:hAnsi="宋体" w:hint="eastAsia"/>
          <w:sz w:val="32"/>
          <w:szCs w:val="32"/>
        </w:rPr>
        <w:t>本集团将坚持内涵式增长与外延式增长并举，加快优质资源释放，高质高效推进增量项目建设，规划</w:t>
      </w:r>
      <w:r w:rsidRPr="003A4566">
        <w:rPr>
          <w:rFonts w:ascii="宋体" w:eastAsia="宋体" w:hAnsi="宋体"/>
          <w:sz w:val="32"/>
          <w:szCs w:val="32"/>
        </w:rPr>
        <w:t>2024-2025年建成万福煤矿、五彩湾四号露天矿，后续霍林河一号煤矿、曹四夭钼矿、刘三圪旦煤矿、嘎鲁图煤矿陆续开工。若上述项目规划如期完成，将进一步助力公司实现原煤产量3亿吨的目标。</w:t>
      </w:r>
    </w:p>
    <w:p w14:paraId="1DA3581F" w14:textId="5C98CAF7" w:rsidR="003D2C3B" w:rsidRDefault="003A4566" w:rsidP="003A4566">
      <w:pPr>
        <w:adjustRightInd w:val="0"/>
        <w:snapToGrid w:val="0"/>
        <w:spacing w:line="6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3A4566">
        <w:rPr>
          <w:rFonts w:ascii="宋体" w:eastAsia="宋体" w:hAnsi="宋体" w:hint="eastAsia"/>
          <w:sz w:val="32"/>
          <w:szCs w:val="32"/>
        </w:rPr>
        <w:t>同时，公司将持续关注境内外市场优质资产的并购机遇。</w:t>
      </w:r>
    </w:p>
    <w:p w14:paraId="3E691000" w14:textId="640C2B12" w:rsidR="00884DDF" w:rsidRPr="003D2C3B" w:rsidRDefault="00884DDF" w:rsidP="00884DDF">
      <w:pPr>
        <w:pStyle w:val="1"/>
        <w:spacing w:before="156" w:after="156"/>
        <w:ind w:firstLineChars="220" w:firstLine="707"/>
      </w:pPr>
      <w:r w:rsidRPr="003D2C3B">
        <w:rPr>
          <w:rFonts w:hint="eastAsia"/>
        </w:rPr>
        <w:t>对</w:t>
      </w:r>
      <w:r w:rsidRPr="003D2C3B">
        <w:t>2024年</w:t>
      </w:r>
      <w:r w:rsidR="004C1F24">
        <w:rPr>
          <w:rFonts w:hint="eastAsia"/>
        </w:rPr>
        <w:t>四季度</w:t>
      </w:r>
      <w:r w:rsidRPr="003D2C3B">
        <w:t>国内、国际煤价走势判断</w:t>
      </w:r>
    </w:p>
    <w:p w14:paraId="4E04E39F" w14:textId="448D4D94" w:rsidR="004C1F24" w:rsidRPr="004C1F24" w:rsidRDefault="004C1F24" w:rsidP="004C1F24">
      <w:pPr>
        <w:adjustRightInd w:val="0"/>
        <w:snapToGrid w:val="0"/>
        <w:spacing w:line="6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C1F24">
        <w:rPr>
          <w:rFonts w:ascii="宋体" w:eastAsia="宋体" w:hAnsi="宋体" w:hint="eastAsia"/>
          <w:sz w:val="32"/>
          <w:szCs w:val="32"/>
        </w:rPr>
        <w:lastRenderedPageBreak/>
        <w:t>预计四季度煤炭供需基本平衡，价格稳中偏强，保持在历史中高位窄幅波动。</w:t>
      </w:r>
    </w:p>
    <w:p w14:paraId="2C9D2BA5" w14:textId="724C2C38" w:rsidR="004C1F24" w:rsidRPr="004C1F24" w:rsidRDefault="004C1F24" w:rsidP="004C1F24">
      <w:pPr>
        <w:adjustRightInd w:val="0"/>
        <w:snapToGrid w:val="0"/>
        <w:spacing w:line="6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C1F24">
        <w:rPr>
          <w:rFonts w:ascii="宋体" w:eastAsia="宋体" w:hAnsi="宋体" w:hint="eastAsia"/>
          <w:sz w:val="32"/>
          <w:szCs w:val="32"/>
        </w:rPr>
        <w:t>四季度，“迎峰度冬”用煤旺季来临，</w:t>
      </w:r>
      <w:r w:rsidR="00F23F4A">
        <w:rPr>
          <w:rFonts w:ascii="宋体" w:eastAsia="宋体" w:hAnsi="宋体" w:hint="eastAsia"/>
          <w:sz w:val="32"/>
          <w:szCs w:val="32"/>
        </w:rPr>
        <w:t>国内</w:t>
      </w:r>
      <w:r w:rsidRPr="004C1F24">
        <w:rPr>
          <w:rFonts w:ascii="宋体" w:eastAsia="宋体" w:hAnsi="宋体" w:hint="eastAsia"/>
          <w:sz w:val="32"/>
          <w:szCs w:val="32"/>
        </w:rPr>
        <w:t>煤炭主产区生产积极性较高，</w:t>
      </w:r>
      <w:r w:rsidR="00E86D35" w:rsidRPr="00E86D35">
        <w:rPr>
          <w:rFonts w:ascii="宋体" w:eastAsia="宋体" w:hAnsi="宋体" w:hint="eastAsia"/>
          <w:sz w:val="32"/>
          <w:szCs w:val="32"/>
        </w:rPr>
        <w:t>但在严安监的常态化趋势下，煤炭增量有限</w:t>
      </w:r>
      <w:r w:rsidRPr="004C1F24">
        <w:rPr>
          <w:rFonts w:ascii="宋体" w:eastAsia="宋体" w:hAnsi="宋体" w:hint="eastAsia"/>
          <w:sz w:val="32"/>
          <w:szCs w:val="32"/>
        </w:rPr>
        <w:t>；煤炭进口保持高位，增速放缓。随着促经济政策加快落地，预期宏观经济回升向好，叠加季节性耗煤增加，将支撑煤炭需求增长。</w:t>
      </w:r>
    </w:p>
    <w:p w14:paraId="5CCA7A6D" w14:textId="3DD6C312" w:rsidR="004C1F24" w:rsidRDefault="004C1F24" w:rsidP="004F2EFC">
      <w:pPr>
        <w:adjustRightInd w:val="0"/>
        <w:snapToGrid w:val="0"/>
        <w:spacing w:line="6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4C1F24">
        <w:rPr>
          <w:rFonts w:ascii="宋体" w:eastAsia="宋体" w:hAnsi="宋体" w:hint="eastAsia"/>
          <w:sz w:val="32"/>
          <w:szCs w:val="32"/>
        </w:rPr>
        <w:t>国际煤炭市场受地缘政治，以及印度、东南亚等主要耗煤国需求增长等影响，全球煤炭消费将维持高位。</w:t>
      </w:r>
      <w:r w:rsidR="00E86D35">
        <w:rPr>
          <w:rFonts w:ascii="宋体" w:eastAsia="宋体" w:hAnsi="宋体" w:hint="eastAsia"/>
          <w:sz w:val="32"/>
          <w:szCs w:val="32"/>
        </w:rPr>
        <w:t>根据</w:t>
      </w:r>
      <w:r w:rsidR="00E86D35" w:rsidRPr="00E86D35">
        <w:rPr>
          <w:rFonts w:ascii="宋体" w:eastAsia="宋体" w:hAnsi="宋体" w:hint="eastAsia"/>
          <w:sz w:val="32"/>
          <w:szCs w:val="32"/>
        </w:rPr>
        <w:t>国际能源</w:t>
      </w:r>
      <w:r w:rsidR="00E86D35">
        <w:rPr>
          <w:rFonts w:ascii="宋体" w:eastAsia="宋体" w:hAnsi="宋体" w:hint="eastAsia"/>
          <w:sz w:val="32"/>
          <w:szCs w:val="32"/>
        </w:rPr>
        <w:t>署预测，2</w:t>
      </w:r>
      <w:r w:rsidR="00E86D35">
        <w:rPr>
          <w:rFonts w:ascii="宋体" w:eastAsia="宋体" w:hAnsi="宋体"/>
          <w:sz w:val="32"/>
          <w:szCs w:val="32"/>
        </w:rPr>
        <w:t>024</w:t>
      </w:r>
      <w:r w:rsidR="00E86D35">
        <w:rPr>
          <w:rFonts w:ascii="宋体" w:eastAsia="宋体" w:hAnsi="宋体" w:hint="eastAsia"/>
          <w:sz w:val="32"/>
          <w:szCs w:val="32"/>
        </w:rPr>
        <w:t>年</w:t>
      </w:r>
      <w:r w:rsidR="00E86D35" w:rsidRPr="00E86D35">
        <w:rPr>
          <w:rFonts w:ascii="宋体" w:eastAsia="宋体" w:hAnsi="宋体" w:hint="eastAsia"/>
          <w:sz w:val="32"/>
          <w:szCs w:val="32"/>
        </w:rPr>
        <w:t>全球煤炭产量</w:t>
      </w:r>
      <w:r w:rsidR="004F2EFC" w:rsidRPr="004F2EFC">
        <w:rPr>
          <w:rFonts w:ascii="宋体" w:eastAsia="宋体" w:hAnsi="宋体"/>
          <w:sz w:val="32"/>
          <w:szCs w:val="32"/>
        </w:rPr>
        <w:t>89.39亿吨</w:t>
      </w:r>
      <w:r w:rsidR="004F2EFC">
        <w:rPr>
          <w:rFonts w:ascii="宋体" w:eastAsia="宋体" w:hAnsi="宋体" w:hint="eastAsia"/>
          <w:sz w:val="32"/>
          <w:szCs w:val="32"/>
        </w:rPr>
        <w:t>，</w:t>
      </w:r>
      <w:r w:rsidR="005A6519">
        <w:rPr>
          <w:rFonts w:ascii="宋体" w:eastAsia="宋体" w:hAnsi="宋体" w:hint="eastAsia"/>
          <w:sz w:val="32"/>
          <w:szCs w:val="32"/>
        </w:rPr>
        <w:t>将</w:t>
      </w:r>
      <w:r w:rsidR="006F6E9A" w:rsidRPr="006F6E9A">
        <w:rPr>
          <w:rFonts w:ascii="宋体" w:eastAsia="宋体" w:hAnsi="宋体" w:hint="eastAsia"/>
          <w:sz w:val="32"/>
          <w:szCs w:val="32"/>
        </w:rPr>
        <w:t>同比微降</w:t>
      </w:r>
      <w:r w:rsidR="004F2EFC">
        <w:rPr>
          <w:rFonts w:ascii="宋体" w:eastAsia="宋体" w:hAnsi="宋体"/>
          <w:sz w:val="32"/>
          <w:szCs w:val="32"/>
        </w:rPr>
        <w:t>0.3</w:t>
      </w:r>
      <w:r w:rsidR="004F2EFC">
        <w:rPr>
          <w:rFonts w:ascii="宋体" w:eastAsia="宋体" w:hAnsi="宋体" w:hint="eastAsia"/>
          <w:sz w:val="32"/>
          <w:szCs w:val="32"/>
        </w:rPr>
        <w:t>亿吨</w:t>
      </w:r>
      <w:r w:rsidR="006F6E9A" w:rsidRPr="006F6E9A">
        <w:rPr>
          <w:rFonts w:ascii="宋体" w:eastAsia="宋体" w:hAnsi="宋体"/>
          <w:sz w:val="32"/>
          <w:szCs w:val="32"/>
        </w:rPr>
        <w:t>，</w:t>
      </w:r>
      <w:r w:rsidR="006F6E9A">
        <w:rPr>
          <w:rFonts w:ascii="宋体" w:eastAsia="宋体" w:hAnsi="宋体" w:hint="eastAsia"/>
          <w:sz w:val="32"/>
          <w:szCs w:val="32"/>
        </w:rPr>
        <w:t>供给小幅减少。</w:t>
      </w:r>
    </w:p>
    <w:p w14:paraId="5E75C660" w14:textId="4EDF93CD" w:rsidR="003A4566" w:rsidRDefault="003A4566" w:rsidP="00884DDF">
      <w:pPr>
        <w:pStyle w:val="1"/>
        <w:spacing w:before="156" w:after="156"/>
        <w:ind w:firstLineChars="220" w:firstLine="707"/>
      </w:pPr>
      <w:r w:rsidRPr="003A4566">
        <w:rPr>
          <w:rFonts w:hint="eastAsia"/>
        </w:rPr>
        <w:t>公司</w:t>
      </w:r>
      <w:r w:rsidRPr="003A4566">
        <w:t>2024年前三季度吨煤销售成本</w:t>
      </w:r>
      <w:r>
        <w:rPr>
          <w:rFonts w:hint="eastAsia"/>
        </w:rPr>
        <w:t>情况</w:t>
      </w:r>
      <w:r w:rsidRPr="003A4566">
        <w:t>？能否进一步下降</w:t>
      </w:r>
    </w:p>
    <w:p w14:paraId="67AF65C1" w14:textId="6F495EE5" w:rsidR="003A4566" w:rsidRPr="003A4566" w:rsidRDefault="0012702E" w:rsidP="003A4566">
      <w:pPr>
        <w:adjustRightInd w:val="0"/>
        <w:snapToGrid w:val="0"/>
        <w:spacing w:line="600" w:lineRule="exact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根据中国会计准则，</w:t>
      </w:r>
      <w:r w:rsidR="00F23F4A">
        <w:rPr>
          <w:rFonts w:ascii="宋体" w:eastAsia="宋体" w:hAnsi="宋体" w:hint="eastAsia"/>
          <w:sz w:val="32"/>
          <w:szCs w:val="32"/>
        </w:rPr>
        <w:t>本集团</w:t>
      </w:r>
      <w:r w:rsidR="003A4566" w:rsidRPr="003A4566">
        <w:rPr>
          <w:rFonts w:ascii="宋体" w:eastAsia="宋体" w:hAnsi="宋体"/>
          <w:sz w:val="32"/>
          <w:szCs w:val="32"/>
        </w:rPr>
        <w:t>2024年前三季度自产商品煤吨煤销售成本342元/吨，同比减少7元/吨或1.9%。四季度，公司将巩固和扩大精益管理成效，加压实施降本增效针对性举措，优化工艺流程，提高生产效率，严控材料单耗，力争实现吨煤销售成本降低。</w:t>
      </w:r>
    </w:p>
    <w:p w14:paraId="63611D42" w14:textId="613C3979" w:rsidR="009B0E79" w:rsidRDefault="00884DDF" w:rsidP="00884DDF">
      <w:pPr>
        <w:pStyle w:val="1"/>
        <w:spacing w:before="156" w:after="156"/>
        <w:ind w:firstLineChars="220" w:firstLine="707"/>
      </w:pPr>
      <w:r w:rsidRPr="00884DDF">
        <w:rPr>
          <w:rFonts w:hint="eastAsia"/>
        </w:rPr>
        <w:t>公司控股股东增持情况</w:t>
      </w:r>
    </w:p>
    <w:p w14:paraId="0552319A" w14:textId="77777777" w:rsidR="00884DDF" w:rsidRPr="00642123" w:rsidRDefault="00884DDF" w:rsidP="00884DDF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642123">
        <w:rPr>
          <w:rFonts w:ascii="宋体" w:eastAsia="宋体" w:hAnsi="宋体" w:hint="eastAsia"/>
          <w:sz w:val="32"/>
          <w:szCs w:val="32"/>
        </w:rPr>
        <w:t>公司于</w:t>
      </w:r>
      <w:r w:rsidRPr="00642123">
        <w:rPr>
          <w:rFonts w:ascii="宋体" w:eastAsia="宋体" w:hAnsi="宋体"/>
          <w:sz w:val="32"/>
          <w:szCs w:val="32"/>
        </w:rPr>
        <w:t>2023年11月披露了控股股东增持公司股份计划，山东能源拟于2023年11月-2024年11月以集中竞价等方式增持公司A股和H股股份。计划累计增持金额不低于人民币</w:t>
      </w:r>
      <w:r w:rsidRPr="00642123">
        <w:rPr>
          <w:rFonts w:ascii="宋体" w:eastAsia="宋体" w:hAnsi="宋体"/>
          <w:sz w:val="32"/>
          <w:szCs w:val="32"/>
        </w:rPr>
        <w:lastRenderedPageBreak/>
        <w:t>3亿元，不超过6亿元,其中A股不低于1亿元，不超过2亿元；H股不低于2亿元，不超过4亿元。</w:t>
      </w:r>
    </w:p>
    <w:p w14:paraId="3D458FC7" w14:textId="1EFA9E1A" w:rsidR="00884DDF" w:rsidRPr="00FC6D5C" w:rsidRDefault="003A4566" w:rsidP="00884DDF">
      <w:pPr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目前</w:t>
      </w:r>
      <w:r w:rsidR="00884DDF" w:rsidRPr="00FC6D5C">
        <w:rPr>
          <w:rFonts w:ascii="宋体" w:eastAsia="宋体" w:hAnsi="宋体"/>
          <w:sz w:val="32"/>
          <w:szCs w:val="32"/>
        </w:rPr>
        <w:t>山东能源累计增持A股和H股股份共计277</w:t>
      </w:r>
      <w:r w:rsidR="00B01095">
        <w:rPr>
          <w:rFonts w:ascii="宋体" w:eastAsia="宋体" w:hAnsi="宋体"/>
          <w:sz w:val="32"/>
          <w:szCs w:val="32"/>
        </w:rPr>
        <w:t>2</w:t>
      </w:r>
      <w:r w:rsidR="00884DDF" w:rsidRPr="00FC6D5C">
        <w:rPr>
          <w:rFonts w:ascii="宋体" w:eastAsia="宋体" w:hAnsi="宋体"/>
          <w:sz w:val="32"/>
          <w:szCs w:val="32"/>
        </w:rPr>
        <w:t>万股，增持金额约3亿元。其中：增持公司A股618.74万股，增持金额人民币1亿元；增持公司H股2152.80万股，增持金额人民币2亿元。均已超过增持金额下限。</w:t>
      </w:r>
    </w:p>
    <w:p w14:paraId="6E2A081D" w14:textId="6D65C624" w:rsidR="00884DDF" w:rsidRPr="00884DDF" w:rsidRDefault="00884DDF" w:rsidP="00884DDF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C6D5C">
        <w:rPr>
          <w:rFonts w:ascii="宋体" w:eastAsia="宋体" w:hAnsi="宋体" w:hint="eastAsia"/>
          <w:sz w:val="32"/>
          <w:szCs w:val="32"/>
        </w:rPr>
        <w:t>在增持计划结束前，山东能源将综合考量市场状况、窗口期限制等多方面因素，决定是否继续增持。</w:t>
      </w:r>
      <w:r w:rsidRPr="006C664B">
        <w:rPr>
          <w:rFonts w:ascii="宋体" w:eastAsia="宋体" w:hAnsi="宋体" w:hint="eastAsia"/>
          <w:sz w:val="32"/>
          <w:szCs w:val="32"/>
        </w:rPr>
        <w:t>公司将严格按照上市地监管规定，在山东能源增持时及时履行上市公司信息披露义务。</w:t>
      </w:r>
    </w:p>
    <w:p w14:paraId="63EE0B96" w14:textId="3D70BD6F" w:rsidR="00FC6D5C" w:rsidRPr="003627F8" w:rsidRDefault="002A6C8C" w:rsidP="003627F8">
      <w:pPr>
        <w:pStyle w:val="1"/>
        <w:spacing w:before="156" w:after="156"/>
        <w:ind w:firstLineChars="220" w:firstLine="707"/>
      </w:pPr>
      <w:r>
        <w:rPr>
          <w:rFonts w:hint="eastAsia"/>
        </w:rPr>
        <w:t>公司化工板块盈利情况</w:t>
      </w:r>
    </w:p>
    <w:p w14:paraId="07DA727C" w14:textId="2E9DCB4A" w:rsidR="00FC6D5C" w:rsidRDefault="002A6C8C" w:rsidP="00FC6D5C">
      <w:pPr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公司</w:t>
      </w:r>
      <w:r w:rsidRPr="002A6C8C">
        <w:rPr>
          <w:rFonts w:ascii="宋体" w:eastAsia="宋体" w:hAnsi="宋体" w:hint="eastAsia"/>
          <w:sz w:val="32"/>
          <w:szCs w:val="32"/>
        </w:rPr>
        <w:t>科学周密安排生产及检修计划，强化系统长周期管理；抓住原料价格下降、产品价格回升的有利时机，充分发挥规模实力、精益管理、柔性生产等优势，</w:t>
      </w:r>
      <w:r>
        <w:rPr>
          <w:rFonts w:ascii="宋体" w:eastAsia="宋体" w:hAnsi="宋体" w:hint="eastAsia"/>
          <w:sz w:val="32"/>
          <w:szCs w:val="32"/>
        </w:rPr>
        <w:t>2</w:t>
      </w:r>
      <w:r>
        <w:rPr>
          <w:rFonts w:ascii="宋体" w:eastAsia="宋体" w:hAnsi="宋体"/>
          <w:sz w:val="32"/>
          <w:szCs w:val="32"/>
        </w:rPr>
        <w:t>024</w:t>
      </w:r>
      <w:r>
        <w:rPr>
          <w:rFonts w:ascii="宋体" w:eastAsia="宋体" w:hAnsi="宋体" w:hint="eastAsia"/>
          <w:sz w:val="32"/>
          <w:szCs w:val="32"/>
        </w:rPr>
        <w:t>年前三季度</w:t>
      </w:r>
      <w:r w:rsidR="005A6519">
        <w:rPr>
          <w:rFonts w:ascii="宋体" w:eastAsia="宋体" w:hAnsi="宋体" w:hint="eastAsia"/>
          <w:sz w:val="32"/>
          <w:szCs w:val="32"/>
        </w:rPr>
        <w:t>公司化工板块</w:t>
      </w:r>
      <w:r w:rsidR="00100B94">
        <w:rPr>
          <w:rFonts w:ascii="宋体" w:eastAsia="宋体" w:hAnsi="宋体" w:hint="eastAsia"/>
          <w:sz w:val="32"/>
          <w:szCs w:val="32"/>
        </w:rPr>
        <w:t>同比大幅增盈</w:t>
      </w:r>
      <w:r w:rsidR="00FC6D5C" w:rsidRPr="00FC6D5C">
        <w:rPr>
          <w:rFonts w:ascii="宋体" w:eastAsia="宋体" w:hAnsi="宋体" w:hint="eastAsia"/>
          <w:sz w:val="32"/>
          <w:szCs w:val="32"/>
        </w:rPr>
        <w:t>。</w:t>
      </w:r>
    </w:p>
    <w:p w14:paraId="32C836F5" w14:textId="044BF6A3" w:rsidR="00FC6D5C" w:rsidRDefault="00FC6D5C" w:rsidP="00FC6D5C">
      <w:pPr>
        <w:pStyle w:val="1"/>
        <w:spacing w:before="156" w:after="156"/>
        <w:ind w:firstLineChars="220" w:firstLine="707"/>
      </w:pPr>
      <w:r w:rsidRPr="00FC6D5C">
        <w:rPr>
          <w:rFonts w:hint="eastAsia"/>
        </w:rPr>
        <w:t>公司</w:t>
      </w:r>
      <w:r w:rsidR="002E0DE9">
        <w:rPr>
          <w:rFonts w:hint="eastAsia"/>
        </w:rPr>
        <w:t>未来能源煤矿商品煤产、销量差异较大的原因</w:t>
      </w:r>
    </w:p>
    <w:p w14:paraId="56A333C7" w14:textId="71418595" w:rsidR="00FC6D5C" w:rsidRDefault="002E0DE9" w:rsidP="002E0DE9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E0DE9">
        <w:rPr>
          <w:rFonts w:ascii="宋体" w:eastAsia="宋体" w:hAnsi="宋体" w:hint="eastAsia"/>
          <w:sz w:val="32"/>
          <w:szCs w:val="32"/>
        </w:rPr>
        <w:t>产量、销量差异的原因主要是由于公司及附属公司化工单位内部用煤，根据我国企业会计准则的规定，合并会计报表编制时应对相关销量、收入进行抵销。</w:t>
      </w:r>
    </w:p>
    <w:p w14:paraId="6DB37F4D" w14:textId="79AE9212" w:rsidR="00FC6D5C" w:rsidRPr="00F1664E" w:rsidRDefault="00FC6D5C" w:rsidP="00F1664E">
      <w:pPr>
        <w:spacing w:line="580" w:lineRule="exact"/>
        <w:ind w:firstLineChars="200" w:firstLine="640"/>
        <w:rPr>
          <w:rFonts w:ascii="宋体" w:eastAsia="宋体" w:hAnsi="宋体" w:cstheme="majorEastAsia"/>
          <w:color w:val="222222"/>
          <w:sz w:val="32"/>
          <w:szCs w:val="32"/>
          <w:shd w:val="clear" w:color="auto" w:fill="FFFFFF"/>
        </w:rPr>
      </w:pPr>
    </w:p>
    <w:sectPr w:rsidR="00FC6D5C" w:rsidRPr="00F1664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CE3F9" w14:textId="77777777" w:rsidR="000E1724" w:rsidRDefault="000E1724" w:rsidP="00482F81">
      <w:r>
        <w:separator/>
      </w:r>
    </w:p>
  </w:endnote>
  <w:endnote w:type="continuationSeparator" w:id="0">
    <w:p w14:paraId="771410B6" w14:textId="77777777" w:rsidR="000E1724" w:rsidRDefault="000E1724" w:rsidP="0048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4409237"/>
      <w:docPartObj>
        <w:docPartGallery w:val="Page Numbers (Bottom of Page)"/>
        <w:docPartUnique/>
      </w:docPartObj>
    </w:sdtPr>
    <w:sdtEndPr/>
    <w:sdtContent>
      <w:p w14:paraId="5D45A900" w14:textId="17C98CAD" w:rsidR="006167B5" w:rsidRDefault="006167B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D67397B" w14:textId="77777777" w:rsidR="006167B5" w:rsidRDefault="006167B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03421" w14:textId="77777777" w:rsidR="000E1724" w:rsidRDefault="000E1724" w:rsidP="00482F81">
      <w:r>
        <w:separator/>
      </w:r>
    </w:p>
  </w:footnote>
  <w:footnote w:type="continuationSeparator" w:id="0">
    <w:p w14:paraId="7C060690" w14:textId="77777777" w:rsidR="000E1724" w:rsidRDefault="000E1724" w:rsidP="00482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11902"/>
    <w:multiLevelType w:val="hybridMultilevel"/>
    <w:tmpl w:val="4BE4C272"/>
    <w:lvl w:ilvl="0" w:tplc="7A8CA876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46972"/>
    <w:multiLevelType w:val="hybridMultilevel"/>
    <w:tmpl w:val="054692BA"/>
    <w:lvl w:ilvl="0" w:tplc="5E36A434">
      <w:start w:val="1"/>
      <w:numFmt w:val="decimal"/>
      <w:suff w:val="nothing"/>
      <w:lvlText w:val="%1."/>
      <w:lvlJc w:val="left"/>
      <w:pPr>
        <w:ind w:left="155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338A73E8"/>
    <w:multiLevelType w:val="multilevel"/>
    <w:tmpl w:val="70F046BA"/>
    <w:lvl w:ilvl="0">
      <w:start w:val="1"/>
      <w:numFmt w:val="chineseCountingThousand"/>
      <w:pStyle w:val="2"/>
      <w:suff w:val="nothing"/>
      <w:lvlText w:val="%1、"/>
      <w:lvlJc w:val="left"/>
      <w:pPr>
        <w:ind w:left="113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3" w15:restartNumberingAfterBreak="0">
    <w:nsid w:val="4BF1104E"/>
    <w:multiLevelType w:val="hybridMultilevel"/>
    <w:tmpl w:val="50B0CC0C"/>
    <w:lvl w:ilvl="0" w:tplc="8018AAD2">
      <w:start w:val="1"/>
      <w:numFmt w:val="decimal"/>
      <w:suff w:val="nothing"/>
      <w:lvlText w:val="%1."/>
      <w:lvlJc w:val="left"/>
      <w:pPr>
        <w:ind w:left="106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</w:num>
  <w:num w:numId="14">
    <w:abstractNumId w:val="0"/>
  </w:num>
  <w:num w:numId="15">
    <w:abstractNumId w:val="0"/>
    <w:lvlOverride w:ilvl="0">
      <w:startOverride w:val="1"/>
    </w:lvlOverride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  <w:lvlOverride w:ilvl="0">
      <w:startOverride w:val="1"/>
    </w:lvlOverride>
  </w:num>
  <w:num w:numId="29">
    <w:abstractNumId w:val="0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0"/>
  </w:num>
  <w:num w:numId="33">
    <w:abstractNumId w:val="0"/>
  </w:num>
  <w:num w:numId="34">
    <w:abstractNumId w:val="0"/>
    <w:lvlOverride w:ilvl="0">
      <w:startOverride w:val="1"/>
    </w:lvlOverride>
  </w:num>
  <w:num w:numId="35">
    <w:abstractNumId w:val="0"/>
    <w:lvlOverride w:ilvl="0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  <w:lvlOverride w:ilvl="0">
      <w:startOverride w:val="1"/>
    </w:lvlOverride>
  </w:num>
  <w:num w:numId="42">
    <w:abstractNumId w:val="0"/>
  </w:num>
  <w:num w:numId="43">
    <w:abstractNumId w:val="0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66"/>
    <w:rsid w:val="0000209F"/>
    <w:rsid w:val="00006779"/>
    <w:rsid w:val="000110DF"/>
    <w:rsid w:val="0002574B"/>
    <w:rsid w:val="00035137"/>
    <w:rsid w:val="00040055"/>
    <w:rsid w:val="000413C7"/>
    <w:rsid w:val="0004303F"/>
    <w:rsid w:val="00062DEF"/>
    <w:rsid w:val="000747EE"/>
    <w:rsid w:val="000753DD"/>
    <w:rsid w:val="00082A09"/>
    <w:rsid w:val="00086E2E"/>
    <w:rsid w:val="000910D4"/>
    <w:rsid w:val="0009179D"/>
    <w:rsid w:val="000923A0"/>
    <w:rsid w:val="000A1349"/>
    <w:rsid w:val="000A3AF5"/>
    <w:rsid w:val="000A72BD"/>
    <w:rsid w:val="000B625D"/>
    <w:rsid w:val="000D5F04"/>
    <w:rsid w:val="000E1724"/>
    <w:rsid w:val="000E20D7"/>
    <w:rsid w:val="000E65E2"/>
    <w:rsid w:val="000F2DAA"/>
    <w:rsid w:val="00100B94"/>
    <w:rsid w:val="001135AE"/>
    <w:rsid w:val="00113701"/>
    <w:rsid w:val="001175BF"/>
    <w:rsid w:val="00120966"/>
    <w:rsid w:val="0012702E"/>
    <w:rsid w:val="00130FFE"/>
    <w:rsid w:val="001341EE"/>
    <w:rsid w:val="001360C3"/>
    <w:rsid w:val="0014276C"/>
    <w:rsid w:val="00151749"/>
    <w:rsid w:val="00154C9B"/>
    <w:rsid w:val="0017047E"/>
    <w:rsid w:val="00194294"/>
    <w:rsid w:val="00196D6A"/>
    <w:rsid w:val="001B326F"/>
    <w:rsid w:val="001C39FF"/>
    <w:rsid w:val="001C7090"/>
    <w:rsid w:val="001E0A32"/>
    <w:rsid w:val="00221BEE"/>
    <w:rsid w:val="00224FF0"/>
    <w:rsid w:val="00242E63"/>
    <w:rsid w:val="002511EC"/>
    <w:rsid w:val="00252011"/>
    <w:rsid w:val="00252E1B"/>
    <w:rsid w:val="00255378"/>
    <w:rsid w:val="00257929"/>
    <w:rsid w:val="002621E6"/>
    <w:rsid w:val="00262C05"/>
    <w:rsid w:val="00274AC2"/>
    <w:rsid w:val="00275CF7"/>
    <w:rsid w:val="00276BD2"/>
    <w:rsid w:val="0027770A"/>
    <w:rsid w:val="002852B4"/>
    <w:rsid w:val="00285492"/>
    <w:rsid w:val="002A6C8C"/>
    <w:rsid w:val="002A7D71"/>
    <w:rsid w:val="002B6170"/>
    <w:rsid w:val="002C23B3"/>
    <w:rsid w:val="002D614F"/>
    <w:rsid w:val="002E0DE9"/>
    <w:rsid w:val="002E1096"/>
    <w:rsid w:val="002F2BCC"/>
    <w:rsid w:val="002F7D2D"/>
    <w:rsid w:val="00305D38"/>
    <w:rsid w:val="0030608B"/>
    <w:rsid w:val="00314CB5"/>
    <w:rsid w:val="003476D8"/>
    <w:rsid w:val="003528B3"/>
    <w:rsid w:val="00361C33"/>
    <w:rsid w:val="003626D6"/>
    <w:rsid w:val="003627F8"/>
    <w:rsid w:val="00364396"/>
    <w:rsid w:val="00367A5D"/>
    <w:rsid w:val="00370E3A"/>
    <w:rsid w:val="003724F0"/>
    <w:rsid w:val="00385E38"/>
    <w:rsid w:val="0039031B"/>
    <w:rsid w:val="003A044C"/>
    <w:rsid w:val="003A1437"/>
    <w:rsid w:val="003A4566"/>
    <w:rsid w:val="003D2C3B"/>
    <w:rsid w:val="003F5E84"/>
    <w:rsid w:val="004205EA"/>
    <w:rsid w:val="004270BF"/>
    <w:rsid w:val="00427D5E"/>
    <w:rsid w:val="004413CE"/>
    <w:rsid w:val="00454D93"/>
    <w:rsid w:val="00456ED7"/>
    <w:rsid w:val="0047410B"/>
    <w:rsid w:val="0048037F"/>
    <w:rsid w:val="00482F81"/>
    <w:rsid w:val="004844EC"/>
    <w:rsid w:val="004A7D3E"/>
    <w:rsid w:val="004B0878"/>
    <w:rsid w:val="004B7F9A"/>
    <w:rsid w:val="004C1F24"/>
    <w:rsid w:val="004C4EBB"/>
    <w:rsid w:val="004D3CFE"/>
    <w:rsid w:val="004E35E3"/>
    <w:rsid w:val="004F2EFC"/>
    <w:rsid w:val="004F50A3"/>
    <w:rsid w:val="00500376"/>
    <w:rsid w:val="005535CF"/>
    <w:rsid w:val="005636B1"/>
    <w:rsid w:val="00580A34"/>
    <w:rsid w:val="00585350"/>
    <w:rsid w:val="005A0559"/>
    <w:rsid w:val="005A6519"/>
    <w:rsid w:val="005B57B2"/>
    <w:rsid w:val="005B6DD5"/>
    <w:rsid w:val="005B7ECD"/>
    <w:rsid w:val="005D6B0A"/>
    <w:rsid w:val="005E02C5"/>
    <w:rsid w:val="005F1DDE"/>
    <w:rsid w:val="005F5503"/>
    <w:rsid w:val="006121D5"/>
    <w:rsid w:val="00612A71"/>
    <w:rsid w:val="00613F28"/>
    <w:rsid w:val="006167B5"/>
    <w:rsid w:val="006302DA"/>
    <w:rsid w:val="0063157F"/>
    <w:rsid w:val="00642123"/>
    <w:rsid w:val="00650708"/>
    <w:rsid w:val="006542BC"/>
    <w:rsid w:val="00655C68"/>
    <w:rsid w:val="00663523"/>
    <w:rsid w:val="006802B3"/>
    <w:rsid w:val="00692287"/>
    <w:rsid w:val="00693BE3"/>
    <w:rsid w:val="00694021"/>
    <w:rsid w:val="00696037"/>
    <w:rsid w:val="006A32A1"/>
    <w:rsid w:val="006A7141"/>
    <w:rsid w:val="006A77F6"/>
    <w:rsid w:val="006B6500"/>
    <w:rsid w:val="006C311D"/>
    <w:rsid w:val="006C664B"/>
    <w:rsid w:val="006D001E"/>
    <w:rsid w:val="006E1E60"/>
    <w:rsid w:val="006F1F23"/>
    <w:rsid w:val="006F2539"/>
    <w:rsid w:val="006F6E9A"/>
    <w:rsid w:val="0070441B"/>
    <w:rsid w:val="00724C7F"/>
    <w:rsid w:val="007274D0"/>
    <w:rsid w:val="00735EF8"/>
    <w:rsid w:val="00740FAE"/>
    <w:rsid w:val="00743E30"/>
    <w:rsid w:val="00746776"/>
    <w:rsid w:val="00755571"/>
    <w:rsid w:val="00757686"/>
    <w:rsid w:val="00762982"/>
    <w:rsid w:val="0076723F"/>
    <w:rsid w:val="0078142B"/>
    <w:rsid w:val="00792262"/>
    <w:rsid w:val="00796090"/>
    <w:rsid w:val="007971A8"/>
    <w:rsid w:val="007A0ACB"/>
    <w:rsid w:val="007B5CED"/>
    <w:rsid w:val="007B7EE0"/>
    <w:rsid w:val="007E2165"/>
    <w:rsid w:val="007E2F18"/>
    <w:rsid w:val="007F35FF"/>
    <w:rsid w:val="007F4187"/>
    <w:rsid w:val="008045FC"/>
    <w:rsid w:val="008059C7"/>
    <w:rsid w:val="00807C2E"/>
    <w:rsid w:val="00823591"/>
    <w:rsid w:val="00830D8E"/>
    <w:rsid w:val="00835EC7"/>
    <w:rsid w:val="00841FA1"/>
    <w:rsid w:val="008426E1"/>
    <w:rsid w:val="008567BB"/>
    <w:rsid w:val="00857FED"/>
    <w:rsid w:val="00861F1E"/>
    <w:rsid w:val="00863C0D"/>
    <w:rsid w:val="00864236"/>
    <w:rsid w:val="00877F40"/>
    <w:rsid w:val="008814C0"/>
    <w:rsid w:val="00884DDF"/>
    <w:rsid w:val="008A14F4"/>
    <w:rsid w:val="008A4D59"/>
    <w:rsid w:val="008B07C9"/>
    <w:rsid w:val="008B7149"/>
    <w:rsid w:val="008C2573"/>
    <w:rsid w:val="008E5F8D"/>
    <w:rsid w:val="00902249"/>
    <w:rsid w:val="0094036E"/>
    <w:rsid w:val="00953984"/>
    <w:rsid w:val="009674FC"/>
    <w:rsid w:val="009720A5"/>
    <w:rsid w:val="0097550D"/>
    <w:rsid w:val="00981DC9"/>
    <w:rsid w:val="00982817"/>
    <w:rsid w:val="009848AE"/>
    <w:rsid w:val="00992F9C"/>
    <w:rsid w:val="009A493A"/>
    <w:rsid w:val="009B0E79"/>
    <w:rsid w:val="009B2A4B"/>
    <w:rsid w:val="009C1E3E"/>
    <w:rsid w:val="009D5C2E"/>
    <w:rsid w:val="009D6022"/>
    <w:rsid w:val="009D6D0A"/>
    <w:rsid w:val="009E0637"/>
    <w:rsid w:val="009F2A3A"/>
    <w:rsid w:val="00A0251B"/>
    <w:rsid w:val="00A02D43"/>
    <w:rsid w:val="00A25210"/>
    <w:rsid w:val="00A655DF"/>
    <w:rsid w:val="00A65A8F"/>
    <w:rsid w:val="00A72AA0"/>
    <w:rsid w:val="00A81CFF"/>
    <w:rsid w:val="00A91F4A"/>
    <w:rsid w:val="00A9364B"/>
    <w:rsid w:val="00AC2D0D"/>
    <w:rsid w:val="00AD0454"/>
    <w:rsid w:val="00AD24D1"/>
    <w:rsid w:val="00AF1578"/>
    <w:rsid w:val="00AF2F56"/>
    <w:rsid w:val="00AF6D36"/>
    <w:rsid w:val="00B01095"/>
    <w:rsid w:val="00B03AC8"/>
    <w:rsid w:val="00B0435B"/>
    <w:rsid w:val="00B0452C"/>
    <w:rsid w:val="00B17ADD"/>
    <w:rsid w:val="00B445CB"/>
    <w:rsid w:val="00B545A8"/>
    <w:rsid w:val="00B61EAA"/>
    <w:rsid w:val="00B64476"/>
    <w:rsid w:val="00B710CB"/>
    <w:rsid w:val="00B730B5"/>
    <w:rsid w:val="00B736CD"/>
    <w:rsid w:val="00B86313"/>
    <w:rsid w:val="00B93F69"/>
    <w:rsid w:val="00BA688C"/>
    <w:rsid w:val="00BB0CC7"/>
    <w:rsid w:val="00BC2C8A"/>
    <w:rsid w:val="00BE40B3"/>
    <w:rsid w:val="00C0409B"/>
    <w:rsid w:val="00C12BEE"/>
    <w:rsid w:val="00C2224D"/>
    <w:rsid w:val="00C30F58"/>
    <w:rsid w:val="00C34524"/>
    <w:rsid w:val="00C57B70"/>
    <w:rsid w:val="00C668D2"/>
    <w:rsid w:val="00C70F59"/>
    <w:rsid w:val="00C74FC2"/>
    <w:rsid w:val="00C90D79"/>
    <w:rsid w:val="00C969B4"/>
    <w:rsid w:val="00CA2749"/>
    <w:rsid w:val="00CD07AA"/>
    <w:rsid w:val="00CD1762"/>
    <w:rsid w:val="00CF6EE9"/>
    <w:rsid w:val="00D05A85"/>
    <w:rsid w:val="00D14F02"/>
    <w:rsid w:val="00D45064"/>
    <w:rsid w:val="00D528C0"/>
    <w:rsid w:val="00D562CC"/>
    <w:rsid w:val="00D57658"/>
    <w:rsid w:val="00D70ED7"/>
    <w:rsid w:val="00D73349"/>
    <w:rsid w:val="00D814C6"/>
    <w:rsid w:val="00D87267"/>
    <w:rsid w:val="00D97D0B"/>
    <w:rsid w:val="00DA0CDC"/>
    <w:rsid w:val="00DA1BFE"/>
    <w:rsid w:val="00DE13C4"/>
    <w:rsid w:val="00DE399C"/>
    <w:rsid w:val="00DE48C3"/>
    <w:rsid w:val="00DE4F4C"/>
    <w:rsid w:val="00DE730D"/>
    <w:rsid w:val="00DF435E"/>
    <w:rsid w:val="00DF4D7B"/>
    <w:rsid w:val="00DF5CF8"/>
    <w:rsid w:val="00E01673"/>
    <w:rsid w:val="00E04297"/>
    <w:rsid w:val="00E0701B"/>
    <w:rsid w:val="00E15421"/>
    <w:rsid w:val="00E21600"/>
    <w:rsid w:val="00E27563"/>
    <w:rsid w:val="00E30A5D"/>
    <w:rsid w:val="00E3491C"/>
    <w:rsid w:val="00E37E6C"/>
    <w:rsid w:val="00E64FA8"/>
    <w:rsid w:val="00E83B5E"/>
    <w:rsid w:val="00E85BAC"/>
    <w:rsid w:val="00E86D35"/>
    <w:rsid w:val="00E8764A"/>
    <w:rsid w:val="00E90726"/>
    <w:rsid w:val="00E9217F"/>
    <w:rsid w:val="00E939B9"/>
    <w:rsid w:val="00EB19DE"/>
    <w:rsid w:val="00EC7C09"/>
    <w:rsid w:val="00ED02F5"/>
    <w:rsid w:val="00ED41A0"/>
    <w:rsid w:val="00ED5608"/>
    <w:rsid w:val="00EE18E7"/>
    <w:rsid w:val="00EE2E38"/>
    <w:rsid w:val="00EE7BC4"/>
    <w:rsid w:val="00EF0866"/>
    <w:rsid w:val="00EF25D3"/>
    <w:rsid w:val="00F05266"/>
    <w:rsid w:val="00F06AA4"/>
    <w:rsid w:val="00F10C80"/>
    <w:rsid w:val="00F1664E"/>
    <w:rsid w:val="00F23F4A"/>
    <w:rsid w:val="00F242C9"/>
    <w:rsid w:val="00F557B8"/>
    <w:rsid w:val="00F57BEF"/>
    <w:rsid w:val="00F62336"/>
    <w:rsid w:val="00F64956"/>
    <w:rsid w:val="00F65032"/>
    <w:rsid w:val="00F742A3"/>
    <w:rsid w:val="00F85810"/>
    <w:rsid w:val="00F9308E"/>
    <w:rsid w:val="00FA5C2F"/>
    <w:rsid w:val="00FA6633"/>
    <w:rsid w:val="00FC6D5C"/>
    <w:rsid w:val="00FE3438"/>
    <w:rsid w:val="00FE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7DF48"/>
  <w15:chartTrackingRefBased/>
  <w15:docId w15:val="{08597004-8157-4492-B413-2ACA097D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F25D3"/>
    <w:pPr>
      <w:numPr>
        <w:numId w:val="4"/>
      </w:numPr>
      <w:snapToGrid w:val="0"/>
      <w:spacing w:beforeLines="50" w:before="50" w:afterLines="50" w:after="50" w:line="560" w:lineRule="exact"/>
      <w:outlineLvl w:val="0"/>
    </w:pPr>
    <w:rPr>
      <w:rFonts w:ascii="宋体" w:eastAsia="宋体" w:hAnsi="宋体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A32A1"/>
    <w:pPr>
      <w:numPr>
        <w:numId w:val="5"/>
      </w:numPr>
      <w:adjustRightInd w:val="0"/>
      <w:ind w:left="620" w:firstLine="0"/>
      <w:outlineLvl w:val="1"/>
    </w:pPr>
    <w:rPr>
      <w:rFonts w:ascii="黑体" w:eastAsia="黑体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A0559"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link w:val="a3"/>
    <w:rsid w:val="005A0559"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747EE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0747EE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EF25D3"/>
    <w:rPr>
      <w:rFonts w:ascii="宋体" w:eastAsia="宋体" w:hAnsi="宋体"/>
      <w:b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6A32A1"/>
    <w:rPr>
      <w:rFonts w:ascii="黑体" w:eastAsia="黑体" w:hAnsiTheme="majorHAnsi" w:cstheme="majorBidi"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482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82F8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82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482F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4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晨</dc:creator>
  <cp:keywords/>
  <dc:description/>
  <cp:lastModifiedBy>Tian</cp:lastModifiedBy>
  <cp:revision>113</cp:revision>
  <cp:lastPrinted>2024-10-29T02:38:00Z</cp:lastPrinted>
  <dcterms:created xsi:type="dcterms:W3CDTF">2023-03-29T01:05:00Z</dcterms:created>
  <dcterms:modified xsi:type="dcterms:W3CDTF">2024-10-29T06:26:00Z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B77E7CE-EC58-BC6A-FAE8-886BEB80DBEB}" pid="2" name="5B77E7CEEC58BC6AFAE8886BEB80DBEB">
    <vt:lpwstr>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</vt:lpwstr>
  </property>
</Properties>
</file>