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2E120">
      <w:pPr>
        <w:snapToGrid w:val="0"/>
        <w:spacing w:line="360" w:lineRule="auto"/>
        <w:rPr>
          <w:rFonts w:hint="eastAsia" w:ascii="宋体" w:hAnsi="宋体" w:eastAsia="宋体"/>
          <w:bCs/>
          <w:iCs/>
          <w:color w:val="000000"/>
          <w:sz w:val="24"/>
          <w:szCs w:val="24"/>
          <w:lang w:eastAsia="zh-CN"/>
        </w:rPr>
      </w:pPr>
      <w:r>
        <w:rPr>
          <w:rFonts w:hint="eastAsia" w:ascii="宋体" w:hAnsi="宋体"/>
          <w:bCs/>
          <w:iCs/>
          <w:color w:val="000000"/>
          <w:sz w:val="24"/>
          <w:szCs w:val="24"/>
        </w:rPr>
        <w:t>证券代码：6</w:t>
      </w:r>
      <w:r>
        <w:rPr>
          <w:rFonts w:ascii="宋体" w:hAnsi="宋体"/>
          <w:bCs/>
          <w:iCs/>
          <w:color w:val="000000"/>
          <w:sz w:val="24"/>
          <w:szCs w:val="24"/>
        </w:rPr>
        <w:t>00</w:t>
      </w:r>
      <w:r>
        <w:rPr>
          <w:rFonts w:hint="eastAsia" w:ascii="宋体" w:hAnsi="宋体"/>
          <w:bCs/>
          <w:iCs/>
          <w:color w:val="000000"/>
          <w:sz w:val="24"/>
          <w:szCs w:val="24"/>
          <w:lang w:val="en-US" w:eastAsia="zh-CN"/>
        </w:rPr>
        <w:t>826</w:t>
      </w:r>
      <w:r>
        <w:rPr>
          <w:rFonts w:hint="eastAsia" w:ascii="宋体" w:hAnsi="宋体"/>
          <w:bCs/>
          <w:iCs/>
          <w:color w:val="000000"/>
          <w:sz w:val="24"/>
          <w:szCs w:val="24"/>
        </w:rPr>
        <w:t xml:space="preserve">                         </w:t>
      </w:r>
      <w:r>
        <w:rPr>
          <w:rFonts w:ascii="宋体" w:hAnsi="宋体"/>
          <w:bCs/>
          <w:iCs/>
          <w:color w:val="000000"/>
          <w:sz w:val="24"/>
          <w:szCs w:val="24"/>
        </w:rPr>
        <w:t xml:space="preserve">          </w:t>
      </w:r>
      <w:r>
        <w:rPr>
          <w:rFonts w:hint="eastAsia" w:ascii="宋体" w:hAnsi="宋体"/>
          <w:bCs/>
          <w:iCs/>
          <w:color w:val="000000"/>
          <w:sz w:val="24"/>
          <w:szCs w:val="24"/>
        </w:rPr>
        <w:t>证券简称：</w:t>
      </w:r>
      <w:r>
        <w:rPr>
          <w:rFonts w:hint="eastAsia" w:ascii="宋体" w:hAnsi="宋体"/>
          <w:bCs/>
          <w:iCs/>
          <w:color w:val="000000"/>
          <w:sz w:val="24"/>
          <w:szCs w:val="24"/>
          <w:lang w:eastAsia="zh-CN"/>
        </w:rPr>
        <w:t>兰生股份</w:t>
      </w:r>
    </w:p>
    <w:p w14:paraId="48C6C2AF">
      <w:pPr>
        <w:snapToGrid w:val="0"/>
        <w:spacing w:line="360" w:lineRule="auto"/>
        <w:rPr>
          <w:rFonts w:ascii="仿宋" w:hAnsi="仿宋" w:eastAsia="仿宋"/>
          <w:bCs/>
          <w:iCs/>
          <w:color w:val="000000"/>
          <w:sz w:val="28"/>
          <w:szCs w:val="28"/>
        </w:rPr>
      </w:pPr>
    </w:p>
    <w:p w14:paraId="656222B9">
      <w:pPr>
        <w:adjustRightInd w:val="0"/>
        <w:snapToGrid w:val="0"/>
        <w:spacing w:line="360" w:lineRule="auto"/>
        <w:jc w:val="center"/>
        <w:rPr>
          <w:rFonts w:ascii="华文中宋" w:hAnsi="华文中宋" w:eastAsia="华文中宋"/>
          <w:b/>
          <w:bCs/>
          <w:iCs/>
          <w:color w:val="000000"/>
          <w:sz w:val="32"/>
          <w:szCs w:val="32"/>
        </w:rPr>
      </w:pPr>
      <w:r>
        <w:rPr>
          <w:rFonts w:hint="eastAsia" w:ascii="华文中宋" w:hAnsi="华文中宋" w:eastAsia="华文中宋"/>
          <w:b/>
          <w:bCs/>
          <w:iCs/>
          <w:color w:val="000000"/>
          <w:sz w:val="32"/>
          <w:szCs w:val="32"/>
        </w:rPr>
        <w:t>东浩兰生会展集团股份有限公司</w:t>
      </w:r>
    </w:p>
    <w:p w14:paraId="268351C2">
      <w:pPr>
        <w:adjustRightInd w:val="0"/>
        <w:snapToGrid w:val="0"/>
        <w:spacing w:line="360" w:lineRule="auto"/>
        <w:jc w:val="center"/>
        <w:rPr>
          <w:rFonts w:ascii="华文中宋" w:hAnsi="华文中宋" w:eastAsia="华文中宋"/>
          <w:b/>
          <w:bCs/>
          <w:iCs/>
          <w:color w:val="000000"/>
          <w:sz w:val="32"/>
          <w:szCs w:val="32"/>
        </w:rPr>
      </w:pPr>
      <w:r>
        <w:rPr>
          <w:rFonts w:hint="eastAsia" w:ascii="华文中宋" w:hAnsi="华文中宋" w:eastAsia="华文中宋"/>
          <w:b/>
          <w:bCs/>
          <w:iCs/>
          <w:color w:val="000000"/>
          <w:sz w:val="32"/>
          <w:szCs w:val="32"/>
        </w:rPr>
        <w:t>投资者关系活动记录表</w:t>
      </w:r>
    </w:p>
    <w:tbl>
      <w:tblPr>
        <w:tblStyle w:val="7"/>
        <w:tblW w:w="8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7377"/>
      </w:tblGrid>
      <w:tr w14:paraId="55A4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14:paraId="4D2179B0">
            <w:pPr>
              <w:adjustRightInd w:val="0"/>
              <w:snapToGrid w:val="0"/>
              <w:spacing w:line="360" w:lineRule="auto"/>
              <w:rPr>
                <w:rFonts w:asciiTheme="minorEastAsia" w:hAnsiTheme="minorEastAsia" w:eastAsiaTheme="minorEastAsia"/>
                <w:bCs/>
                <w:iCs/>
                <w:color w:val="000000"/>
                <w:sz w:val="24"/>
                <w:szCs w:val="24"/>
              </w:rPr>
            </w:pPr>
            <w:r>
              <w:rPr>
                <w:rFonts w:hint="eastAsia" w:asciiTheme="minorEastAsia" w:hAnsiTheme="minorEastAsia" w:eastAsiaTheme="minorEastAsia"/>
                <w:bCs/>
                <w:iCs/>
                <w:color w:val="000000"/>
                <w:sz w:val="28"/>
                <w:szCs w:val="28"/>
              </w:rPr>
              <w:t xml:space="preserve">                                                      </w:t>
            </w:r>
            <w:r>
              <w:rPr>
                <w:rFonts w:hint="eastAsia" w:asciiTheme="minorEastAsia" w:hAnsiTheme="minorEastAsia" w:eastAsiaTheme="minorEastAsia"/>
                <w:bCs/>
                <w:iCs/>
                <w:color w:val="000000"/>
                <w:sz w:val="24"/>
                <w:szCs w:val="24"/>
              </w:rPr>
              <w:t>投资者关系活动类别</w:t>
            </w:r>
          </w:p>
          <w:p w14:paraId="184642B6">
            <w:pPr>
              <w:adjustRightInd w:val="0"/>
              <w:snapToGrid w:val="0"/>
              <w:spacing w:line="360" w:lineRule="auto"/>
              <w:rPr>
                <w:rFonts w:asciiTheme="minorEastAsia" w:hAnsiTheme="minorEastAsia" w:eastAsiaTheme="minorEastAsia"/>
                <w:bCs/>
                <w:iCs/>
                <w:color w:val="000000"/>
                <w:sz w:val="24"/>
                <w:szCs w:val="24"/>
              </w:rPr>
            </w:pPr>
          </w:p>
        </w:tc>
        <w:tc>
          <w:tcPr>
            <w:tcW w:w="7377" w:type="dxa"/>
            <w:tcBorders>
              <w:top w:val="single" w:color="auto" w:sz="4" w:space="0"/>
              <w:left w:val="single" w:color="auto" w:sz="4" w:space="0"/>
              <w:bottom w:val="single" w:color="auto" w:sz="4" w:space="0"/>
              <w:right w:val="single" w:color="auto" w:sz="4" w:space="0"/>
            </w:tcBorders>
            <w:shd w:val="clear" w:color="auto" w:fill="auto"/>
            <w:vAlign w:val="center"/>
          </w:tcPr>
          <w:p w14:paraId="5A79F790">
            <w:pPr>
              <w:adjustRightInd w:val="0"/>
              <w:snapToGrid w:val="0"/>
              <w:spacing w:line="360" w:lineRule="auto"/>
              <w:rPr>
                <w:rFonts w:asciiTheme="minorEastAsia" w:hAnsiTheme="minorEastAsia" w:eastAsiaTheme="minorEastAsia"/>
                <w:bCs/>
                <w:iCs/>
                <w:color w:val="000000"/>
                <w:sz w:val="24"/>
                <w:szCs w:val="24"/>
              </w:rPr>
            </w:pPr>
            <w:r>
              <w:rPr>
                <w:rFonts w:hint="eastAsia" w:asciiTheme="minorEastAsia" w:hAnsiTheme="minorEastAsia" w:eastAsiaTheme="minorEastAsia"/>
                <w:bCs/>
                <w:iCs/>
                <w:color w:val="000000"/>
                <w:sz w:val="24"/>
                <w:szCs w:val="24"/>
                <w:lang w:eastAsia="zh-CN"/>
              </w:rPr>
              <w:t>☑</w:t>
            </w:r>
            <w:r>
              <w:rPr>
                <w:rFonts w:hint="eastAsia" w:asciiTheme="minorEastAsia" w:hAnsiTheme="minorEastAsia" w:eastAsiaTheme="minorEastAsia"/>
                <w:color w:val="000000"/>
                <w:sz w:val="24"/>
                <w:szCs w:val="24"/>
              </w:rPr>
              <w:t xml:space="preserve">特定对象调研        </w:t>
            </w:r>
            <w:bookmarkStart w:id="0" w:name="_GoBack"/>
            <w:bookmarkEnd w:id="0"/>
            <w:r>
              <w:rPr>
                <w:rFonts w:hint="eastAsia" w:asciiTheme="minorEastAsia" w:hAnsiTheme="minorEastAsia" w:eastAsiaTheme="minorEastAsia"/>
                <w:bCs/>
                <w:iCs/>
                <w:color w:val="000000"/>
                <w:sz w:val="24"/>
                <w:szCs w:val="24"/>
                <w:lang w:eastAsia="zh-CN"/>
              </w:rPr>
              <w:t>□</w:t>
            </w:r>
            <w:r>
              <w:rPr>
                <w:rFonts w:hint="eastAsia" w:asciiTheme="minorEastAsia" w:hAnsiTheme="minorEastAsia" w:eastAsiaTheme="minorEastAsia"/>
                <w:color w:val="000000"/>
                <w:sz w:val="24"/>
                <w:szCs w:val="24"/>
              </w:rPr>
              <w:t>分析师会议</w:t>
            </w:r>
          </w:p>
          <w:p w14:paraId="141B390A">
            <w:pPr>
              <w:adjustRightInd w:val="0"/>
              <w:snapToGrid w:val="0"/>
              <w:spacing w:line="360" w:lineRule="auto"/>
              <w:rPr>
                <w:rFonts w:asciiTheme="minorEastAsia" w:hAnsiTheme="minorEastAsia" w:eastAsiaTheme="minorEastAsia"/>
                <w:bCs/>
                <w:iCs/>
                <w:color w:val="000000"/>
                <w:sz w:val="24"/>
                <w:szCs w:val="24"/>
              </w:rPr>
            </w:pPr>
            <w:r>
              <w:rPr>
                <w:rFonts w:hint="eastAsia" w:asciiTheme="minorEastAsia" w:hAnsiTheme="minorEastAsia" w:eastAsiaTheme="minorEastAsia"/>
                <w:bCs/>
                <w:iCs/>
                <w:color w:val="000000"/>
                <w:sz w:val="24"/>
                <w:szCs w:val="24"/>
              </w:rPr>
              <w:t>□</w:t>
            </w:r>
            <w:r>
              <w:rPr>
                <w:rFonts w:hint="eastAsia" w:asciiTheme="minorEastAsia" w:hAnsiTheme="minorEastAsia" w:eastAsiaTheme="minorEastAsia"/>
                <w:color w:val="000000"/>
                <w:sz w:val="24"/>
                <w:szCs w:val="24"/>
              </w:rPr>
              <w:t xml:space="preserve">媒体采访            </w:t>
            </w:r>
            <w:r>
              <w:rPr>
                <w:rFonts w:hint="eastAsia" w:asciiTheme="minorEastAsia" w:hAnsiTheme="minorEastAsia" w:eastAsiaTheme="minorEastAsia"/>
                <w:bCs/>
                <w:iCs/>
                <w:color w:val="000000"/>
                <w:sz w:val="24"/>
                <w:szCs w:val="24"/>
                <w:lang w:eastAsia="zh-CN"/>
              </w:rPr>
              <w:t>□</w:t>
            </w:r>
            <w:r>
              <w:rPr>
                <w:rFonts w:hint="eastAsia" w:asciiTheme="minorEastAsia" w:hAnsiTheme="minorEastAsia" w:eastAsiaTheme="minorEastAsia"/>
                <w:color w:val="000000"/>
                <w:sz w:val="24"/>
                <w:szCs w:val="24"/>
              </w:rPr>
              <w:t>业绩说明会</w:t>
            </w:r>
          </w:p>
          <w:p w14:paraId="7367F36B">
            <w:pPr>
              <w:adjustRightInd w:val="0"/>
              <w:snapToGrid w:val="0"/>
              <w:spacing w:line="360" w:lineRule="auto"/>
              <w:rPr>
                <w:rFonts w:asciiTheme="minorEastAsia" w:hAnsiTheme="minorEastAsia" w:eastAsiaTheme="minorEastAsia"/>
                <w:bCs/>
                <w:iCs/>
                <w:color w:val="000000"/>
                <w:sz w:val="24"/>
                <w:szCs w:val="24"/>
              </w:rPr>
            </w:pPr>
            <w:r>
              <w:rPr>
                <w:rFonts w:hint="eastAsia" w:asciiTheme="minorEastAsia" w:hAnsiTheme="minorEastAsia" w:eastAsiaTheme="minorEastAsia"/>
                <w:bCs/>
                <w:iCs/>
                <w:color w:val="000000"/>
                <w:sz w:val="24"/>
                <w:szCs w:val="24"/>
              </w:rPr>
              <w:t>□</w:t>
            </w:r>
            <w:r>
              <w:rPr>
                <w:rFonts w:hint="eastAsia" w:asciiTheme="minorEastAsia" w:hAnsiTheme="minorEastAsia" w:eastAsiaTheme="minorEastAsia"/>
                <w:color w:val="000000"/>
                <w:sz w:val="24"/>
                <w:szCs w:val="24"/>
              </w:rPr>
              <w:t xml:space="preserve">新闻发布会          </w:t>
            </w:r>
            <w:r>
              <w:rPr>
                <w:rFonts w:hint="eastAsia" w:asciiTheme="minorEastAsia" w:hAnsiTheme="minorEastAsia" w:eastAsiaTheme="minorEastAsia"/>
                <w:bCs/>
                <w:iCs/>
                <w:color w:val="000000"/>
                <w:sz w:val="24"/>
                <w:szCs w:val="24"/>
              </w:rPr>
              <w:t>□</w:t>
            </w:r>
            <w:r>
              <w:rPr>
                <w:rFonts w:hint="eastAsia" w:asciiTheme="minorEastAsia" w:hAnsiTheme="minorEastAsia" w:eastAsiaTheme="minorEastAsia"/>
                <w:color w:val="000000"/>
                <w:sz w:val="24"/>
                <w:szCs w:val="24"/>
              </w:rPr>
              <w:t>路演活动</w:t>
            </w:r>
          </w:p>
          <w:p w14:paraId="75F25850">
            <w:pPr>
              <w:tabs>
                <w:tab w:val="left" w:pos="3045"/>
                <w:tab w:val="center" w:pos="3199"/>
              </w:tabs>
              <w:adjustRightInd w:val="0"/>
              <w:snapToGrid w:val="0"/>
              <w:spacing w:line="360" w:lineRule="auto"/>
              <w:rPr>
                <w:rFonts w:asciiTheme="minorEastAsia" w:hAnsiTheme="minorEastAsia" w:eastAsiaTheme="minorEastAsia"/>
                <w:bCs/>
                <w:iCs/>
                <w:color w:val="000000"/>
                <w:sz w:val="24"/>
                <w:szCs w:val="24"/>
              </w:rPr>
            </w:pPr>
            <w:r>
              <w:rPr>
                <w:rFonts w:hint="eastAsia" w:asciiTheme="minorEastAsia" w:hAnsiTheme="minorEastAsia" w:eastAsiaTheme="minorEastAsia"/>
                <w:bCs/>
                <w:iCs/>
                <w:color w:val="000000"/>
                <w:sz w:val="24"/>
                <w:szCs w:val="24"/>
              </w:rPr>
              <w:t>□</w:t>
            </w:r>
            <w:r>
              <w:rPr>
                <w:rFonts w:hint="eastAsia" w:asciiTheme="minorEastAsia" w:hAnsiTheme="minorEastAsia" w:eastAsiaTheme="minorEastAsia"/>
                <w:color w:val="000000"/>
                <w:sz w:val="24"/>
                <w:szCs w:val="24"/>
              </w:rPr>
              <w:t>现场参观</w:t>
            </w:r>
            <w:r>
              <w:rPr>
                <w:rFonts w:hint="eastAsia" w:asciiTheme="minorEastAsia" w:hAnsiTheme="minorEastAsia" w:eastAsiaTheme="minorEastAsia"/>
                <w:bCs/>
                <w:iCs/>
                <w:color w:val="000000"/>
                <w:sz w:val="24"/>
                <w:szCs w:val="24"/>
              </w:rPr>
              <w:tab/>
            </w:r>
          </w:p>
          <w:p w14:paraId="6D32EC6C">
            <w:pPr>
              <w:tabs>
                <w:tab w:val="center" w:pos="3199"/>
              </w:tabs>
              <w:adjustRightInd w:val="0"/>
              <w:snapToGrid w:val="0"/>
              <w:spacing w:line="360" w:lineRule="auto"/>
              <w:rPr>
                <w:rFonts w:asciiTheme="minorEastAsia" w:hAnsiTheme="minorEastAsia" w:eastAsiaTheme="minorEastAsia"/>
                <w:bCs/>
                <w:iCs/>
                <w:color w:val="000000"/>
                <w:sz w:val="24"/>
                <w:szCs w:val="24"/>
              </w:rPr>
            </w:pPr>
            <w:r>
              <w:rPr>
                <w:rFonts w:hint="eastAsia" w:asciiTheme="minorEastAsia" w:hAnsiTheme="minorEastAsia" w:eastAsiaTheme="minorEastAsia"/>
                <w:bCs/>
                <w:iCs/>
                <w:color w:val="000000"/>
                <w:sz w:val="24"/>
                <w:szCs w:val="24"/>
              </w:rPr>
              <w:t>□</w:t>
            </w:r>
            <w:r>
              <w:rPr>
                <w:rFonts w:hint="eastAsia" w:asciiTheme="minorEastAsia" w:hAnsiTheme="minorEastAsia" w:eastAsiaTheme="minorEastAsia"/>
                <w:color w:val="000000"/>
                <w:sz w:val="24"/>
                <w:szCs w:val="24"/>
              </w:rPr>
              <w:t>其他 （</w:t>
            </w:r>
            <w:r>
              <w:rPr>
                <w:rFonts w:hint="eastAsia" w:asciiTheme="minorEastAsia" w:hAnsiTheme="minorEastAsia" w:eastAsiaTheme="minorEastAsia"/>
                <w:color w:val="000000"/>
                <w:sz w:val="24"/>
                <w:szCs w:val="24"/>
                <w:u w:val="single"/>
              </w:rPr>
              <w:t>请文字说明其他活动内容）</w:t>
            </w:r>
          </w:p>
        </w:tc>
      </w:tr>
      <w:tr w14:paraId="558C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14:paraId="2F34641D">
            <w:pPr>
              <w:adjustRightInd w:val="0"/>
              <w:snapToGrid w:val="0"/>
              <w:spacing w:line="360" w:lineRule="auto"/>
              <w:rPr>
                <w:rFonts w:asciiTheme="minorEastAsia" w:hAnsiTheme="minorEastAsia" w:eastAsiaTheme="minorEastAsia"/>
                <w:bCs/>
                <w:iCs/>
                <w:color w:val="000000"/>
                <w:sz w:val="24"/>
                <w:szCs w:val="24"/>
              </w:rPr>
            </w:pPr>
            <w:r>
              <w:rPr>
                <w:rFonts w:hint="eastAsia" w:asciiTheme="minorEastAsia" w:hAnsiTheme="minorEastAsia" w:eastAsiaTheme="minorEastAsia"/>
                <w:bCs/>
                <w:iCs/>
                <w:sz w:val="24"/>
                <w:szCs w:val="24"/>
              </w:rPr>
              <w:t>参与人员</w:t>
            </w:r>
          </w:p>
        </w:tc>
        <w:tc>
          <w:tcPr>
            <w:tcW w:w="7377" w:type="dxa"/>
            <w:tcBorders>
              <w:top w:val="single" w:color="auto" w:sz="4" w:space="0"/>
              <w:left w:val="single" w:color="auto" w:sz="4" w:space="0"/>
              <w:bottom w:val="single" w:color="auto" w:sz="4" w:space="0"/>
              <w:right w:val="single" w:color="auto" w:sz="4" w:space="0"/>
            </w:tcBorders>
            <w:shd w:val="clear" w:color="auto" w:fill="auto"/>
            <w:vAlign w:val="center"/>
          </w:tcPr>
          <w:p w14:paraId="07F177C4">
            <w:pPr>
              <w:adjustRightInd w:val="0"/>
              <w:snapToGrid w:val="0"/>
              <w:spacing w:line="360" w:lineRule="auto"/>
              <w:rPr>
                <w:rFonts w:asciiTheme="minorEastAsia" w:hAnsiTheme="minorEastAsia" w:eastAsiaTheme="minorEastAsia"/>
                <w:bCs/>
                <w:iCs/>
                <w:color w:val="000000"/>
                <w:sz w:val="24"/>
                <w:szCs w:val="24"/>
              </w:rPr>
            </w:pPr>
            <w:r>
              <w:rPr>
                <w:rFonts w:hint="eastAsia" w:asciiTheme="minorEastAsia" w:hAnsiTheme="minorEastAsia" w:eastAsiaTheme="minorEastAsia"/>
                <w:bCs/>
                <w:iCs/>
                <w:color w:val="000000"/>
                <w:sz w:val="24"/>
                <w:szCs w:val="24"/>
              </w:rPr>
              <w:t>华夏久盈、中泰证券、太平基金、度势投资、西部利得、国联人寿、</w:t>
            </w:r>
            <w:r>
              <w:rPr>
                <w:rFonts w:hint="eastAsia" w:asciiTheme="minorEastAsia" w:hAnsiTheme="minorEastAsia" w:eastAsiaTheme="minorEastAsia"/>
                <w:bCs/>
                <w:iCs/>
                <w:color w:val="000000"/>
                <w:sz w:val="24"/>
                <w:szCs w:val="24"/>
                <w:lang w:val="en-US" w:eastAsia="zh-CN"/>
              </w:rPr>
              <w:t>国泰君安、</w:t>
            </w:r>
            <w:r>
              <w:rPr>
                <w:rFonts w:hint="eastAsia" w:asciiTheme="minorEastAsia" w:hAnsiTheme="minorEastAsia" w:eastAsiaTheme="minorEastAsia"/>
                <w:bCs/>
                <w:iCs/>
                <w:color w:val="000000"/>
                <w:sz w:val="24"/>
                <w:szCs w:val="24"/>
              </w:rPr>
              <w:t>金泊投资、泽鑫毅德投资、鑫宇投资、长江证券、锦绣中和投资、万得、中银证券、中天汇富、霄沣投资、美市科技、杭贵投资、鲲鹏恒隆投资、华杉投资、天猊投资、白杉资本、重鼎资产、复利投资、北京源峰、澜胜基金、合易盈通资产、嘉懿萃私募、齐光资本、孟谷基金、金羿投资、英飞尼迪资本、氘川咨询等（排名不分先后）</w:t>
            </w:r>
          </w:p>
        </w:tc>
      </w:tr>
      <w:tr w14:paraId="390F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14:paraId="04A94593">
            <w:pPr>
              <w:adjustRightInd w:val="0"/>
              <w:snapToGrid w:val="0"/>
              <w:spacing w:line="360" w:lineRule="auto"/>
              <w:rPr>
                <w:rFonts w:asciiTheme="minorEastAsia" w:hAnsiTheme="minorEastAsia" w:eastAsiaTheme="minorEastAsia"/>
                <w:bCs/>
                <w:iCs/>
                <w:color w:val="000000"/>
                <w:sz w:val="24"/>
                <w:szCs w:val="24"/>
              </w:rPr>
            </w:pPr>
            <w:r>
              <w:rPr>
                <w:rFonts w:hint="eastAsia" w:asciiTheme="minorEastAsia" w:hAnsiTheme="minorEastAsia" w:eastAsiaTheme="minorEastAsia"/>
                <w:bCs/>
                <w:iCs/>
                <w:color w:val="000000"/>
                <w:sz w:val="24"/>
                <w:szCs w:val="24"/>
              </w:rPr>
              <w:t>会议时间</w:t>
            </w:r>
          </w:p>
        </w:tc>
        <w:tc>
          <w:tcPr>
            <w:tcW w:w="7377" w:type="dxa"/>
            <w:tcBorders>
              <w:top w:val="single" w:color="auto" w:sz="4" w:space="0"/>
              <w:left w:val="single" w:color="auto" w:sz="4" w:space="0"/>
              <w:bottom w:val="single" w:color="auto" w:sz="4" w:space="0"/>
              <w:right w:val="single" w:color="auto" w:sz="4" w:space="0"/>
            </w:tcBorders>
            <w:shd w:val="clear" w:color="auto" w:fill="auto"/>
            <w:vAlign w:val="center"/>
          </w:tcPr>
          <w:p w14:paraId="6CDEC3EF">
            <w:pPr>
              <w:adjustRightInd w:val="0"/>
              <w:snapToGrid w:val="0"/>
              <w:spacing w:line="360" w:lineRule="auto"/>
              <w:rPr>
                <w:rFonts w:hint="default" w:asciiTheme="minorEastAsia" w:hAnsiTheme="minorEastAsia" w:eastAsiaTheme="minorEastAsia"/>
                <w:bCs/>
                <w:iCs/>
                <w:color w:val="000000"/>
                <w:sz w:val="24"/>
                <w:szCs w:val="24"/>
                <w:lang w:val="en-US" w:eastAsia="zh-CN"/>
              </w:rPr>
            </w:pPr>
            <w:r>
              <w:rPr>
                <w:rFonts w:hint="eastAsia" w:asciiTheme="minorEastAsia" w:hAnsiTheme="minorEastAsia" w:eastAsiaTheme="minorEastAsia"/>
                <w:bCs/>
                <w:iCs/>
                <w:color w:val="000000"/>
                <w:sz w:val="24"/>
                <w:szCs w:val="24"/>
              </w:rPr>
              <w:t>2024年10月</w:t>
            </w:r>
            <w:r>
              <w:rPr>
                <w:rFonts w:hint="eastAsia" w:asciiTheme="minorEastAsia" w:hAnsiTheme="minorEastAsia" w:eastAsiaTheme="minorEastAsia"/>
                <w:bCs/>
                <w:iCs/>
                <w:color w:val="000000"/>
                <w:sz w:val="24"/>
                <w:szCs w:val="24"/>
                <w:lang w:val="en-US" w:eastAsia="zh-CN"/>
              </w:rPr>
              <w:t>28日-30日</w:t>
            </w:r>
          </w:p>
        </w:tc>
      </w:tr>
      <w:tr w14:paraId="6C47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14:paraId="25FEE520">
            <w:pPr>
              <w:adjustRightInd w:val="0"/>
              <w:snapToGrid w:val="0"/>
              <w:spacing w:line="360" w:lineRule="auto"/>
              <w:rPr>
                <w:rFonts w:asciiTheme="minorEastAsia" w:hAnsiTheme="minorEastAsia" w:eastAsiaTheme="minorEastAsia"/>
                <w:bCs/>
                <w:iCs/>
                <w:color w:val="000000"/>
                <w:sz w:val="24"/>
                <w:szCs w:val="24"/>
              </w:rPr>
            </w:pPr>
            <w:r>
              <w:rPr>
                <w:rFonts w:hint="eastAsia" w:asciiTheme="minorEastAsia" w:hAnsiTheme="minorEastAsia" w:eastAsiaTheme="minorEastAsia"/>
                <w:bCs/>
                <w:iCs/>
                <w:color w:val="000000"/>
                <w:sz w:val="24"/>
                <w:szCs w:val="24"/>
              </w:rPr>
              <w:t>会议地点</w:t>
            </w:r>
          </w:p>
        </w:tc>
        <w:tc>
          <w:tcPr>
            <w:tcW w:w="7377" w:type="dxa"/>
            <w:tcBorders>
              <w:top w:val="single" w:color="auto" w:sz="4" w:space="0"/>
              <w:left w:val="single" w:color="auto" w:sz="4" w:space="0"/>
              <w:bottom w:val="single" w:color="auto" w:sz="4" w:space="0"/>
              <w:right w:val="single" w:color="auto" w:sz="4" w:space="0"/>
            </w:tcBorders>
            <w:shd w:val="clear" w:color="auto" w:fill="auto"/>
            <w:vAlign w:val="center"/>
          </w:tcPr>
          <w:p w14:paraId="3EA8C980">
            <w:pPr>
              <w:adjustRightInd w:val="0"/>
              <w:snapToGrid w:val="0"/>
              <w:spacing w:line="360" w:lineRule="auto"/>
              <w:rPr>
                <w:rFonts w:hint="eastAsia" w:asciiTheme="minorEastAsia" w:hAnsiTheme="minorEastAsia" w:eastAsiaTheme="minorEastAsia"/>
                <w:bCs/>
                <w:iCs/>
                <w:color w:val="000000"/>
                <w:sz w:val="24"/>
                <w:szCs w:val="24"/>
                <w:lang w:eastAsia="zh-CN"/>
              </w:rPr>
            </w:pPr>
            <w:r>
              <w:rPr>
                <w:rFonts w:hint="eastAsia" w:asciiTheme="minorEastAsia" w:hAnsiTheme="minorEastAsia" w:eastAsiaTheme="minorEastAsia"/>
                <w:bCs/>
                <w:iCs/>
                <w:color w:val="000000"/>
                <w:sz w:val="24"/>
                <w:szCs w:val="24"/>
                <w:lang w:eastAsia="zh-CN"/>
              </w:rPr>
              <w:t>公司会议室</w:t>
            </w:r>
          </w:p>
        </w:tc>
      </w:tr>
      <w:tr w14:paraId="6BCA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14:paraId="29E62029">
            <w:pPr>
              <w:adjustRightInd w:val="0"/>
              <w:snapToGrid w:val="0"/>
              <w:spacing w:line="360" w:lineRule="auto"/>
              <w:rPr>
                <w:rFonts w:asciiTheme="minorEastAsia" w:hAnsiTheme="minorEastAsia" w:eastAsiaTheme="minorEastAsia"/>
                <w:bCs/>
                <w:iCs/>
                <w:color w:val="000000"/>
                <w:sz w:val="24"/>
                <w:szCs w:val="24"/>
              </w:rPr>
            </w:pPr>
            <w:r>
              <w:rPr>
                <w:rFonts w:hint="eastAsia" w:asciiTheme="minorEastAsia" w:hAnsiTheme="minorEastAsia" w:eastAsiaTheme="minorEastAsia"/>
                <w:bCs/>
                <w:iCs/>
                <w:color w:val="000000"/>
                <w:sz w:val="24"/>
                <w:szCs w:val="24"/>
              </w:rPr>
              <w:t>会议形式</w:t>
            </w:r>
          </w:p>
        </w:tc>
        <w:tc>
          <w:tcPr>
            <w:tcW w:w="7377" w:type="dxa"/>
            <w:tcBorders>
              <w:top w:val="single" w:color="auto" w:sz="4" w:space="0"/>
              <w:left w:val="single" w:color="auto" w:sz="4" w:space="0"/>
              <w:bottom w:val="single" w:color="auto" w:sz="4" w:space="0"/>
              <w:right w:val="single" w:color="auto" w:sz="4" w:space="0"/>
            </w:tcBorders>
            <w:shd w:val="clear" w:color="auto" w:fill="auto"/>
            <w:vAlign w:val="center"/>
          </w:tcPr>
          <w:p w14:paraId="7C6C8F85">
            <w:pPr>
              <w:adjustRightInd w:val="0"/>
              <w:snapToGrid w:val="0"/>
              <w:spacing w:line="360" w:lineRule="auto"/>
              <w:rPr>
                <w:rFonts w:asciiTheme="minorEastAsia" w:hAnsiTheme="minorEastAsia" w:eastAsiaTheme="minorEastAsia"/>
                <w:bCs/>
                <w:iCs/>
                <w:color w:val="000000"/>
                <w:sz w:val="24"/>
                <w:szCs w:val="24"/>
              </w:rPr>
            </w:pPr>
            <w:r>
              <w:rPr>
                <w:rFonts w:hint="eastAsia" w:ascii="宋体" w:hAnsi="宋体"/>
                <w:color w:val="000000"/>
                <w:sz w:val="24"/>
                <w:szCs w:val="24"/>
              </w:rPr>
              <w:t>现场调研、电话会议</w:t>
            </w:r>
          </w:p>
        </w:tc>
      </w:tr>
      <w:tr w14:paraId="6E23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14:paraId="7EEE3C38">
            <w:pPr>
              <w:adjustRightInd w:val="0"/>
              <w:snapToGrid w:val="0"/>
              <w:spacing w:line="360" w:lineRule="auto"/>
              <w:rPr>
                <w:rFonts w:asciiTheme="minorEastAsia" w:hAnsiTheme="minorEastAsia" w:eastAsiaTheme="minorEastAsia"/>
                <w:bCs/>
                <w:iCs/>
                <w:color w:val="000000"/>
                <w:sz w:val="24"/>
                <w:szCs w:val="24"/>
              </w:rPr>
            </w:pPr>
            <w:r>
              <w:rPr>
                <w:rFonts w:hint="eastAsia" w:asciiTheme="minorEastAsia" w:hAnsiTheme="minorEastAsia" w:eastAsiaTheme="minorEastAsia"/>
                <w:bCs/>
                <w:iCs/>
                <w:color w:val="000000"/>
                <w:sz w:val="24"/>
                <w:szCs w:val="24"/>
              </w:rPr>
              <w:t>公司接待人员姓名</w:t>
            </w:r>
          </w:p>
        </w:tc>
        <w:tc>
          <w:tcPr>
            <w:tcW w:w="7377" w:type="dxa"/>
            <w:tcBorders>
              <w:top w:val="single" w:color="auto" w:sz="4" w:space="0"/>
              <w:left w:val="single" w:color="auto" w:sz="4" w:space="0"/>
              <w:bottom w:val="single" w:color="auto" w:sz="4" w:space="0"/>
              <w:right w:val="single" w:color="auto" w:sz="4" w:space="0"/>
            </w:tcBorders>
            <w:shd w:val="clear" w:color="auto" w:fill="auto"/>
            <w:vAlign w:val="center"/>
          </w:tcPr>
          <w:p w14:paraId="148930D9">
            <w:pPr>
              <w:adjustRightInd w:val="0"/>
              <w:snapToGrid w:val="0"/>
              <w:spacing w:line="360" w:lineRule="auto"/>
              <w:rPr>
                <w:rFonts w:asciiTheme="minorEastAsia" w:hAnsiTheme="minorEastAsia" w:eastAsiaTheme="minorEastAsia"/>
                <w:bCs/>
                <w:iCs/>
                <w:color w:val="000000"/>
                <w:sz w:val="24"/>
                <w:szCs w:val="24"/>
              </w:rPr>
            </w:pPr>
            <w:r>
              <w:rPr>
                <w:rFonts w:hint="eastAsia" w:asciiTheme="minorEastAsia" w:hAnsiTheme="minorEastAsia" w:eastAsiaTheme="minorEastAsia"/>
                <w:bCs/>
                <w:iCs/>
                <w:color w:val="000000"/>
                <w:sz w:val="24"/>
                <w:szCs w:val="24"/>
              </w:rPr>
              <w:t>董事会秘书张荣健</w:t>
            </w:r>
          </w:p>
        </w:tc>
      </w:tr>
      <w:tr w14:paraId="41EE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14:paraId="6BF38E3A">
            <w:pPr>
              <w:adjustRightInd w:val="0"/>
              <w:snapToGrid w:val="0"/>
              <w:spacing w:line="360" w:lineRule="auto"/>
              <w:rPr>
                <w:rFonts w:asciiTheme="minorEastAsia" w:hAnsiTheme="minorEastAsia" w:eastAsiaTheme="minorEastAsia"/>
                <w:bCs/>
                <w:iCs/>
                <w:color w:val="000000"/>
                <w:sz w:val="24"/>
                <w:szCs w:val="24"/>
              </w:rPr>
            </w:pPr>
            <w:r>
              <w:rPr>
                <w:rFonts w:hint="eastAsia" w:asciiTheme="minorEastAsia" w:hAnsiTheme="minorEastAsia" w:eastAsiaTheme="minorEastAsia"/>
                <w:bCs/>
                <w:iCs/>
                <w:color w:val="000000"/>
                <w:sz w:val="24"/>
                <w:szCs w:val="24"/>
              </w:rPr>
              <w:t>投资者关系活动主要内容介绍</w:t>
            </w:r>
          </w:p>
          <w:p w14:paraId="79A4392F">
            <w:pPr>
              <w:adjustRightInd w:val="0"/>
              <w:snapToGrid w:val="0"/>
              <w:spacing w:line="360" w:lineRule="auto"/>
              <w:rPr>
                <w:rFonts w:asciiTheme="minorEastAsia" w:hAnsiTheme="minorEastAsia" w:eastAsiaTheme="minorEastAsia"/>
                <w:bCs/>
                <w:iCs/>
                <w:color w:val="000000"/>
                <w:sz w:val="24"/>
                <w:szCs w:val="24"/>
              </w:rPr>
            </w:pPr>
          </w:p>
        </w:tc>
        <w:tc>
          <w:tcPr>
            <w:tcW w:w="7377" w:type="dxa"/>
            <w:tcBorders>
              <w:top w:val="single" w:color="auto" w:sz="4" w:space="0"/>
              <w:left w:val="single" w:color="auto" w:sz="4" w:space="0"/>
              <w:bottom w:val="single" w:color="auto" w:sz="4" w:space="0"/>
              <w:right w:val="single" w:color="auto" w:sz="4" w:space="0"/>
            </w:tcBorders>
            <w:shd w:val="clear" w:color="auto" w:fill="auto"/>
            <w:vAlign w:val="center"/>
          </w:tcPr>
          <w:p w14:paraId="24633C54">
            <w:pPr>
              <w:pStyle w:val="19"/>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textAlignment w:val="auto"/>
              <w:rPr>
                <w:rFonts w:hint="default" w:asciiTheme="minorEastAsia" w:hAnsiTheme="minorEastAsia"/>
                <w:b/>
                <w:bCs/>
                <w:highlight w:val="none"/>
                <w:lang w:val="en-US" w:eastAsia="zh-CN"/>
              </w:rPr>
            </w:pPr>
            <w:r>
              <w:rPr>
                <w:rFonts w:hint="eastAsia" w:asciiTheme="minorEastAsia" w:hAnsiTheme="minorEastAsia"/>
                <w:b/>
                <w:bCs/>
                <w:highlight w:val="none"/>
                <w:lang w:val="en-US" w:eastAsia="zh-CN"/>
              </w:rPr>
              <w:t>一、公司第三季度经营情况</w:t>
            </w:r>
          </w:p>
          <w:p w14:paraId="324BE2E8">
            <w:pPr>
              <w:pStyle w:val="19"/>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360" w:lineRule="auto"/>
              <w:ind w:left="0" w:leftChars="0" w:firstLine="481" w:firstLineChars="0"/>
              <w:jc w:val="both"/>
              <w:textAlignment w:val="auto"/>
              <w:rPr>
                <w:rFonts w:hint="eastAsia" w:asciiTheme="minorEastAsia" w:hAnsiTheme="minorEastAsia"/>
                <w:b w:val="0"/>
                <w:bCs w:val="0"/>
                <w:highlight w:val="yellow"/>
                <w:lang w:eastAsia="zh-CN"/>
              </w:rPr>
            </w:pPr>
            <w:r>
              <w:rPr>
                <w:rFonts w:hint="eastAsia" w:asciiTheme="minorEastAsia" w:hAnsiTheme="minorEastAsia"/>
                <w:b w:val="0"/>
                <w:bCs w:val="0"/>
                <w:highlight w:val="none"/>
              </w:rPr>
              <w:t>公司前三季度实现营业收入9.32亿元，归属于上市公司股东的净利润2.02亿元</w:t>
            </w:r>
            <w:r>
              <w:rPr>
                <w:rFonts w:hint="eastAsia" w:asciiTheme="minorEastAsia" w:hAnsiTheme="minorEastAsia"/>
                <w:b w:val="0"/>
                <w:bCs w:val="0"/>
                <w:highlight w:val="none"/>
                <w:lang w:eastAsia="zh-CN"/>
              </w:rPr>
              <w:t>，</w:t>
            </w:r>
            <w:r>
              <w:rPr>
                <w:rFonts w:hint="eastAsia" w:asciiTheme="minorEastAsia" w:hAnsiTheme="minorEastAsia"/>
                <w:highlight w:val="none"/>
              </w:rPr>
              <w:t>归属于上市公司股东的扣除非经常性损益的净利润</w:t>
            </w:r>
            <w:r>
              <w:rPr>
                <w:rFonts w:hint="eastAsia" w:asciiTheme="minorEastAsia" w:hAnsiTheme="minorEastAsia"/>
                <w:highlight w:val="none"/>
                <w:lang w:val="en-US" w:eastAsia="zh-CN"/>
              </w:rPr>
              <w:t>1.39亿元。截至</w:t>
            </w:r>
            <w:r>
              <w:rPr>
                <w:rFonts w:hint="eastAsia" w:asciiTheme="minorEastAsia" w:hAnsiTheme="minorEastAsia"/>
                <w:highlight w:val="none"/>
              </w:rPr>
              <w:t>本报告期末</w:t>
            </w:r>
            <w:r>
              <w:rPr>
                <w:rFonts w:hint="eastAsia" w:asciiTheme="minorEastAsia" w:hAnsiTheme="minorEastAsia"/>
                <w:highlight w:val="none"/>
                <w:lang w:eastAsia="zh-CN"/>
              </w:rPr>
              <w:t>，公司</w:t>
            </w:r>
            <w:r>
              <w:rPr>
                <w:rFonts w:hint="eastAsia" w:asciiTheme="minorEastAsia" w:hAnsiTheme="minorEastAsia"/>
                <w:highlight w:val="none"/>
                <w:lang w:val="en-US" w:eastAsia="zh-CN"/>
              </w:rPr>
              <w:t>总资产56.12亿元，</w:t>
            </w:r>
            <w:r>
              <w:rPr>
                <w:rFonts w:hint="eastAsia" w:asciiTheme="minorEastAsia" w:hAnsiTheme="minorEastAsia"/>
                <w:highlight w:val="none"/>
              </w:rPr>
              <w:t>归属于上市公司股东的净资产</w:t>
            </w:r>
            <w:r>
              <w:rPr>
                <w:rFonts w:hint="eastAsia" w:asciiTheme="minorEastAsia" w:hAnsiTheme="minorEastAsia"/>
                <w:highlight w:val="none"/>
                <w:lang w:val="en-US" w:eastAsia="zh-CN"/>
              </w:rPr>
              <w:t>39.22亿元，</w:t>
            </w:r>
            <w:r>
              <w:rPr>
                <w:rFonts w:hint="eastAsia" w:asciiTheme="minorEastAsia" w:hAnsiTheme="minorEastAsia"/>
                <w:highlight w:val="none"/>
              </w:rPr>
              <w:t>加权平均净资产收益率5.19</w:t>
            </w:r>
            <w:r>
              <w:rPr>
                <w:rFonts w:hint="eastAsia" w:asciiTheme="minorEastAsia" w:hAnsiTheme="minorEastAsia"/>
                <w:highlight w:val="none"/>
                <w:lang w:val="en-US" w:eastAsia="zh-CN"/>
              </w:rPr>
              <w:t>%。</w:t>
            </w:r>
          </w:p>
          <w:p w14:paraId="0A26C505">
            <w:pPr>
              <w:pStyle w:val="19"/>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360" w:lineRule="auto"/>
              <w:ind w:left="0" w:leftChars="0" w:firstLine="481" w:firstLineChars="0"/>
              <w:jc w:val="both"/>
              <w:textAlignment w:val="auto"/>
              <w:rPr>
                <w:rFonts w:hint="eastAsia" w:asciiTheme="minorEastAsia" w:hAnsiTheme="minorEastAsia"/>
                <w:b w:val="0"/>
                <w:bCs w:val="0"/>
                <w:highlight w:val="none"/>
                <w:lang w:val="en-US" w:eastAsia="zh-CN"/>
              </w:rPr>
            </w:pPr>
            <w:r>
              <w:rPr>
                <w:rFonts w:hint="eastAsia" w:asciiTheme="minorEastAsia" w:hAnsiTheme="minorEastAsia"/>
                <w:b w:val="0"/>
                <w:bCs w:val="0"/>
                <w:highlight w:val="none"/>
              </w:rPr>
              <w:t>2024年1-9月公司举办了多场大型会议活动，其中，主、承办17场展会，总规模超101万平方米；举办9场赛事活动，总参与人数超3.3万人；公司运营的上海世博展览馆共举办65场展会、活动，总租馆面积超800万平方米。</w:t>
            </w:r>
          </w:p>
          <w:p w14:paraId="29CC25D7">
            <w:pPr>
              <w:pStyle w:val="19"/>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textAlignment w:val="auto"/>
              <w:rPr>
                <w:rFonts w:hint="default" w:asciiTheme="minorEastAsia" w:hAnsiTheme="minorEastAsia"/>
                <w:b/>
                <w:bCs/>
                <w:highlight w:val="none"/>
                <w:lang w:val="en-US" w:eastAsia="zh-CN"/>
              </w:rPr>
            </w:pPr>
            <w:r>
              <w:rPr>
                <w:rFonts w:hint="eastAsia" w:asciiTheme="minorEastAsia" w:hAnsiTheme="minorEastAsia"/>
                <w:b/>
                <w:bCs/>
                <w:highlight w:val="none"/>
                <w:lang w:val="en-US" w:eastAsia="zh-CN"/>
              </w:rPr>
              <w:t>二、</w:t>
            </w:r>
            <w:r>
              <w:rPr>
                <w:rFonts w:hint="default" w:asciiTheme="minorEastAsia" w:hAnsiTheme="minorEastAsia"/>
                <w:b/>
                <w:bCs/>
                <w:highlight w:val="none"/>
                <w:lang w:val="en-US" w:eastAsia="zh-CN"/>
              </w:rPr>
              <w:t>问答纪要</w:t>
            </w:r>
          </w:p>
          <w:p w14:paraId="75B737A8">
            <w:pPr>
              <w:pStyle w:val="19"/>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textAlignment w:val="auto"/>
              <w:rPr>
                <w:rFonts w:hint="eastAsia" w:asciiTheme="minorEastAsia" w:hAnsiTheme="minorEastAsia"/>
                <w:b/>
                <w:bCs/>
                <w:highlight w:val="none"/>
                <w:lang w:val="en-US" w:eastAsia="zh-CN"/>
              </w:rPr>
            </w:pPr>
            <w:r>
              <w:rPr>
                <w:rFonts w:hint="eastAsia" w:asciiTheme="minorEastAsia" w:hAnsiTheme="minorEastAsia"/>
                <w:b/>
                <w:bCs/>
                <w:highlight w:val="none"/>
                <w:lang w:val="en-US" w:eastAsia="zh-CN"/>
              </w:rPr>
              <w:t>1、</w:t>
            </w:r>
            <w:r>
              <w:rPr>
                <w:rFonts w:hint="eastAsia" w:asciiTheme="minorEastAsia" w:hAnsiTheme="minorEastAsia"/>
                <w:b/>
                <w:bCs/>
                <w:highlight w:val="none"/>
              </w:rPr>
              <w:t>公司持有海通的原始股，受益于合并事件股价大涨，想请教下这部分</w:t>
            </w:r>
            <w:r>
              <w:rPr>
                <w:rFonts w:hint="eastAsia" w:asciiTheme="minorEastAsia" w:hAnsiTheme="minorEastAsia"/>
                <w:b/>
                <w:bCs/>
                <w:highlight w:val="none"/>
                <w:lang w:eastAsia="zh-CN"/>
              </w:rPr>
              <w:t>在</w:t>
            </w:r>
            <w:r>
              <w:rPr>
                <w:rFonts w:hint="eastAsia" w:asciiTheme="minorEastAsia" w:hAnsiTheme="minorEastAsia"/>
                <w:b/>
                <w:bCs/>
                <w:highlight w:val="none"/>
              </w:rPr>
              <w:t>财务报表</w:t>
            </w:r>
            <w:r>
              <w:rPr>
                <w:rFonts w:hint="eastAsia" w:asciiTheme="minorEastAsia" w:hAnsiTheme="minorEastAsia"/>
                <w:b/>
                <w:bCs/>
                <w:highlight w:val="none"/>
                <w:lang w:eastAsia="zh-CN"/>
              </w:rPr>
              <w:t>中如何体现</w:t>
            </w:r>
            <w:r>
              <w:rPr>
                <w:rFonts w:hint="eastAsia" w:asciiTheme="minorEastAsia" w:hAnsiTheme="minorEastAsia"/>
                <w:b/>
                <w:bCs/>
                <w:highlight w:val="none"/>
              </w:rPr>
              <w:t>？公司持有的金融资产规模较大，</w:t>
            </w:r>
            <w:r>
              <w:rPr>
                <w:rFonts w:hint="eastAsia" w:asciiTheme="minorEastAsia" w:hAnsiTheme="minorEastAsia"/>
                <w:b/>
                <w:bCs/>
                <w:highlight w:val="none"/>
                <w:lang w:eastAsia="zh-CN"/>
              </w:rPr>
              <w:t>请问近期表现如何</w:t>
            </w:r>
            <w:r>
              <w:rPr>
                <w:rFonts w:hint="eastAsia" w:asciiTheme="minorEastAsia" w:hAnsiTheme="minorEastAsia"/>
                <w:b/>
                <w:bCs/>
                <w:highlight w:val="none"/>
              </w:rPr>
              <w:t>？公司下一步会将金融资产转为公司运营资本吗</w:t>
            </w:r>
            <w:r>
              <w:rPr>
                <w:rFonts w:hint="eastAsia" w:asciiTheme="minorEastAsia" w:hAnsiTheme="minorEastAsia"/>
                <w:b/>
                <w:bCs/>
                <w:highlight w:val="none"/>
                <w:lang w:val="en-US" w:eastAsia="zh-CN"/>
              </w:rPr>
              <w:t>？</w:t>
            </w:r>
          </w:p>
          <w:p w14:paraId="14C62779">
            <w:pPr>
              <w:pStyle w:val="19"/>
              <w:keepNext w:val="0"/>
              <w:keepLines w:val="0"/>
              <w:pageBreakBefore w:val="0"/>
              <w:widowControl w:val="0"/>
              <w:kinsoku/>
              <w:wordWrap/>
              <w:overflowPunct w:val="0"/>
              <w:topLinePunct w:val="0"/>
              <w:autoSpaceDE w:val="0"/>
              <w:autoSpaceDN w:val="0"/>
              <w:bidi w:val="0"/>
              <w:adjustRightInd w:val="0"/>
              <w:snapToGrid w:val="0"/>
              <w:spacing w:line="360" w:lineRule="auto"/>
              <w:jc w:val="both"/>
              <w:textAlignment w:val="auto"/>
              <w:rPr>
                <w:rFonts w:hint="eastAsia" w:asciiTheme="minorEastAsia" w:hAnsiTheme="minorEastAsia"/>
                <w:highlight w:val="none"/>
              </w:rPr>
            </w:pPr>
            <w:r>
              <w:rPr>
                <w:rFonts w:hint="eastAsia" w:asciiTheme="minorEastAsia" w:hAnsiTheme="minorEastAsia"/>
                <w:b/>
                <w:bCs/>
                <w:highlight w:val="none"/>
                <w:lang w:val="en-US" w:eastAsia="zh-CN"/>
              </w:rPr>
              <w:t>回答：</w:t>
            </w:r>
            <w:r>
              <w:rPr>
                <w:rFonts w:hint="eastAsia" w:asciiTheme="minorEastAsia" w:hAnsiTheme="minorEastAsia"/>
                <w:b w:val="0"/>
                <w:bCs w:val="0"/>
                <w:highlight w:val="none"/>
                <w:lang w:val="en-US" w:eastAsia="zh-CN"/>
              </w:rPr>
              <w:t>公司持有的海通证券及银行股等在报表里列为其他权益投资工具，这部分股票的涨跌只影响公司的净资产，不会影响利润表。公司持有的ETF，公募基金、理财产品等在报表里列为交易性金融资产，会影响公司报表的当期损益。截至2024三季度末，公司持有的</w:t>
            </w:r>
            <w:r>
              <w:rPr>
                <w:rFonts w:hint="eastAsia" w:asciiTheme="minorEastAsia" w:hAnsiTheme="minorEastAsia"/>
                <w:highlight w:val="none"/>
              </w:rPr>
              <w:t>其他权益工具投资</w:t>
            </w:r>
            <w:r>
              <w:rPr>
                <w:rFonts w:hint="eastAsia" w:asciiTheme="minorEastAsia" w:hAnsiTheme="minorEastAsia"/>
                <w:b w:val="0"/>
                <w:bCs w:val="0"/>
                <w:highlight w:val="none"/>
                <w:lang w:val="en-US" w:eastAsia="zh-CN"/>
              </w:rPr>
              <w:t>约14.5亿元，交易性金融资产约9.4亿元。公司持有的存量金融资产未来会根据业务需要适时进行优化调整。</w:t>
            </w:r>
          </w:p>
          <w:p w14:paraId="086AD211">
            <w:pPr>
              <w:pStyle w:val="19"/>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360" w:lineRule="auto"/>
              <w:jc w:val="both"/>
              <w:textAlignment w:val="auto"/>
              <w:rPr>
                <w:rFonts w:hint="eastAsia" w:asciiTheme="minorEastAsia" w:hAnsiTheme="minorEastAsia"/>
                <w:b/>
                <w:bCs/>
                <w:highlight w:val="none"/>
              </w:rPr>
            </w:pPr>
            <w:r>
              <w:rPr>
                <w:rFonts w:hint="eastAsia" w:asciiTheme="minorEastAsia" w:hAnsiTheme="minorEastAsia"/>
                <w:b/>
                <w:bCs/>
                <w:highlight w:val="none"/>
                <w:lang w:val="en-US" w:eastAsia="zh-CN"/>
              </w:rPr>
              <w:t>2</w:t>
            </w:r>
            <w:r>
              <w:rPr>
                <w:rFonts w:hint="eastAsia" w:asciiTheme="minorEastAsia" w:hAnsiTheme="minorEastAsia"/>
                <w:b/>
                <w:bCs/>
                <w:highlight w:val="none"/>
              </w:rPr>
              <w:t>、上海马拉松作为中国国内首个荣膺世界田联白金标荣誉的马拉松赛事，10月9日正式成为中国唯一雅培世界马拉松大满贯候选赛事。请教下为了成功申请，会做哪些动作，第二成功申请后对公司有什么影响？上艇和上帆的举办情况如何？未来赛事板块的发展规划是怎么样的？</w:t>
            </w:r>
          </w:p>
          <w:p w14:paraId="7C2245AD">
            <w:pPr>
              <w:pStyle w:val="19"/>
              <w:keepNext w:val="0"/>
              <w:keepLines w:val="0"/>
              <w:pageBreakBefore w:val="0"/>
              <w:widowControl w:val="0"/>
              <w:kinsoku/>
              <w:wordWrap/>
              <w:overflowPunct w:val="0"/>
              <w:topLinePunct w:val="0"/>
              <w:autoSpaceDE w:val="0"/>
              <w:autoSpaceDN w:val="0"/>
              <w:bidi w:val="0"/>
              <w:adjustRightInd w:val="0"/>
              <w:snapToGrid w:val="0"/>
              <w:spacing w:line="360" w:lineRule="auto"/>
              <w:jc w:val="both"/>
              <w:textAlignment w:val="auto"/>
              <w:rPr>
                <w:rFonts w:hint="eastAsia" w:asciiTheme="minorEastAsia" w:hAnsiTheme="minorEastAsia"/>
                <w:b w:val="0"/>
                <w:bCs w:val="0"/>
                <w:highlight w:val="none"/>
              </w:rPr>
            </w:pPr>
            <w:r>
              <w:rPr>
                <w:rFonts w:hint="eastAsia" w:asciiTheme="minorEastAsia" w:hAnsiTheme="minorEastAsia"/>
                <w:b/>
                <w:bCs/>
                <w:highlight w:val="none"/>
              </w:rPr>
              <w:t>回答：</w:t>
            </w:r>
            <w:r>
              <w:rPr>
                <w:rFonts w:hint="eastAsia" w:asciiTheme="minorEastAsia" w:hAnsiTheme="minorEastAsia"/>
                <w:b w:val="0"/>
                <w:bCs w:val="0"/>
                <w:highlight w:val="none"/>
              </w:rPr>
              <w:t>本次上马成为世界马拉松大满贯候选赛事受到了广泛的关注，2024年即将举办的</w:t>
            </w:r>
            <w:r>
              <w:rPr>
                <w:rFonts w:hint="eastAsia" w:asciiTheme="minorEastAsia" w:hAnsiTheme="minorEastAsia"/>
                <w:b w:val="0"/>
                <w:bCs w:val="0"/>
                <w:highlight w:val="none"/>
                <w:lang w:eastAsia="zh-CN"/>
              </w:rPr>
              <w:t>上海</w:t>
            </w:r>
            <w:r>
              <w:rPr>
                <w:rFonts w:hint="eastAsia" w:asciiTheme="minorEastAsia" w:hAnsiTheme="minorEastAsia"/>
                <w:b w:val="0"/>
                <w:bCs w:val="0"/>
                <w:highlight w:val="none"/>
              </w:rPr>
              <w:t>马拉松报名人数创了历史新高。大满贯有三年的考察期</w:t>
            </w:r>
            <w:r>
              <w:rPr>
                <w:rFonts w:hint="eastAsia" w:asciiTheme="minorEastAsia" w:hAnsiTheme="minorEastAsia"/>
                <w:b w:val="0"/>
                <w:bCs w:val="0"/>
                <w:highlight w:val="none"/>
                <w:lang w:eastAsia="zh-CN"/>
              </w:rPr>
              <w:t>和</w:t>
            </w:r>
            <w:r>
              <w:rPr>
                <w:rFonts w:hint="eastAsia" w:asciiTheme="minorEastAsia" w:hAnsiTheme="minorEastAsia"/>
                <w:b w:val="0"/>
                <w:bCs w:val="0"/>
                <w:highlight w:val="none"/>
              </w:rPr>
              <w:t>辅导期，</w:t>
            </w:r>
            <w:r>
              <w:rPr>
                <w:rFonts w:hint="eastAsia" w:asciiTheme="minorEastAsia" w:hAnsiTheme="minorEastAsia"/>
                <w:highlight w:val="none"/>
              </w:rPr>
              <w:t>三年内连续两次通过考核后</w:t>
            </w:r>
            <w:r>
              <w:rPr>
                <w:rFonts w:hint="eastAsia" w:asciiTheme="minorEastAsia" w:hAnsiTheme="minorEastAsia"/>
                <w:b w:val="0"/>
                <w:bCs w:val="0"/>
                <w:highlight w:val="none"/>
              </w:rPr>
              <w:t>才能正式成为大满贯赛事。</w:t>
            </w:r>
          </w:p>
          <w:p w14:paraId="3829DE69">
            <w:pPr>
              <w:pStyle w:val="19"/>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both"/>
              <w:textAlignment w:val="auto"/>
              <w:rPr>
                <w:rFonts w:hint="eastAsia" w:asciiTheme="minorEastAsia" w:hAnsiTheme="minorEastAsia"/>
                <w:b w:val="0"/>
                <w:bCs w:val="0"/>
                <w:highlight w:val="none"/>
              </w:rPr>
            </w:pPr>
            <w:r>
              <w:rPr>
                <w:rFonts w:hint="eastAsia" w:asciiTheme="minorEastAsia" w:hAnsiTheme="minorEastAsia"/>
                <w:b w:val="0"/>
                <w:bCs w:val="0"/>
                <w:highlight w:val="none"/>
              </w:rPr>
              <w:t>成为世界大满贯马拉松候选赛事后，上海马拉松在今年的竞赛组织中进行了优化：</w:t>
            </w:r>
            <w:r>
              <w:rPr>
                <w:rFonts w:hint="eastAsia" w:asciiTheme="minorEastAsia" w:hAnsiTheme="minorEastAsia"/>
                <w:b w:val="0"/>
                <w:bCs w:val="0"/>
                <w:highlight w:val="none"/>
                <w:lang w:eastAsia="zh-CN"/>
              </w:rPr>
              <w:t>一是</w:t>
            </w:r>
            <w:r>
              <w:rPr>
                <w:rFonts w:hint="eastAsia" w:asciiTheme="minorEastAsia" w:hAnsiTheme="minorEastAsia"/>
                <w:b w:val="0"/>
                <w:bCs w:val="0"/>
                <w:highlight w:val="none"/>
              </w:rPr>
              <w:t>推出上马电子地图。更好</w:t>
            </w:r>
            <w:r>
              <w:rPr>
                <w:rFonts w:hint="eastAsia" w:asciiTheme="minorEastAsia" w:hAnsiTheme="minorEastAsia"/>
                <w:b w:val="0"/>
                <w:bCs w:val="0"/>
                <w:highlight w:val="none"/>
                <w:lang w:val="en-US" w:eastAsia="zh-CN"/>
              </w:rPr>
              <w:t>地</w:t>
            </w:r>
            <w:r>
              <w:rPr>
                <w:rFonts w:hint="eastAsia" w:asciiTheme="minorEastAsia" w:hAnsiTheme="minorEastAsia"/>
                <w:b w:val="0"/>
                <w:bCs w:val="0"/>
                <w:highlight w:val="none"/>
              </w:rPr>
              <w:t>给参赛者及赛事相关人员提供便捷的电子化赛事体验</w:t>
            </w:r>
            <w:r>
              <w:rPr>
                <w:rFonts w:hint="eastAsia" w:asciiTheme="minorEastAsia" w:hAnsiTheme="minorEastAsia"/>
                <w:b w:val="0"/>
                <w:bCs w:val="0"/>
                <w:highlight w:val="none"/>
                <w:lang w:eastAsia="zh-CN"/>
              </w:rPr>
              <w:t>；二是</w:t>
            </w:r>
            <w:r>
              <w:rPr>
                <w:rFonts w:hint="eastAsia" w:asciiTheme="minorEastAsia" w:hAnsiTheme="minorEastAsia"/>
                <w:b w:val="0"/>
                <w:bCs w:val="0"/>
                <w:highlight w:val="none"/>
              </w:rPr>
              <w:t>扩展ITP（国际旅游跑者）项目渠道。结合本土的海派文化，搭配国际化商旅运营模式，推出高端化的赛、旅定制化服务，打造集“参赛+体验+社交”于一体的沉浸式、一站式体育消费场景，形成贯穿赛事全周期的“体育+”平台，吸引国内外受众，加强赛事的品牌效应及影响力，吸引国际跑者参与上马，了解上海、了解中国</w:t>
            </w:r>
            <w:r>
              <w:rPr>
                <w:rFonts w:hint="eastAsia" w:asciiTheme="minorEastAsia" w:hAnsiTheme="minorEastAsia"/>
                <w:b w:val="0"/>
                <w:bCs w:val="0"/>
                <w:highlight w:val="none"/>
                <w:lang w:eastAsia="zh-CN"/>
              </w:rPr>
              <w:t>；三是</w:t>
            </w:r>
            <w:r>
              <w:rPr>
                <w:rFonts w:hint="eastAsia" w:asciiTheme="minorEastAsia" w:hAnsiTheme="minorEastAsia"/>
                <w:b w:val="0"/>
                <w:bCs w:val="0"/>
                <w:highlight w:val="none"/>
              </w:rPr>
              <w:t>优化竞速轮椅项目的配套措施。针对项目特点，对路线设置进行优化，避免出现急弯、窄路和过多折返的路线，以此保证轮椅选手的安全和提高其竞技水平。同时在轮椅选手通行、饮用水布置和如厕等方面也将根据项目特点进行单独设置</w:t>
            </w:r>
            <w:r>
              <w:rPr>
                <w:rFonts w:hint="eastAsia" w:asciiTheme="minorEastAsia" w:hAnsiTheme="minorEastAsia"/>
                <w:b w:val="0"/>
                <w:bCs w:val="0"/>
                <w:highlight w:val="none"/>
                <w:lang w:eastAsia="zh-CN"/>
              </w:rPr>
              <w:t>；四是</w:t>
            </w:r>
            <w:r>
              <w:rPr>
                <w:rFonts w:hint="eastAsia" w:asciiTheme="minorEastAsia" w:hAnsiTheme="minorEastAsia"/>
                <w:b w:val="0"/>
                <w:bCs w:val="0"/>
                <w:highlight w:val="none"/>
              </w:rPr>
              <w:t>提升赛道观赛氛围。将升级赛道氛围布署，在赛道的非闹市区组织安排乐队、观众来为选手加油助威，营造赛事良好氛围。</w:t>
            </w:r>
          </w:p>
          <w:p w14:paraId="0E6821A9">
            <w:pPr>
              <w:pStyle w:val="19"/>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both"/>
              <w:textAlignment w:val="auto"/>
              <w:rPr>
                <w:rFonts w:hint="eastAsia" w:asciiTheme="minorEastAsia" w:hAnsiTheme="minorEastAsia"/>
                <w:b w:val="0"/>
                <w:bCs w:val="0"/>
                <w:highlight w:val="none"/>
                <w:lang w:val="en-US" w:eastAsia="zh-CN"/>
              </w:rPr>
            </w:pPr>
            <w:r>
              <w:rPr>
                <w:rFonts w:hint="eastAsia" w:asciiTheme="minorEastAsia" w:hAnsiTheme="minorEastAsia"/>
                <w:b w:val="0"/>
                <w:bCs w:val="0"/>
                <w:highlight w:val="none"/>
              </w:rPr>
              <w:t>升级为大满贯赛事后，上马的收入结构也会更加优化，由单一的赛事赞助收入转变为赛事赞助收入、电视转播版权收入、赛事周边产品销售收入。公司的赛事板块由上马、上艇、上帆，“三上“组成。上艇和上帆还在培育期。今年</w:t>
            </w:r>
            <w:r>
              <w:rPr>
                <w:rFonts w:hint="eastAsia" w:asciiTheme="minorEastAsia" w:hAnsiTheme="minorEastAsia"/>
                <w:b w:val="0"/>
                <w:bCs w:val="0"/>
                <w:highlight w:val="none"/>
                <w:lang w:val="en-US" w:eastAsia="zh-CN"/>
              </w:rPr>
              <w:t>5</w:t>
            </w:r>
            <w:r>
              <w:rPr>
                <w:rFonts w:hint="eastAsia" w:asciiTheme="minorEastAsia" w:hAnsiTheme="minorEastAsia"/>
                <w:b w:val="0"/>
                <w:bCs w:val="0"/>
                <w:highlight w:val="none"/>
              </w:rPr>
              <w:t>月承办巴黎奥运会的资格赛，10月承办的2024年世界泳联游泳世界杯（上海站）都为公司未来承办大型国际化体育赛事项目积累经验。此外，在股权层面上，公司也持开放态度，欢迎更多的国际化元素</w:t>
            </w:r>
            <w:r>
              <w:rPr>
                <w:rFonts w:hint="eastAsia" w:asciiTheme="minorEastAsia" w:hAnsiTheme="minorEastAsia"/>
                <w:b w:val="0"/>
                <w:bCs w:val="0"/>
                <w:highlight w:val="none"/>
                <w:lang w:eastAsia="zh-CN"/>
              </w:rPr>
              <w:t>加入</w:t>
            </w:r>
            <w:r>
              <w:rPr>
                <w:rFonts w:hint="eastAsia" w:asciiTheme="minorEastAsia" w:hAnsiTheme="minorEastAsia"/>
                <w:b w:val="0"/>
                <w:bCs w:val="0"/>
                <w:highlight w:val="none"/>
              </w:rPr>
              <w:t>，例如国际体育运营机构等加入到赛事公司。</w:t>
            </w:r>
          </w:p>
          <w:p w14:paraId="51EFDBC7">
            <w:pPr>
              <w:pStyle w:val="19"/>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360" w:lineRule="auto"/>
              <w:jc w:val="both"/>
              <w:textAlignment w:val="auto"/>
              <w:rPr>
                <w:rFonts w:hint="eastAsia" w:hAnsi="宋体"/>
                <w:b/>
                <w:highlight w:val="none"/>
              </w:rPr>
            </w:pPr>
            <w:r>
              <w:rPr>
                <w:rFonts w:hint="eastAsia" w:hAnsi="宋体"/>
                <w:b/>
                <w:bCs w:val="0"/>
                <w:highlight w:val="none"/>
                <w:lang w:val="en-US" w:eastAsia="zh-CN"/>
              </w:rPr>
              <w:t>3、</w:t>
            </w:r>
            <w:r>
              <w:rPr>
                <w:rFonts w:hint="eastAsia" w:hAnsi="宋体"/>
                <w:b/>
                <w:bCs w:val="0"/>
                <w:highlight w:val="none"/>
              </w:rPr>
              <w:t>公司对会展自</w:t>
            </w:r>
            <w:r>
              <w:rPr>
                <w:rFonts w:hint="eastAsia" w:hAnsi="宋体"/>
                <w:b/>
                <w:bCs w:val="0"/>
                <w:highlight w:val="none"/>
                <w:lang w:eastAsia="zh-CN"/>
              </w:rPr>
              <w:t>主</w:t>
            </w:r>
            <w:r>
              <w:rPr>
                <w:rFonts w:hint="eastAsia" w:hAnsi="宋体"/>
                <w:b/>
                <w:bCs w:val="0"/>
                <w:highlight w:val="none"/>
                <w:lang w:val="en-US" w:eastAsia="zh-CN"/>
              </w:rPr>
              <w:t>IP</w:t>
            </w:r>
            <w:r>
              <w:rPr>
                <w:rFonts w:hint="eastAsia" w:hAnsi="宋体"/>
                <w:b/>
                <w:bCs w:val="0"/>
                <w:highlight w:val="none"/>
              </w:rPr>
              <w:t>的培育有什么规划？之前兼并收购的会展</w:t>
            </w:r>
            <w:r>
              <w:rPr>
                <w:rFonts w:hint="eastAsia" w:hAnsi="宋体"/>
                <w:b/>
                <w:bCs w:val="0"/>
                <w:highlight w:val="none"/>
                <w:lang w:eastAsia="zh-CN"/>
              </w:rPr>
              <w:t>项目</w:t>
            </w:r>
            <w:r>
              <w:rPr>
                <w:rFonts w:hint="eastAsia" w:hAnsi="宋体"/>
                <w:b/>
                <w:bCs w:val="0"/>
                <w:highlight w:val="none"/>
              </w:rPr>
              <w:t>运营情况</w:t>
            </w:r>
            <w:r>
              <w:rPr>
                <w:rFonts w:hint="eastAsia" w:hAnsi="宋体"/>
                <w:b/>
                <w:bCs w:val="0"/>
                <w:highlight w:val="none"/>
                <w:lang w:eastAsia="zh-CN"/>
              </w:rPr>
              <w:t>如何</w:t>
            </w:r>
            <w:r>
              <w:rPr>
                <w:rFonts w:hint="eastAsia" w:hAnsi="宋体"/>
                <w:b/>
                <w:bCs w:val="0"/>
                <w:highlight w:val="none"/>
              </w:rPr>
              <w:t>，</w:t>
            </w:r>
            <w:r>
              <w:rPr>
                <w:rFonts w:hint="eastAsia" w:hAnsi="宋体"/>
                <w:b/>
                <w:bCs w:val="0"/>
                <w:highlight w:val="none"/>
                <w:lang w:eastAsia="zh-CN"/>
              </w:rPr>
              <w:t>公司未来在兼并收购方面如何考虑</w:t>
            </w:r>
            <w:r>
              <w:rPr>
                <w:rFonts w:hint="eastAsia" w:hAnsi="宋体"/>
                <w:b/>
                <w:highlight w:val="none"/>
              </w:rPr>
              <w:t>？</w:t>
            </w:r>
          </w:p>
          <w:p w14:paraId="70D7EDD1">
            <w:pPr>
              <w:pStyle w:val="19"/>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360" w:lineRule="auto"/>
              <w:jc w:val="both"/>
              <w:textAlignment w:val="auto"/>
              <w:rPr>
                <w:rFonts w:hint="eastAsia" w:hAnsi="宋体"/>
                <w:b/>
                <w:highlight w:val="none"/>
              </w:rPr>
            </w:pPr>
            <w:r>
              <w:rPr>
                <w:rFonts w:hint="eastAsia" w:hAnsi="宋体"/>
                <w:b/>
                <w:bCs w:val="0"/>
                <w:highlight w:val="none"/>
                <w:lang w:eastAsia="zh-CN"/>
              </w:rPr>
              <w:t>回答：</w:t>
            </w:r>
            <w:r>
              <w:rPr>
                <w:rFonts w:hint="eastAsia" w:hAnsi="宋体"/>
                <w:b w:val="0"/>
                <w:bCs/>
                <w:highlight w:val="none"/>
                <w:lang w:eastAsia="zh-CN"/>
              </w:rPr>
              <w:t>公司目前自主</w:t>
            </w:r>
            <w:r>
              <w:rPr>
                <w:rFonts w:hint="eastAsia" w:hAnsi="宋体"/>
                <w:b w:val="0"/>
                <w:bCs/>
                <w:highlight w:val="none"/>
                <w:lang w:val="en-US" w:eastAsia="zh-CN"/>
              </w:rPr>
              <w:t>IP</w:t>
            </w:r>
            <w:r>
              <w:rPr>
                <w:rFonts w:hint="eastAsia" w:hAnsi="宋体"/>
                <w:b w:val="0"/>
                <w:bCs/>
                <w:highlight w:val="none"/>
                <w:lang w:eastAsia="zh-CN"/>
              </w:rPr>
              <w:t>占比相对偏低，未来将通过内生增长、外延并购双轮驱动的方式逐步提升自主</w:t>
            </w:r>
            <w:r>
              <w:rPr>
                <w:rFonts w:hint="eastAsia" w:hAnsi="宋体"/>
                <w:b w:val="0"/>
                <w:bCs/>
                <w:highlight w:val="none"/>
                <w:lang w:val="en-US" w:eastAsia="zh-CN"/>
              </w:rPr>
              <w:t>IP</w:t>
            </w:r>
            <w:r>
              <w:rPr>
                <w:rFonts w:hint="eastAsia" w:hAnsi="宋体"/>
                <w:b w:val="0"/>
                <w:bCs/>
                <w:highlight w:val="none"/>
                <w:lang w:eastAsia="zh-CN"/>
              </w:rPr>
              <w:t>占比。公司会积极与同行或资源方开展合作，</w:t>
            </w:r>
            <w:r>
              <w:rPr>
                <w:rFonts w:hint="eastAsia" w:hAnsi="宋体"/>
                <w:bCs/>
                <w:highlight w:val="none"/>
              </w:rPr>
              <w:t>培育孵化新</w:t>
            </w:r>
            <w:r>
              <w:rPr>
                <w:rFonts w:hint="eastAsia" w:hAnsi="宋体"/>
                <w:bCs/>
                <w:highlight w:val="none"/>
                <w:lang w:eastAsia="zh-CN"/>
              </w:rPr>
              <w:t>项目开拓新领域，例如今年</w:t>
            </w:r>
            <w:r>
              <w:rPr>
                <w:rFonts w:hint="eastAsia" w:hAnsi="宋体"/>
                <w:bCs/>
                <w:highlight w:val="none"/>
              </w:rPr>
              <w:t>与博洛尼亚展览集团联合主办2024首届上海儿童健康展，为儿童健康产业发展注入新动力。</w:t>
            </w:r>
            <w:r>
              <w:rPr>
                <w:rFonts w:hint="eastAsia" w:hAnsi="宋体"/>
                <w:bCs/>
                <w:highlight w:val="none"/>
                <w:lang w:eastAsia="zh-CN"/>
              </w:rPr>
              <w:t>外延并购方面，</w:t>
            </w:r>
            <w:r>
              <w:rPr>
                <w:rFonts w:hint="eastAsia" w:hAnsi="宋体"/>
                <w:b w:val="0"/>
                <w:bCs/>
                <w:highlight w:val="none"/>
                <w:lang w:eastAsia="zh-CN"/>
              </w:rPr>
              <w:t>公司去年收购的它博会，前年收购的</w:t>
            </w:r>
            <w:r>
              <w:rPr>
                <w:rFonts w:hint="eastAsia" w:hAnsi="宋体"/>
                <w:b w:val="0"/>
                <w:bCs/>
                <w:highlight w:val="none"/>
                <w:lang w:val="en-US" w:eastAsia="zh-CN"/>
              </w:rPr>
              <w:t>CMM</w:t>
            </w:r>
            <w:r>
              <w:rPr>
                <w:rFonts w:hint="eastAsia" w:hAnsi="宋体"/>
                <w:b w:val="0"/>
                <w:bCs/>
                <w:highlight w:val="none"/>
                <w:lang w:eastAsia="zh-CN"/>
              </w:rPr>
              <w:t>电子制造展这两年运营情况符合公司预期。未来公司也会加大兼并收购力度，在高端制造领域、人工智能领域、大消费领域、体育赛事领域等加大投资。</w:t>
            </w:r>
          </w:p>
          <w:p w14:paraId="313748D4">
            <w:pPr>
              <w:pStyle w:val="19"/>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360" w:lineRule="auto"/>
              <w:jc w:val="both"/>
              <w:textAlignment w:val="auto"/>
              <w:rPr>
                <w:rFonts w:hint="eastAsia" w:hAnsi="宋体"/>
                <w:b/>
                <w:highlight w:val="none"/>
              </w:rPr>
            </w:pPr>
            <w:r>
              <w:rPr>
                <w:rFonts w:hint="eastAsia" w:hAnsi="宋体"/>
                <w:b/>
                <w:highlight w:val="none"/>
                <w:lang w:val="en-US" w:eastAsia="zh-CN"/>
              </w:rPr>
              <w:t>4、公司对于世界人工智能大会项目的发展有什么规划？</w:t>
            </w:r>
          </w:p>
          <w:p w14:paraId="6C87505F">
            <w:pPr>
              <w:pStyle w:val="19"/>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360" w:lineRule="auto"/>
              <w:jc w:val="both"/>
              <w:textAlignment w:val="auto"/>
              <w:rPr>
                <w:rFonts w:hint="eastAsia" w:hAnsi="宋体"/>
                <w:b w:val="0"/>
                <w:bCs/>
                <w:sz w:val="24"/>
                <w:szCs w:val="24"/>
                <w:highlight w:val="none"/>
                <w:lang w:val="en-US" w:eastAsia="zh-CN"/>
              </w:rPr>
            </w:pPr>
            <w:r>
              <w:rPr>
                <w:rFonts w:hint="eastAsia" w:hAnsi="宋体"/>
                <w:b/>
                <w:bCs w:val="0"/>
                <w:highlight w:val="none"/>
                <w:lang w:eastAsia="zh-CN"/>
              </w:rPr>
              <w:t>回答：</w:t>
            </w:r>
            <w:r>
              <w:rPr>
                <w:rFonts w:hint="eastAsia" w:hAnsi="宋体"/>
                <w:bCs/>
                <w:highlight w:val="none"/>
              </w:rPr>
              <w:t>为使世界人工智能大会（WAIC）项目能够进一步实现跨越式发展，拟成立</w:t>
            </w:r>
            <w:r>
              <w:rPr>
                <w:rFonts w:hint="eastAsia" w:hAnsi="宋体"/>
                <w:bCs/>
                <w:highlight w:val="none"/>
                <w:lang w:eastAsia="zh-CN"/>
              </w:rPr>
              <w:t>全资子</w:t>
            </w:r>
            <w:r>
              <w:rPr>
                <w:rFonts w:hint="eastAsia" w:hAnsi="宋体"/>
                <w:bCs/>
                <w:highlight w:val="none"/>
              </w:rPr>
              <w:t>公司，注册资本5000万元，将以“致力于成为全球领先的人工智能生态服务商”为发展愿景，以“全球人工智能生态链接者”为定位，以“一链两圈”的发展模式，即以会展全链条专业化运营为“一链”，以数字会展、海外会展打造“两圈”，实现专业化、数字化、国际化发展，打造具有全球影响力、以人工智能大会为核心的生态服务商。</w:t>
            </w:r>
          </w:p>
          <w:p w14:paraId="3A6DC069">
            <w:pPr>
              <w:pStyle w:val="19"/>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360" w:lineRule="auto"/>
              <w:jc w:val="both"/>
              <w:textAlignment w:val="auto"/>
              <w:rPr>
                <w:rFonts w:hint="eastAsia" w:hAnsi="宋体"/>
                <w:b/>
                <w:highlight w:val="none"/>
              </w:rPr>
            </w:pPr>
            <w:r>
              <w:rPr>
                <w:rFonts w:hint="eastAsia" w:hAnsi="宋体"/>
                <w:b/>
                <w:highlight w:val="none"/>
                <w:lang w:val="en-US" w:eastAsia="zh-CN"/>
              </w:rPr>
              <w:t>5、拟设立的</w:t>
            </w:r>
            <w:r>
              <w:rPr>
                <w:rFonts w:hint="eastAsia" w:hAnsi="宋体"/>
                <w:b/>
                <w:highlight w:val="none"/>
                <w:lang w:eastAsia="zh-CN"/>
              </w:rPr>
              <w:t>香港子公司功能定位是什么？</w:t>
            </w:r>
          </w:p>
          <w:p w14:paraId="5103934A">
            <w:pPr>
              <w:pStyle w:val="19"/>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360" w:lineRule="auto"/>
              <w:jc w:val="both"/>
              <w:textAlignment w:val="auto"/>
              <w:rPr>
                <w:rFonts w:hint="eastAsia" w:hAnsi="宋体"/>
                <w:b/>
                <w:highlight w:val="none"/>
                <w:lang w:eastAsia="zh-CN"/>
              </w:rPr>
            </w:pPr>
            <w:r>
              <w:rPr>
                <w:rFonts w:hint="eastAsia" w:hAnsi="宋体"/>
                <w:b/>
                <w:bCs w:val="0"/>
                <w:highlight w:val="none"/>
                <w:lang w:eastAsia="zh-CN"/>
              </w:rPr>
              <w:t>回答：</w:t>
            </w:r>
            <w:r>
              <w:rPr>
                <w:rFonts w:hint="eastAsia" w:hAnsi="宋体"/>
                <w:b w:val="0"/>
                <w:bCs/>
                <w:highlight w:val="none"/>
                <w:lang w:eastAsia="zh-CN"/>
              </w:rPr>
              <w:t>拟设立的</w:t>
            </w:r>
            <w:r>
              <w:rPr>
                <w:rFonts w:hint="eastAsia" w:hAnsi="宋体"/>
                <w:bCs/>
                <w:highlight w:val="none"/>
              </w:rPr>
              <w:t>香港全资子公司</w:t>
            </w:r>
            <w:r>
              <w:rPr>
                <w:rFonts w:hint="eastAsia" w:hAnsi="宋体"/>
                <w:bCs/>
                <w:highlight w:val="none"/>
                <w:lang w:eastAsia="zh-CN"/>
              </w:rPr>
              <w:t>将</w:t>
            </w:r>
            <w:r>
              <w:rPr>
                <w:rFonts w:hint="eastAsia" w:hAnsi="宋体"/>
                <w:bCs/>
                <w:highlight w:val="none"/>
              </w:rPr>
              <w:t>作为</w:t>
            </w:r>
            <w:r>
              <w:rPr>
                <w:rFonts w:hint="eastAsia" w:hAnsi="宋体"/>
                <w:bCs/>
                <w:highlight w:val="none"/>
                <w:lang w:eastAsia="zh-CN"/>
              </w:rPr>
              <w:t>公司</w:t>
            </w:r>
            <w:r>
              <w:rPr>
                <w:rFonts w:hint="eastAsia" w:hAnsi="宋体"/>
                <w:bCs/>
                <w:highlight w:val="none"/>
              </w:rPr>
              <w:t>境外业务支点，辐射东南亚、中东、南美等地区，推动海内外业务一体化发展，为全球会展业务布局定基础。</w:t>
            </w:r>
            <w:r>
              <w:rPr>
                <w:rFonts w:hint="eastAsia" w:hAnsi="宋体"/>
                <w:b w:val="0"/>
                <w:bCs/>
                <w:highlight w:val="none"/>
                <w:lang w:eastAsia="zh-CN"/>
              </w:rPr>
              <w:t>香港子公司将以“走出去，引进来”等方式，将国内优质项目带向海外，助力海外优质项目落地国内市场，并与海外头部会展公司共同孵化开发新的会展IP项目，积极拓展海外业务。进一步推进公司全球战略，加快拓展海外市场，提升专业性及竞争力，积极打造“世界知名,国内首选”的会展服务品牌。</w:t>
            </w:r>
          </w:p>
          <w:p w14:paraId="7A006140">
            <w:pPr>
              <w:pStyle w:val="19"/>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360" w:lineRule="auto"/>
              <w:jc w:val="both"/>
              <w:textAlignment w:val="auto"/>
              <w:rPr>
                <w:rFonts w:hint="eastAsia" w:hAnsi="宋体"/>
                <w:b/>
                <w:highlight w:val="none"/>
              </w:rPr>
            </w:pPr>
            <w:r>
              <w:rPr>
                <w:rFonts w:hint="eastAsia" w:hAnsi="宋体"/>
                <w:b/>
                <w:highlight w:val="none"/>
                <w:lang w:val="en-US" w:eastAsia="zh-CN"/>
              </w:rPr>
              <w:t>6、</w:t>
            </w:r>
            <w:r>
              <w:rPr>
                <w:rFonts w:hint="eastAsia" w:hAnsi="宋体"/>
                <w:b/>
                <w:highlight w:val="none"/>
                <w:lang w:eastAsia="zh-CN"/>
              </w:rPr>
              <w:t>请问公司国际化布局情况，今年国外展情况怎么样</w:t>
            </w:r>
            <w:r>
              <w:rPr>
                <w:rFonts w:hint="eastAsia" w:hAnsi="宋体"/>
                <w:b/>
                <w:highlight w:val="none"/>
              </w:rPr>
              <w:t>？</w:t>
            </w:r>
          </w:p>
          <w:p w14:paraId="025CCCAE">
            <w:pPr>
              <w:pStyle w:val="19"/>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360" w:lineRule="auto"/>
              <w:jc w:val="both"/>
              <w:textAlignment w:val="auto"/>
              <w:rPr>
                <w:rFonts w:hint="eastAsia" w:hAnsi="宋体"/>
                <w:b w:val="0"/>
                <w:bCs/>
                <w:highlight w:val="none"/>
              </w:rPr>
            </w:pPr>
            <w:r>
              <w:rPr>
                <w:rFonts w:hint="eastAsia" w:hAnsi="宋体"/>
                <w:b/>
                <w:bCs w:val="0"/>
                <w:highlight w:val="none"/>
                <w:lang w:eastAsia="zh-CN"/>
              </w:rPr>
              <w:t>回答：</w:t>
            </w:r>
            <w:r>
              <w:rPr>
                <w:rFonts w:hint="eastAsia" w:hAnsi="宋体"/>
                <w:b w:val="0"/>
                <w:bCs/>
                <w:highlight w:val="none"/>
                <w:lang w:eastAsia="zh-CN"/>
              </w:rPr>
              <w:t>公司在业务及股权层面都会进行积极的国际化探索，结合企业需求，公司各项目会助力企业进行出海尝试，例如：广印展、工博会、世界人工智能大会带领企业开拓了</w:t>
            </w:r>
            <w:r>
              <w:rPr>
                <w:rFonts w:hint="eastAsia" w:hAnsi="宋体"/>
                <w:bCs/>
                <w:highlight w:val="none"/>
              </w:rPr>
              <w:t>厄瓜多尔</w:t>
            </w:r>
            <w:r>
              <w:rPr>
                <w:rFonts w:hint="eastAsia" w:hAnsi="宋体"/>
                <w:bCs/>
                <w:highlight w:val="none"/>
                <w:lang w:eastAsia="zh-CN"/>
              </w:rPr>
              <w:t>、</w:t>
            </w:r>
            <w:r>
              <w:rPr>
                <w:rFonts w:hint="eastAsia" w:hAnsi="宋体"/>
                <w:bCs/>
                <w:highlight w:val="none"/>
              </w:rPr>
              <w:t>新加坡</w:t>
            </w:r>
            <w:r>
              <w:rPr>
                <w:rFonts w:hint="eastAsia" w:hAnsi="宋体"/>
                <w:bCs/>
                <w:highlight w:val="none"/>
                <w:lang w:eastAsia="zh-CN"/>
              </w:rPr>
              <w:t>等市场。股权方面公司也持开放态度，积极</w:t>
            </w:r>
            <w:r>
              <w:rPr>
                <w:rFonts w:hint="eastAsia" w:hAnsi="宋体"/>
                <w:bCs/>
                <w:highlight w:val="none"/>
              </w:rPr>
              <w:t>引入国际化战略投资者</w:t>
            </w:r>
            <w:r>
              <w:rPr>
                <w:rFonts w:hint="eastAsia" w:hAnsi="宋体"/>
                <w:bCs/>
                <w:highlight w:val="none"/>
                <w:lang w:eastAsia="zh-CN"/>
              </w:rPr>
              <w:t>，</w:t>
            </w:r>
            <w:r>
              <w:rPr>
                <w:rFonts w:hint="eastAsia" w:hAnsi="宋体"/>
                <w:bCs/>
                <w:highlight w:val="none"/>
              </w:rPr>
              <w:t>引入国际资本或者同行。</w:t>
            </w:r>
          </w:p>
          <w:p w14:paraId="0DA099F4">
            <w:pPr>
              <w:pStyle w:val="19"/>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360" w:lineRule="auto"/>
              <w:jc w:val="both"/>
              <w:textAlignment w:val="auto"/>
              <w:rPr>
                <w:rFonts w:hint="eastAsia" w:hAnsi="宋体"/>
                <w:b/>
                <w:highlight w:val="none"/>
              </w:rPr>
            </w:pPr>
            <w:r>
              <w:rPr>
                <w:rFonts w:hint="eastAsia" w:hAnsi="宋体"/>
                <w:b/>
                <w:highlight w:val="none"/>
                <w:lang w:val="en-US" w:eastAsia="zh-CN"/>
              </w:rPr>
              <w:t>7、请问公司</w:t>
            </w:r>
            <w:r>
              <w:rPr>
                <w:rFonts w:hint="eastAsia" w:hAnsi="宋体"/>
                <w:b/>
                <w:highlight w:val="none"/>
                <w:lang w:eastAsia="zh-CN"/>
              </w:rPr>
              <w:t>分红情况如何</w:t>
            </w:r>
            <w:r>
              <w:rPr>
                <w:rFonts w:hint="eastAsia" w:hAnsi="宋体"/>
                <w:b/>
                <w:highlight w:val="none"/>
              </w:rPr>
              <w:t>？</w:t>
            </w:r>
          </w:p>
          <w:p w14:paraId="0CE800D2">
            <w:pPr>
              <w:pStyle w:val="19"/>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360" w:lineRule="auto"/>
              <w:jc w:val="both"/>
              <w:textAlignment w:val="auto"/>
              <w:rPr>
                <w:rFonts w:hint="eastAsia" w:hAnsi="宋体"/>
                <w:b/>
                <w:highlight w:val="none"/>
              </w:rPr>
            </w:pPr>
            <w:r>
              <w:rPr>
                <w:rFonts w:hint="eastAsia" w:hAnsi="宋体"/>
                <w:b/>
                <w:bCs w:val="0"/>
                <w:highlight w:val="none"/>
                <w:lang w:eastAsia="zh-CN"/>
              </w:rPr>
              <w:t>回答：</w:t>
            </w:r>
            <w:r>
              <w:rPr>
                <w:rFonts w:hint="eastAsia" w:hAnsi="宋体"/>
                <w:b w:val="0"/>
                <w:bCs/>
                <w:highlight w:val="none"/>
                <w:lang w:eastAsia="zh-CN"/>
              </w:rPr>
              <w:t>公司注重投资者回报，连续四年现金分红比例超50%。2023年度利润分配方案为每股派发现金红利0.28元（含税），派发现金分红总额为1.45亿元，并以资本公积转增股本方式向全体股东每股转增0.4股。2024年，公司积极响应政策指引，优化分红政策增加现金分红频次切实回报投资者，2024年度中期利润分配方案为每股派发现金红利人民币0.06元（含税），现金分红占比达上半年归母净利润的52.86%。</w:t>
            </w:r>
          </w:p>
          <w:p w14:paraId="00BF69E4">
            <w:pPr>
              <w:pStyle w:val="19"/>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360" w:lineRule="auto"/>
              <w:jc w:val="both"/>
              <w:textAlignment w:val="auto"/>
              <w:rPr>
                <w:rFonts w:hint="eastAsia" w:hAnsi="宋体"/>
                <w:b/>
                <w:highlight w:val="none"/>
              </w:rPr>
            </w:pPr>
            <w:r>
              <w:rPr>
                <w:rFonts w:hint="eastAsia" w:hAnsi="宋体"/>
                <w:b/>
                <w:highlight w:val="none"/>
                <w:lang w:val="en-US" w:eastAsia="zh-CN"/>
              </w:rPr>
              <w:t>8、</w:t>
            </w:r>
            <w:r>
              <w:rPr>
                <w:rFonts w:hint="eastAsia" w:hAnsi="宋体"/>
                <w:b/>
                <w:highlight w:val="none"/>
              </w:rPr>
              <w:t>市值管理方面是否</w:t>
            </w:r>
            <w:r>
              <w:rPr>
                <w:rFonts w:hint="eastAsia" w:hAnsi="宋体"/>
                <w:b/>
                <w:highlight w:val="none"/>
                <w:lang w:eastAsia="zh-CN"/>
              </w:rPr>
              <w:t>有相关</w:t>
            </w:r>
            <w:r>
              <w:rPr>
                <w:rFonts w:hint="eastAsia" w:hAnsi="宋体"/>
                <w:b/>
                <w:highlight w:val="none"/>
              </w:rPr>
              <w:t>考核要求或者规划？</w:t>
            </w:r>
          </w:p>
          <w:p w14:paraId="6F217087">
            <w:pPr>
              <w:pStyle w:val="19"/>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360" w:lineRule="auto"/>
              <w:jc w:val="both"/>
              <w:textAlignment w:val="auto"/>
              <w:rPr>
                <w:rFonts w:hint="eastAsia" w:hAnsi="宋体"/>
                <w:bCs/>
                <w:highlight w:val="none"/>
              </w:rPr>
            </w:pPr>
            <w:r>
              <w:rPr>
                <w:rFonts w:hint="eastAsia" w:hAnsi="宋体"/>
                <w:b/>
                <w:bCs w:val="0"/>
                <w:highlight w:val="none"/>
                <w:lang w:eastAsia="zh-CN"/>
              </w:rPr>
              <w:t>回答：</w:t>
            </w:r>
            <w:r>
              <w:rPr>
                <w:rFonts w:hint="eastAsia" w:hAnsi="宋体"/>
                <w:b w:val="0"/>
                <w:bCs/>
                <w:highlight w:val="none"/>
                <w:lang w:eastAsia="zh-CN"/>
              </w:rPr>
              <w:t>公司重视市值管理这项系统性工作，在夯实主业的同时也注重加强投关力度以及</w:t>
            </w:r>
            <w:r>
              <w:rPr>
                <w:rFonts w:hint="eastAsia" w:hAnsi="宋体"/>
                <w:bCs/>
                <w:highlight w:val="none"/>
              </w:rPr>
              <w:t>提升公司治理效能</w:t>
            </w:r>
            <w:r>
              <w:rPr>
                <w:rFonts w:hint="eastAsia" w:hAnsi="宋体"/>
                <w:b w:val="0"/>
                <w:bCs/>
                <w:highlight w:val="none"/>
                <w:lang w:eastAsia="zh-CN"/>
              </w:rPr>
              <w:t>，积极向市场传递公司价值。公司</w:t>
            </w:r>
            <w:r>
              <w:rPr>
                <w:rFonts w:hint="eastAsia" w:hAnsi="宋体"/>
                <w:bCs/>
                <w:highlight w:val="none"/>
              </w:rPr>
              <w:t>围绕“会展中国”、“数字会展”两大战略，聚焦人工智能、高端装备、文体商旅三大赛道，深耕各板块主营业务，全方位、多维度打造“世界知名、国内首选的”会展服务品牌。</w:t>
            </w:r>
          </w:p>
          <w:p w14:paraId="136BB34C">
            <w:pPr>
              <w:pStyle w:val="19"/>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eastAsia" w:hAnsi="宋体"/>
                <w:bCs/>
                <w:highlight w:val="none"/>
              </w:rPr>
            </w:pPr>
            <w:r>
              <w:rPr>
                <w:rFonts w:hint="eastAsia" w:hAnsi="宋体"/>
                <w:bCs/>
                <w:highlight w:val="none"/>
              </w:rPr>
              <w:t>秉持“请进来，走出去”的态度，</w:t>
            </w:r>
            <w:r>
              <w:rPr>
                <w:rFonts w:hint="eastAsia" w:hAnsi="宋体"/>
                <w:bCs/>
                <w:highlight w:val="none"/>
                <w:lang w:eastAsia="zh-CN"/>
              </w:rPr>
              <w:t>公司</w:t>
            </w:r>
            <w:r>
              <w:rPr>
                <w:rFonts w:hint="eastAsia" w:hAnsi="宋体"/>
                <w:bCs/>
                <w:highlight w:val="none"/>
              </w:rPr>
              <w:t>结合业务特性积极开展具有东浩兰生会展集团特色的创新投关活动</w:t>
            </w:r>
            <w:r>
              <w:rPr>
                <w:rFonts w:hint="eastAsia" w:hAnsi="宋体"/>
                <w:bCs/>
                <w:highlight w:val="none"/>
                <w:lang w:eastAsia="zh-CN"/>
              </w:rPr>
              <w:t>，</w:t>
            </w:r>
            <w:r>
              <w:rPr>
                <w:rFonts w:hint="eastAsia" w:hAnsi="宋体"/>
                <w:bCs/>
                <w:highlight w:val="none"/>
              </w:rPr>
              <w:t>充分发挥资源优势丰富调研内容和形式，邀请投资者通过观展、观赛的方式实地调研公司业务。公司将提升企业内控水平作为完善治理的重要抓手，规范运作紧贴政策前沿，持续优化内控制度建设。</w:t>
            </w:r>
          </w:p>
          <w:p w14:paraId="4A952DA7">
            <w:pPr>
              <w:pStyle w:val="19"/>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eastAsia" w:hAnsi="宋体"/>
                <w:b/>
                <w:highlight w:val="none"/>
              </w:rPr>
            </w:pPr>
            <w:r>
              <w:rPr>
                <w:rFonts w:hint="eastAsia" w:hAnsi="宋体"/>
                <w:bCs/>
                <w:highlight w:val="none"/>
              </w:rPr>
              <w:t>2024年，为了适应公司战略与可持续发展需要，公司启动了ESG体系建设，搭建董事会战略及ESG委员会领导下的多层组织架构，重点关注公司治理、绿色展馆、绿色搭建、社会公益等多个领域</w:t>
            </w:r>
            <w:r>
              <w:rPr>
                <w:rFonts w:hint="eastAsia" w:hAnsi="宋体"/>
                <w:bCs/>
                <w:highlight w:val="none"/>
                <w:lang w:eastAsia="zh-CN"/>
              </w:rPr>
              <w:t>，</w:t>
            </w:r>
            <w:r>
              <w:rPr>
                <w:rFonts w:hint="eastAsia" w:hAnsi="宋体"/>
                <w:bCs/>
                <w:highlight w:val="none"/>
              </w:rPr>
              <w:t>相关配套制度均</w:t>
            </w:r>
            <w:r>
              <w:rPr>
                <w:rFonts w:hint="eastAsia" w:hAnsi="宋体"/>
                <w:bCs/>
                <w:highlight w:val="none"/>
                <w:lang w:eastAsia="zh-CN"/>
              </w:rPr>
              <w:t>同步进行调整，</w:t>
            </w:r>
            <w:r>
              <w:rPr>
                <w:rFonts w:hint="eastAsia" w:hAnsi="宋体"/>
                <w:bCs/>
                <w:highlight w:val="none"/>
              </w:rPr>
              <w:t>将ESG理念融入公司发展脉络，推动公司进一步夯实可持续发展的“硬准则”。</w:t>
            </w:r>
          </w:p>
          <w:p w14:paraId="06B0CD81">
            <w:pPr>
              <w:pStyle w:val="19"/>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360" w:lineRule="auto"/>
              <w:jc w:val="both"/>
              <w:textAlignment w:val="auto"/>
              <w:rPr>
                <w:rFonts w:hint="eastAsia" w:hAnsi="宋体"/>
                <w:b/>
                <w:bCs w:val="0"/>
                <w:highlight w:val="none"/>
                <w:lang w:eastAsia="zh-CN"/>
              </w:rPr>
            </w:pPr>
            <w:r>
              <w:rPr>
                <w:rFonts w:hint="eastAsia" w:hAnsi="宋体"/>
                <w:b/>
                <w:highlight w:val="none"/>
                <w:lang w:val="en-US" w:eastAsia="zh-CN"/>
              </w:rPr>
              <w:t>9、</w:t>
            </w:r>
            <w:r>
              <w:rPr>
                <w:rFonts w:hint="eastAsia" w:hAnsi="宋体"/>
                <w:b/>
                <w:bCs w:val="0"/>
                <w:highlight w:val="none"/>
              </w:rPr>
              <w:t>公司目前在股权激励方面如何考虑？</w:t>
            </w:r>
          </w:p>
          <w:p w14:paraId="22C0B097">
            <w:pPr>
              <w:pStyle w:val="19"/>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360" w:lineRule="auto"/>
              <w:jc w:val="both"/>
              <w:textAlignment w:val="auto"/>
              <w:rPr>
                <w:rFonts w:ascii="宋体" w:hAnsi="宋体" w:eastAsia="宋体" w:cs="宋体"/>
                <w:sz w:val="24"/>
                <w:szCs w:val="24"/>
              </w:rPr>
            </w:pPr>
            <w:r>
              <w:rPr>
                <w:rFonts w:hint="eastAsia" w:hAnsi="宋体"/>
                <w:b/>
                <w:bCs w:val="0"/>
                <w:highlight w:val="none"/>
                <w:lang w:eastAsia="zh-CN"/>
              </w:rPr>
              <w:t>回答：</w:t>
            </w:r>
            <w:r>
              <w:rPr>
                <w:rFonts w:ascii="宋体" w:hAnsi="宋体" w:eastAsia="宋体" w:cs="宋体"/>
                <w:sz w:val="24"/>
                <w:szCs w:val="24"/>
              </w:rPr>
              <w:t>公司曾于2021年推出过股权激励，但当时的外部环境相对较为严峻，公司综合考量后认为不适宜继续推进，便于2022年暂时终止了股权激励。公司会积极探索更有针对性的激励方案来激发团队活力。</w:t>
            </w:r>
          </w:p>
          <w:p w14:paraId="293D8530">
            <w:pPr>
              <w:pStyle w:val="19"/>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360" w:lineRule="auto"/>
              <w:jc w:val="both"/>
              <w:textAlignment w:val="auto"/>
              <w:rPr>
                <w:rFonts w:hint="eastAsia" w:hAnsi="宋体"/>
                <w:b/>
                <w:bCs w:val="0"/>
                <w:highlight w:val="none"/>
                <w:lang w:eastAsia="zh-CN"/>
              </w:rPr>
            </w:pPr>
            <w:r>
              <w:rPr>
                <w:rFonts w:hint="eastAsia" w:hAnsi="宋体"/>
                <w:b/>
                <w:bCs w:val="0"/>
                <w:highlight w:val="none"/>
                <w:lang w:val="en-US" w:eastAsia="zh-CN"/>
              </w:rPr>
              <w:t>10、</w:t>
            </w:r>
            <w:r>
              <w:rPr>
                <w:rFonts w:hint="eastAsia" w:hAnsi="宋体"/>
                <w:b/>
                <w:highlight w:val="none"/>
              </w:rPr>
              <w:t>AR</w:t>
            </w:r>
            <w:r>
              <w:rPr>
                <w:rFonts w:hint="eastAsia" w:hAnsi="宋体"/>
                <w:b/>
                <w:highlight w:val="none"/>
                <w:lang w:eastAsia="zh-CN"/>
              </w:rPr>
              <w:t>、</w:t>
            </w:r>
            <w:r>
              <w:rPr>
                <w:rFonts w:hint="eastAsia" w:hAnsi="宋体"/>
                <w:b/>
                <w:highlight w:val="none"/>
              </w:rPr>
              <w:t>VR</w:t>
            </w:r>
            <w:r>
              <w:rPr>
                <w:rFonts w:hint="eastAsia" w:hAnsi="宋体"/>
                <w:b/>
                <w:highlight w:val="none"/>
                <w:lang w:eastAsia="zh-CN"/>
              </w:rPr>
              <w:t>等技术的兴起是否</w:t>
            </w:r>
            <w:r>
              <w:rPr>
                <w:rFonts w:hint="eastAsia" w:hAnsi="宋体"/>
                <w:b/>
                <w:highlight w:val="none"/>
              </w:rPr>
              <w:t>会对实体展会</w:t>
            </w:r>
            <w:r>
              <w:rPr>
                <w:rFonts w:hint="eastAsia" w:hAnsi="宋体"/>
                <w:b/>
                <w:highlight w:val="none"/>
                <w:lang w:eastAsia="zh-CN"/>
              </w:rPr>
              <w:t>带来</w:t>
            </w:r>
            <w:r>
              <w:rPr>
                <w:rFonts w:hint="eastAsia" w:hAnsi="宋体"/>
                <w:b/>
                <w:highlight w:val="none"/>
              </w:rPr>
              <w:t>冲击</w:t>
            </w:r>
            <w:r>
              <w:rPr>
                <w:rFonts w:hint="eastAsia" w:hAnsi="宋体"/>
                <w:b/>
                <w:bCs w:val="0"/>
                <w:highlight w:val="none"/>
              </w:rPr>
              <w:t>？</w:t>
            </w:r>
          </w:p>
          <w:p w14:paraId="252716E5">
            <w:pPr>
              <w:pStyle w:val="19"/>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360" w:lineRule="auto"/>
              <w:jc w:val="both"/>
              <w:textAlignment w:val="auto"/>
              <w:rPr>
                <w:rFonts w:asciiTheme="minorEastAsia" w:hAnsiTheme="minorEastAsia" w:eastAsiaTheme="minorEastAsia"/>
                <w:sz w:val="24"/>
                <w:szCs w:val="24"/>
              </w:rPr>
            </w:pPr>
            <w:r>
              <w:rPr>
                <w:rFonts w:hint="eastAsia" w:hAnsi="宋体"/>
                <w:b/>
                <w:bCs w:val="0"/>
                <w:highlight w:val="none"/>
                <w:lang w:eastAsia="zh-CN"/>
              </w:rPr>
              <w:t>回答：</w:t>
            </w:r>
            <w:r>
              <w:rPr>
                <w:rFonts w:hint="eastAsia"/>
                <w:lang w:val="en-US" w:eastAsia="zh-CN"/>
              </w:rPr>
              <w:t>从目前现状来看，实体展会所创造的场景在短期内无法被线上完全替代，而且公司积极探索数字化转型，业务线上线下双轮驱动，利用新技术赋能更优的客户体验，例如工博会有</w:t>
            </w:r>
            <w:r>
              <w:rPr>
                <w:rFonts w:hint="eastAsia"/>
              </w:rPr>
              <w:t>“数字工博”平台，致力于打造全网最全面的“工业人的朋友圈”，工业人提供一个交流、学习、创新应用的“工业圈子”</w:t>
            </w:r>
            <w:r>
              <w:rPr>
                <w:rFonts w:hint="eastAsia"/>
                <w:lang w:eastAsia="zh-CN"/>
              </w:rPr>
              <w:t>；世界人工智能大会有</w:t>
            </w:r>
            <w:r>
              <w:rPr>
                <w:rFonts w:hint="eastAsia"/>
              </w:rPr>
              <w:t>WAIC 数字化平台，</w:t>
            </w:r>
            <w:r>
              <w:rPr>
                <w:rFonts w:hint="eastAsia"/>
                <w:lang w:eastAsia="zh-CN"/>
              </w:rPr>
              <w:t>以</w:t>
            </w:r>
            <w:r>
              <w:rPr>
                <w:rFonts w:hint="eastAsia"/>
              </w:rPr>
              <w:t>数字化服务实现供需智能化精准匹配</w:t>
            </w:r>
            <w:r>
              <w:rPr>
                <w:rFonts w:hint="eastAsia"/>
                <w:lang w:eastAsia="zh-CN"/>
              </w:rPr>
              <w:t>；运营的</w:t>
            </w:r>
            <w:r>
              <w:rPr>
                <w:rFonts w:hint="eastAsia"/>
              </w:rPr>
              <w:t>上海世博展览馆</w:t>
            </w:r>
            <w:r>
              <w:rPr>
                <w:rFonts w:hint="eastAsia"/>
                <w:lang w:eastAsia="zh-CN"/>
              </w:rPr>
              <w:t>也进行了</w:t>
            </w:r>
            <w:r>
              <w:rPr>
                <w:rFonts w:hint="eastAsia"/>
              </w:rPr>
              <w:t>智慧化改造，目前已实现建筑管理数字化提升运营效率。</w:t>
            </w:r>
          </w:p>
        </w:tc>
      </w:tr>
      <w:tr w14:paraId="462B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14:paraId="0360A5AB">
            <w:pPr>
              <w:adjustRightInd w:val="0"/>
              <w:snapToGrid w:val="0"/>
              <w:spacing w:line="360" w:lineRule="auto"/>
              <w:rPr>
                <w:rFonts w:asciiTheme="minorEastAsia" w:hAnsiTheme="minorEastAsia" w:eastAsiaTheme="minorEastAsia"/>
                <w:bCs/>
                <w:iCs/>
                <w:color w:val="000000"/>
                <w:sz w:val="24"/>
                <w:szCs w:val="24"/>
              </w:rPr>
            </w:pPr>
            <w:r>
              <w:rPr>
                <w:rFonts w:hint="eastAsia" w:asciiTheme="minorEastAsia" w:hAnsiTheme="minorEastAsia" w:eastAsiaTheme="minorEastAsia"/>
                <w:bCs/>
                <w:iCs/>
                <w:color w:val="000000"/>
                <w:sz w:val="24"/>
                <w:szCs w:val="24"/>
              </w:rPr>
              <w:t>关于本次活动是否涉及应披露重大信息的说明</w:t>
            </w:r>
          </w:p>
        </w:tc>
        <w:tc>
          <w:tcPr>
            <w:tcW w:w="7377" w:type="dxa"/>
            <w:tcBorders>
              <w:top w:val="single" w:color="auto" w:sz="4" w:space="0"/>
              <w:left w:val="single" w:color="auto" w:sz="4" w:space="0"/>
              <w:bottom w:val="single" w:color="auto" w:sz="4" w:space="0"/>
              <w:right w:val="single" w:color="auto" w:sz="4" w:space="0"/>
            </w:tcBorders>
            <w:shd w:val="clear" w:color="auto" w:fill="auto"/>
            <w:vAlign w:val="center"/>
          </w:tcPr>
          <w:p w14:paraId="2DC05289">
            <w:pPr>
              <w:adjustRightInd w:val="0"/>
              <w:snapToGrid w:val="0"/>
              <w:spacing w:line="360" w:lineRule="auto"/>
              <w:rPr>
                <w:rFonts w:asciiTheme="minorEastAsia" w:hAnsiTheme="minorEastAsia" w:eastAsiaTheme="minorEastAsia"/>
                <w:bCs/>
                <w:iCs/>
                <w:color w:val="000000"/>
                <w:sz w:val="24"/>
                <w:szCs w:val="24"/>
              </w:rPr>
            </w:pPr>
            <w:r>
              <w:rPr>
                <w:rFonts w:hint="eastAsia" w:asciiTheme="minorEastAsia" w:hAnsiTheme="minorEastAsia" w:eastAsiaTheme="minorEastAsia"/>
                <w:sz w:val="24"/>
                <w:szCs w:val="24"/>
                <w:lang w:eastAsia="zh-CN"/>
              </w:rPr>
              <w:t>交流</w:t>
            </w:r>
            <w:r>
              <w:rPr>
                <w:rFonts w:hint="eastAsia" w:asciiTheme="minorEastAsia" w:hAnsiTheme="minorEastAsia" w:eastAsiaTheme="minorEastAsia"/>
                <w:sz w:val="24"/>
                <w:szCs w:val="24"/>
              </w:rPr>
              <w:t>过程中，公司严格按照有关制度要求，没有出现未公开重大信息泄露等情况。</w:t>
            </w:r>
          </w:p>
        </w:tc>
      </w:tr>
    </w:tbl>
    <w:p w14:paraId="7E0C2EFC">
      <w:pPr>
        <w:spacing w:line="560" w:lineRule="exact"/>
        <w:rPr>
          <w:rFonts w:ascii="仿宋" w:hAnsi="仿宋" w:eastAsia="仿宋"/>
          <w:color w:val="00000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8FDB0">
    <w:pPr>
      <w:pStyle w:val="4"/>
      <w:jc w:val="center"/>
    </w:pPr>
  </w:p>
  <w:p w14:paraId="18B93EBA">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NGJiMWVmZTg4ZjFhYWZhYWFiMzBkODkwYWRkZmUifQ=="/>
  </w:docVars>
  <w:rsids>
    <w:rsidRoot w:val="00534EC7"/>
    <w:rsid w:val="00000760"/>
    <w:rsid w:val="00017330"/>
    <w:rsid w:val="00020FEE"/>
    <w:rsid w:val="00021249"/>
    <w:rsid w:val="000217CC"/>
    <w:rsid w:val="00036C31"/>
    <w:rsid w:val="00040B0B"/>
    <w:rsid w:val="00047460"/>
    <w:rsid w:val="000534FF"/>
    <w:rsid w:val="0005646B"/>
    <w:rsid w:val="000570DC"/>
    <w:rsid w:val="00061133"/>
    <w:rsid w:val="00071393"/>
    <w:rsid w:val="000850E0"/>
    <w:rsid w:val="00090D31"/>
    <w:rsid w:val="0009135D"/>
    <w:rsid w:val="00096403"/>
    <w:rsid w:val="000B616A"/>
    <w:rsid w:val="000B6D71"/>
    <w:rsid w:val="000C0420"/>
    <w:rsid w:val="000C19BA"/>
    <w:rsid w:val="000C4C0C"/>
    <w:rsid w:val="000C52C5"/>
    <w:rsid w:val="000D6EEC"/>
    <w:rsid w:val="000E016E"/>
    <w:rsid w:val="000E03EE"/>
    <w:rsid w:val="000E41FD"/>
    <w:rsid w:val="000E46D1"/>
    <w:rsid w:val="000F3C01"/>
    <w:rsid w:val="00101B6B"/>
    <w:rsid w:val="00101E58"/>
    <w:rsid w:val="001038FD"/>
    <w:rsid w:val="001049D8"/>
    <w:rsid w:val="001224BC"/>
    <w:rsid w:val="00130FB3"/>
    <w:rsid w:val="00133DB5"/>
    <w:rsid w:val="00151D20"/>
    <w:rsid w:val="00155339"/>
    <w:rsid w:val="00157EA2"/>
    <w:rsid w:val="0016222E"/>
    <w:rsid w:val="001641E0"/>
    <w:rsid w:val="00172591"/>
    <w:rsid w:val="00177A98"/>
    <w:rsid w:val="001877B1"/>
    <w:rsid w:val="001D0D0B"/>
    <w:rsid w:val="001E4AF9"/>
    <w:rsid w:val="001F4C14"/>
    <w:rsid w:val="0020392E"/>
    <w:rsid w:val="002339BD"/>
    <w:rsid w:val="002350AC"/>
    <w:rsid w:val="00253294"/>
    <w:rsid w:val="00264E51"/>
    <w:rsid w:val="0029551D"/>
    <w:rsid w:val="00296064"/>
    <w:rsid w:val="00297CCB"/>
    <w:rsid w:val="002C1BE8"/>
    <w:rsid w:val="002C296A"/>
    <w:rsid w:val="002C5F88"/>
    <w:rsid w:val="002D0E08"/>
    <w:rsid w:val="002F2C8D"/>
    <w:rsid w:val="002F2D8C"/>
    <w:rsid w:val="002F4F0B"/>
    <w:rsid w:val="0030167B"/>
    <w:rsid w:val="00310141"/>
    <w:rsid w:val="00320369"/>
    <w:rsid w:val="00322DBA"/>
    <w:rsid w:val="00340453"/>
    <w:rsid w:val="003464F5"/>
    <w:rsid w:val="00347C77"/>
    <w:rsid w:val="00352BCB"/>
    <w:rsid w:val="00376505"/>
    <w:rsid w:val="00376B2F"/>
    <w:rsid w:val="00381E11"/>
    <w:rsid w:val="00385F13"/>
    <w:rsid w:val="00392FE0"/>
    <w:rsid w:val="003A53BB"/>
    <w:rsid w:val="003B0604"/>
    <w:rsid w:val="003B11B2"/>
    <w:rsid w:val="003B11C4"/>
    <w:rsid w:val="003B6D9E"/>
    <w:rsid w:val="003C5681"/>
    <w:rsid w:val="003D0493"/>
    <w:rsid w:val="003D3AF0"/>
    <w:rsid w:val="003D6140"/>
    <w:rsid w:val="003D715F"/>
    <w:rsid w:val="003F0D3D"/>
    <w:rsid w:val="003F1393"/>
    <w:rsid w:val="003F7368"/>
    <w:rsid w:val="003F7511"/>
    <w:rsid w:val="0040048E"/>
    <w:rsid w:val="004026EF"/>
    <w:rsid w:val="00404B8E"/>
    <w:rsid w:val="00404D87"/>
    <w:rsid w:val="00406DCD"/>
    <w:rsid w:val="004146FA"/>
    <w:rsid w:val="0042526C"/>
    <w:rsid w:val="0043137E"/>
    <w:rsid w:val="00436D53"/>
    <w:rsid w:val="00450949"/>
    <w:rsid w:val="00454C50"/>
    <w:rsid w:val="004641D2"/>
    <w:rsid w:val="00465195"/>
    <w:rsid w:val="0046708E"/>
    <w:rsid w:val="00474BFE"/>
    <w:rsid w:val="004758C4"/>
    <w:rsid w:val="004820FB"/>
    <w:rsid w:val="004845FF"/>
    <w:rsid w:val="004951B3"/>
    <w:rsid w:val="004952AC"/>
    <w:rsid w:val="004A2F83"/>
    <w:rsid w:val="004B1627"/>
    <w:rsid w:val="004B1C85"/>
    <w:rsid w:val="004B3739"/>
    <w:rsid w:val="004C12E4"/>
    <w:rsid w:val="004D5D8B"/>
    <w:rsid w:val="004F7080"/>
    <w:rsid w:val="005006EF"/>
    <w:rsid w:val="0050072E"/>
    <w:rsid w:val="0050536A"/>
    <w:rsid w:val="005107BE"/>
    <w:rsid w:val="00511D07"/>
    <w:rsid w:val="005307C1"/>
    <w:rsid w:val="00534EC7"/>
    <w:rsid w:val="00585797"/>
    <w:rsid w:val="00590E90"/>
    <w:rsid w:val="00591585"/>
    <w:rsid w:val="00593BFF"/>
    <w:rsid w:val="00594F2B"/>
    <w:rsid w:val="00595098"/>
    <w:rsid w:val="005B60A9"/>
    <w:rsid w:val="005B71F1"/>
    <w:rsid w:val="005C3518"/>
    <w:rsid w:val="005D5F2D"/>
    <w:rsid w:val="005E236E"/>
    <w:rsid w:val="005E4E09"/>
    <w:rsid w:val="005F15A9"/>
    <w:rsid w:val="005F229B"/>
    <w:rsid w:val="0060389B"/>
    <w:rsid w:val="00612FEE"/>
    <w:rsid w:val="00614381"/>
    <w:rsid w:val="006317A3"/>
    <w:rsid w:val="00643070"/>
    <w:rsid w:val="0064406A"/>
    <w:rsid w:val="006444E7"/>
    <w:rsid w:val="00651303"/>
    <w:rsid w:val="006529B5"/>
    <w:rsid w:val="00653185"/>
    <w:rsid w:val="00655CFE"/>
    <w:rsid w:val="00664B9B"/>
    <w:rsid w:val="00672FE9"/>
    <w:rsid w:val="00681B40"/>
    <w:rsid w:val="00696AAE"/>
    <w:rsid w:val="00697323"/>
    <w:rsid w:val="0069776F"/>
    <w:rsid w:val="006B3ABB"/>
    <w:rsid w:val="006B4337"/>
    <w:rsid w:val="006B78C9"/>
    <w:rsid w:val="006C2A3C"/>
    <w:rsid w:val="006C7957"/>
    <w:rsid w:val="006C7D25"/>
    <w:rsid w:val="006D3B78"/>
    <w:rsid w:val="006D5C12"/>
    <w:rsid w:val="006E359C"/>
    <w:rsid w:val="006F6D59"/>
    <w:rsid w:val="006F7454"/>
    <w:rsid w:val="00700F95"/>
    <w:rsid w:val="00701E0D"/>
    <w:rsid w:val="00714657"/>
    <w:rsid w:val="00717CD8"/>
    <w:rsid w:val="007229E7"/>
    <w:rsid w:val="007259C2"/>
    <w:rsid w:val="00734314"/>
    <w:rsid w:val="00736E19"/>
    <w:rsid w:val="007423AC"/>
    <w:rsid w:val="007459B0"/>
    <w:rsid w:val="00745D47"/>
    <w:rsid w:val="00751CCA"/>
    <w:rsid w:val="00756FD4"/>
    <w:rsid w:val="007602EB"/>
    <w:rsid w:val="00760F70"/>
    <w:rsid w:val="00760F78"/>
    <w:rsid w:val="00764C7B"/>
    <w:rsid w:val="00772232"/>
    <w:rsid w:val="007767AC"/>
    <w:rsid w:val="00782B9A"/>
    <w:rsid w:val="007870FF"/>
    <w:rsid w:val="007954EA"/>
    <w:rsid w:val="007A341F"/>
    <w:rsid w:val="007A438D"/>
    <w:rsid w:val="007A51E5"/>
    <w:rsid w:val="007A56FB"/>
    <w:rsid w:val="007B1D0B"/>
    <w:rsid w:val="007B444F"/>
    <w:rsid w:val="007D2DDF"/>
    <w:rsid w:val="007E480A"/>
    <w:rsid w:val="007E6063"/>
    <w:rsid w:val="007E7E36"/>
    <w:rsid w:val="00803137"/>
    <w:rsid w:val="00814EE5"/>
    <w:rsid w:val="008322D0"/>
    <w:rsid w:val="00832EA1"/>
    <w:rsid w:val="008339E8"/>
    <w:rsid w:val="00834BC5"/>
    <w:rsid w:val="00837906"/>
    <w:rsid w:val="008445DE"/>
    <w:rsid w:val="00855980"/>
    <w:rsid w:val="00856D91"/>
    <w:rsid w:val="008729B5"/>
    <w:rsid w:val="0087479E"/>
    <w:rsid w:val="00877228"/>
    <w:rsid w:val="008840A3"/>
    <w:rsid w:val="00884AD7"/>
    <w:rsid w:val="00886A5F"/>
    <w:rsid w:val="00893217"/>
    <w:rsid w:val="008963C2"/>
    <w:rsid w:val="00897A6D"/>
    <w:rsid w:val="008A0338"/>
    <w:rsid w:val="008A2F7F"/>
    <w:rsid w:val="008A635E"/>
    <w:rsid w:val="008A6560"/>
    <w:rsid w:val="008B10A2"/>
    <w:rsid w:val="008C2201"/>
    <w:rsid w:val="008C2CD5"/>
    <w:rsid w:val="008D0241"/>
    <w:rsid w:val="008D61B4"/>
    <w:rsid w:val="008E25B5"/>
    <w:rsid w:val="008F2FA9"/>
    <w:rsid w:val="00910595"/>
    <w:rsid w:val="009211B2"/>
    <w:rsid w:val="0092649C"/>
    <w:rsid w:val="00934F6B"/>
    <w:rsid w:val="009446A2"/>
    <w:rsid w:val="00961296"/>
    <w:rsid w:val="00967C4A"/>
    <w:rsid w:val="009721D7"/>
    <w:rsid w:val="009748A9"/>
    <w:rsid w:val="00975E41"/>
    <w:rsid w:val="00982812"/>
    <w:rsid w:val="00986B61"/>
    <w:rsid w:val="009875A5"/>
    <w:rsid w:val="009A7A77"/>
    <w:rsid w:val="009B0CE4"/>
    <w:rsid w:val="009B2449"/>
    <w:rsid w:val="009B3750"/>
    <w:rsid w:val="009B5F9C"/>
    <w:rsid w:val="009C7949"/>
    <w:rsid w:val="009D090F"/>
    <w:rsid w:val="009D4ABA"/>
    <w:rsid w:val="009D50AC"/>
    <w:rsid w:val="009D7FF0"/>
    <w:rsid w:val="009F3620"/>
    <w:rsid w:val="00A02E45"/>
    <w:rsid w:val="00A10272"/>
    <w:rsid w:val="00A10B2E"/>
    <w:rsid w:val="00A20B7D"/>
    <w:rsid w:val="00A32446"/>
    <w:rsid w:val="00A40573"/>
    <w:rsid w:val="00A462D8"/>
    <w:rsid w:val="00A5453E"/>
    <w:rsid w:val="00A80829"/>
    <w:rsid w:val="00A91A84"/>
    <w:rsid w:val="00A92284"/>
    <w:rsid w:val="00AA4A7F"/>
    <w:rsid w:val="00AB489B"/>
    <w:rsid w:val="00AB49E7"/>
    <w:rsid w:val="00AB4F12"/>
    <w:rsid w:val="00AB70B2"/>
    <w:rsid w:val="00AC1EFF"/>
    <w:rsid w:val="00AC5C1A"/>
    <w:rsid w:val="00AC6D19"/>
    <w:rsid w:val="00AD1147"/>
    <w:rsid w:val="00AD47A5"/>
    <w:rsid w:val="00AF4B2E"/>
    <w:rsid w:val="00AF7AEF"/>
    <w:rsid w:val="00B04AC2"/>
    <w:rsid w:val="00B15790"/>
    <w:rsid w:val="00B167A3"/>
    <w:rsid w:val="00B23C25"/>
    <w:rsid w:val="00B273EB"/>
    <w:rsid w:val="00B27F9A"/>
    <w:rsid w:val="00B534EF"/>
    <w:rsid w:val="00B614A6"/>
    <w:rsid w:val="00B618D8"/>
    <w:rsid w:val="00B6326B"/>
    <w:rsid w:val="00B756AB"/>
    <w:rsid w:val="00B7749C"/>
    <w:rsid w:val="00B9363C"/>
    <w:rsid w:val="00BB0971"/>
    <w:rsid w:val="00BB28BF"/>
    <w:rsid w:val="00BC2613"/>
    <w:rsid w:val="00BC276E"/>
    <w:rsid w:val="00BC46B8"/>
    <w:rsid w:val="00BD0D22"/>
    <w:rsid w:val="00BD1CE3"/>
    <w:rsid w:val="00BD429E"/>
    <w:rsid w:val="00BD5C43"/>
    <w:rsid w:val="00BE4DEC"/>
    <w:rsid w:val="00BE79CF"/>
    <w:rsid w:val="00BF25FB"/>
    <w:rsid w:val="00C312C2"/>
    <w:rsid w:val="00C369ED"/>
    <w:rsid w:val="00C44FE4"/>
    <w:rsid w:val="00C46976"/>
    <w:rsid w:val="00C52216"/>
    <w:rsid w:val="00C57BD2"/>
    <w:rsid w:val="00C608F8"/>
    <w:rsid w:val="00C72FDC"/>
    <w:rsid w:val="00C826B3"/>
    <w:rsid w:val="00C84FE7"/>
    <w:rsid w:val="00C925D1"/>
    <w:rsid w:val="00C958AE"/>
    <w:rsid w:val="00CA2592"/>
    <w:rsid w:val="00CA4537"/>
    <w:rsid w:val="00CA7701"/>
    <w:rsid w:val="00CB0A79"/>
    <w:rsid w:val="00CB1E33"/>
    <w:rsid w:val="00CB38AE"/>
    <w:rsid w:val="00CB54C8"/>
    <w:rsid w:val="00CB7E82"/>
    <w:rsid w:val="00CC1F6B"/>
    <w:rsid w:val="00CD0875"/>
    <w:rsid w:val="00CD7725"/>
    <w:rsid w:val="00CE547C"/>
    <w:rsid w:val="00CE6C8E"/>
    <w:rsid w:val="00CF09EF"/>
    <w:rsid w:val="00CF24AA"/>
    <w:rsid w:val="00D06009"/>
    <w:rsid w:val="00D104FA"/>
    <w:rsid w:val="00D15ABE"/>
    <w:rsid w:val="00D33C3B"/>
    <w:rsid w:val="00D342D7"/>
    <w:rsid w:val="00D42D1A"/>
    <w:rsid w:val="00D55C69"/>
    <w:rsid w:val="00D5720F"/>
    <w:rsid w:val="00D81B30"/>
    <w:rsid w:val="00D84A00"/>
    <w:rsid w:val="00D95328"/>
    <w:rsid w:val="00DC0D0B"/>
    <w:rsid w:val="00DC3FD9"/>
    <w:rsid w:val="00DC4EF4"/>
    <w:rsid w:val="00DD5F05"/>
    <w:rsid w:val="00DE1C1C"/>
    <w:rsid w:val="00DE3C2E"/>
    <w:rsid w:val="00DE5254"/>
    <w:rsid w:val="00DF669F"/>
    <w:rsid w:val="00E008AE"/>
    <w:rsid w:val="00E4008F"/>
    <w:rsid w:val="00E42879"/>
    <w:rsid w:val="00E50B1C"/>
    <w:rsid w:val="00E515B4"/>
    <w:rsid w:val="00E6640E"/>
    <w:rsid w:val="00E67637"/>
    <w:rsid w:val="00E67E6E"/>
    <w:rsid w:val="00E72347"/>
    <w:rsid w:val="00E73609"/>
    <w:rsid w:val="00E920B5"/>
    <w:rsid w:val="00E93B15"/>
    <w:rsid w:val="00EA47AD"/>
    <w:rsid w:val="00EB0F3A"/>
    <w:rsid w:val="00EB2B16"/>
    <w:rsid w:val="00EB5CDF"/>
    <w:rsid w:val="00EB6DC9"/>
    <w:rsid w:val="00EE681B"/>
    <w:rsid w:val="00EF62A3"/>
    <w:rsid w:val="00F0499A"/>
    <w:rsid w:val="00F17B51"/>
    <w:rsid w:val="00F207DB"/>
    <w:rsid w:val="00F225F9"/>
    <w:rsid w:val="00F22C14"/>
    <w:rsid w:val="00F331BD"/>
    <w:rsid w:val="00F4071F"/>
    <w:rsid w:val="00F4097F"/>
    <w:rsid w:val="00F40C20"/>
    <w:rsid w:val="00F51431"/>
    <w:rsid w:val="00F57F21"/>
    <w:rsid w:val="00F60335"/>
    <w:rsid w:val="00F61C39"/>
    <w:rsid w:val="00F63D93"/>
    <w:rsid w:val="00F706BB"/>
    <w:rsid w:val="00F70E42"/>
    <w:rsid w:val="00F71CF3"/>
    <w:rsid w:val="00F7681B"/>
    <w:rsid w:val="00F85C28"/>
    <w:rsid w:val="00F970A4"/>
    <w:rsid w:val="00F97CC5"/>
    <w:rsid w:val="00FB0856"/>
    <w:rsid w:val="00FB4B4C"/>
    <w:rsid w:val="00FB50E6"/>
    <w:rsid w:val="00FD3711"/>
    <w:rsid w:val="00FE0070"/>
    <w:rsid w:val="00FE2604"/>
    <w:rsid w:val="00FE28FB"/>
    <w:rsid w:val="00FE66FE"/>
    <w:rsid w:val="00FF078A"/>
    <w:rsid w:val="00FF525C"/>
    <w:rsid w:val="00FF6100"/>
    <w:rsid w:val="0AB10EC8"/>
    <w:rsid w:val="219F63D1"/>
    <w:rsid w:val="24113884"/>
    <w:rsid w:val="25EE117A"/>
    <w:rsid w:val="2C9F3729"/>
    <w:rsid w:val="3EBD2850"/>
    <w:rsid w:val="4B3B61D9"/>
    <w:rsid w:val="5D30024A"/>
    <w:rsid w:val="6E886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rPr>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szCs w:val="20"/>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link w:val="2"/>
    <w:semiHidden/>
    <w:qFormat/>
    <w:uiPriority w:val="99"/>
    <w:rPr>
      <w:rFonts w:ascii="Times New Roman" w:hAnsi="Times New Roman" w:eastAsia="宋体" w:cs="Times New Roman"/>
      <w:szCs w:val="24"/>
    </w:rPr>
  </w:style>
  <w:style w:type="character" w:customStyle="1" w:styleId="14">
    <w:name w:val="批注框文本 字符"/>
    <w:basedOn w:val="8"/>
    <w:link w:val="3"/>
    <w:semiHidden/>
    <w:qFormat/>
    <w:uiPriority w:val="99"/>
    <w:rPr>
      <w:rFonts w:ascii="Times New Roman" w:hAnsi="Times New Roman" w:eastAsia="宋体" w:cs="Times New Roman"/>
      <w:sz w:val="18"/>
      <w:szCs w:val="18"/>
    </w:rPr>
  </w:style>
  <w:style w:type="character" w:customStyle="1" w:styleId="15">
    <w:name w:val="批注主题 字符"/>
    <w:basedOn w:val="13"/>
    <w:link w:val="6"/>
    <w:semiHidden/>
    <w:qFormat/>
    <w:uiPriority w:val="99"/>
    <w:rPr>
      <w:rFonts w:ascii="Times New Roman" w:hAnsi="Times New Roman" w:eastAsia="宋体" w:cs="Times New Roman"/>
      <w:b/>
      <w:bCs/>
      <w:szCs w:val="20"/>
    </w:rPr>
  </w:style>
  <w:style w:type="character" w:customStyle="1" w:styleId="16">
    <w:name w:val="ng-binding"/>
    <w:basedOn w:val="8"/>
    <w:qFormat/>
    <w:uiPriority w:val="0"/>
  </w:style>
  <w:style w:type="paragraph" w:styleId="17">
    <w:name w:val="List Paragraph"/>
    <w:basedOn w:val="1"/>
    <w:qFormat/>
    <w:uiPriority w:val="34"/>
    <w:pPr>
      <w:ind w:firstLine="420" w:firstLineChars="200"/>
    </w:pPr>
  </w:style>
  <w:style w:type="paragraph" w:customStyle="1" w:styleId="18">
    <w:name w:val="Revision"/>
    <w:hidden/>
    <w:semiHidden/>
    <w:qFormat/>
    <w:uiPriority w:val="99"/>
    <w:rPr>
      <w:rFonts w:ascii="Times New Roman" w:hAnsi="Times New Roman" w:eastAsia="宋体" w:cs="Times New Roman"/>
      <w:kern w:val="2"/>
      <w:sz w:val="21"/>
      <w:szCs w:val="20"/>
      <w:lang w:val="en-US" w:eastAsia="zh-CN" w:bidi="ar-SA"/>
    </w:rPr>
  </w:style>
  <w:style w:type="paragraph" w:customStyle="1" w:styleId="1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8A1CD0ACEFB685468ADC9D3ECFE50AA2" ma:contentTypeVersion="0" ma:contentTypeDescription="新建文档。" ma:contentTypeScope="" ma:versionID="def0500d8bfa075d08ce612c1990ead7">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8DF68-7BEF-4E9F-A3FC-08FE69096638}">
  <ds:schemaRefs/>
</ds:datastoreItem>
</file>

<file path=customXml/itemProps2.xml><?xml version="1.0" encoding="utf-8"?>
<ds:datastoreItem xmlns:ds="http://schemas.openxmlformats.org/officeDocument/2006/customXml" ds:itemID="{ED4827DC-EA26-4EAA-8882-A01B9C6A816A}">
  <ds:schemaRefs/>
</ds:datastoreItem>
</file>

<file path=customXml/itemProps3.xml><?xml version="1.0" encoding="utf-8"?>
<ds:datastoreItem xmlns:ds="http://schemas.openxmlformats.org/officeDocument/2006/customXml" ds:itemID="{F6BFC278-BEBC-42A5-B820-CCD868AC3039}">
  <ds:schemaRefs/>
</ds:datastoreItem>
</file>

<file path=customXml/itemProps4.xml><?xml version="1.0" encoding="utf-8"?>
<ds:datastoreItem xmlns:ds="http://schemas.openxmlformats.org/officeDocument/2006/customXml" ds:itemID="{20C4D6EB-6375-411A-94B5-7A71E4EFE559}">
  <ds:schemaRefs/>
</ds:datastoreItem>
</file>

<file path=docProps/app.xml><?xml version="1.0" encoding="utf-8"?>
<Properties xmlns="http://schemas.openxmlformats.org/officeDocument/2006/extended-properties" xmlns:vt="http://schemas.openxmlformats.org/officeDocument/2006/docPropsVTypes">
  <Template>Normal</Template>
  <Pages>5</Pages>
  <Words>3485</Words>
  <Characters>3613</Characters>
  <Lines>22</Lines>
  <Paragraphs>6</Paragraphs>
  <TotalTime>50</TotalTime>
  <ScaleCrop>false</ScaleCrop>
  <LinksUpToDate>false</LinksUpToDate>
  <CharactersWithSpaces>3735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2024-09-20T01:53:00Z</dcterms:created>
  <dc:creator>王芳[fwang]</dc:creator>
  <cp:lastModifiedBy>璟璟鱼</cp:lastModifiedBy>
  <dcterms:modified xsi:type="dcterms:W3CDTF">2024-10-31T07:57:07Z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0x0101008A1CD0ACEFB685468ADC9D3ECFE50AA2</vt:lpwstr>
  </property>
  <property fmtid="{D5CDD505-2E9C-101B-9397-08002B2CF9AE}" pid="3" name="KSOProductBuildVer">
    <vt:lpwstr>2052-12.1.0.18608</vt:lpwstr>
  </property>
  <property fmtid="{D5CDD505-2E9C-101B-9397-08002B2CF9AE}" pid="4" name="ICV">
    <vt:lpwstr>B9587E8FB1D947F48086E8B6AAA77A66_13</vt:lpwstr>
  </property>
</Properties>
</file>