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right="240"/>
        <w:jc w:val="right"/>
        <w:rPr>
          <w:bCs/>
          <w:iCs/>
          <w:color w:val="000000"/>
          <w:sz w:val="24"/>
        </w:rPr>
      </w:pPr>
      <w:r>
        <w:rPr>
          <w:bCs/>
          <w:iCs/>
          <w:color w:val="000000"/>
          <w:sz w:val="24"/>
        </w:rPr>
        <w:t xml:space="preserve">证券代码：688362                                 证券简称：甬矽电子    </w:t>
      </w:r>
    </w:p>
    <w:p>
      <w:pPr>
        <w:spacing w:line="360" w:lineRule="auto"/>
        <w:jc w:val="center"/>
        <w:rPr>
          <w:b/>
          <w:bCs/>
          <w:iCs/>
          <w:color w:val="000000"/>
          <w:sz w:val="28"/>
        </w:rPr>
      </w:pPr>
      <w:r>
        <w:rPr>
          <w:b/>
          <w:bCs/>
          <w:sz w:val="28"/>
        </w:rPr>
        <w:t>甬矽电子（宁波）</w:t>
      </w:r>
      <w:r>
        <w:rPr>
          <w:b/>
          <w:bCs/>
          <w:iCs/>
          <w:color w:val="000000"/>
          <w:sz w:val="28"/>
        </w:rPr>
        <w:t>股份有限公司投资者关系活动记录表</w:t>
      </w:r>
    </w:p>
    <w:p>
      <w:pPr>
        <w:spacing w:line="400" w:lineRule="exact"/>
        <w:ind w:firstLine="480" w:firstLineChars="200"/>
        <w:rPr>
          <w:bCs/>
          <w:iCs/>
          <w:color w:val="000000"/>
          <w:sz w:val="24"/>
        </w:rPr>
      </w:pPr>
      <w:r>
        <w:rPr>
          <w:bCs/>
          <w:iCs/>
          <w:color w:val="000000"/>
          <w:sz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iCs/>
                <w:color w:val="000000"/>
                <w:sz w:val="24"/>
              </w:rPr>
            </w:pPr>
            <w:r>
              <w:rPr>
                <w:bCs/>
                <w:iCs/>
                <w:color w:val="000000"/>
                <w:sz w:val="24"/>
              </w:rPr>
              <w:t>投资者关系活动类别</w:t>
            </w:r>
          </w:p>
          <w:p>
            <w:pPr>
              <w:spacing w:line="360" w:lineRule="auto"/>
              <w:rPr>
                <w:bCs/>
                <w:iCs/>
                <w:color w:val="000000"/>
                <w:sz w:val="24"/>
              </w:rPr>
            </w:pP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bCs/>
                <w:iCs/>
                <w:color w:val="000000"/>
                <w:sz w:val="24"/>
              </w:rPr>
            </w:pPr>
            <w:r>
              <w:rPr>
                <w:bCs/>
                <w:iCs/>
                <w:color w:val="000000"/>
                <w:sz w:val="24"/>
              </w:rPr>
              <w:sym w:font="Wingdings 2" w:char="0052"/>
            </w:r>
            <w:r>
              <w:rPr>
                <w:sz w:val="24"/>
              </w:rPr>
              <w:t xml:space="preserve">特定对象调研        </w:t>
            </w:r>
            <w:r>
              <w:rPr>
                <w:bCs/>
                <w:iCs/>
                <w:color w:val="000000"/>
                <w:sz w:val="24"/>
              </w:rPr>
              <w:t>□分</w:t>
            </w:r>
            <w:r>
              <w:rPr>
                <w:sz w:val="24"/>
              </w:rPr>
              <w:t>析师会议</w:t>
            </w:r>
          </w:p>
          <w:p>
            <w:pPr>
              <w:spacing w:line="480" w:lineRule="atLeast"/>
              <w:rPr>
                <w:bCs/>
                <w:iCs/>
                <w:color w:val="000000"/>
                <w:sz w:val="24"/>
              </w:rPr>
            </w:pPr>
            <w:r>
              <w:rPr>
                <w:bCs/>
                <w:iCs/>
                <w:color w:val="000000"/>
                <w:sz w:val="24"/>
              </w:rPr>
              <w:t>□</w:t>
            </w:r>
            <w:r>
              <w:rPr>
                <w:sz w:val="24"/>
              </w:rPr>
              <w:t xml:space="preserve">媒体采访            </w:t>
            </w:r>
            <w:r>
              <w:rPr>
                <w:rFonts w:cs="Segoe UI Symbol"/>
                <w:bCs/>
                <w:iCs/>
                <w:color w:val="000000"/>
                <w:sz w:val="24"/>
              </w:rPr>
              <w:t>☑</w:t>
            </w:r>
            <w:r>
              <w:rPr>
                <w:sz w:val="24"/>
              </w:rPr>
              <w:t>业绩说明会</w:t>
            </w:r>
          </w:p>
          <w:p>
            <w:pPr>
              <w:spacing w:line="480" w:lineRule="atLeast"/>
              <w:rPr>
                <w:bCs/>
                <w:iCs/>
                <w:color w:val="000000"/>
                <w:sz w:val="24"/>
              </w:rPr>
            </w:pPr>
            <w:r>
              <w:rPr>
                <w:bCs/>
                <w:iCs/>
                <w:color w:val="000000"/>
                <w:sz w:val="24"/>
              </w:rPr>
              <w:t>□新闻发布会          □路演活动</w:t>
            </w:r>
          </w:p>
          <w:p>
            <w:pPr>
              <w:spacing w:line="480" w:lineRule="atLeast"/>
              <w:rPr>
                <w:bCs/>
                <w:iCs/>
                <w:color w:val="000000"/>
                <w:sz w:val="24"/>
              </w:rPr>
            </w:pPr>
            <w:r>
              <w:rPr>
                <w:bCs/>
                <w:iCs/>
                <w:color w:val="000000"/>
                <w:sz w:val="24"/>
              </w:rPr>
              <w:t>□现场参观</w:t>
            </w:r>
            <w:r>
              <w:rPr>
                <w:bCs/>
                <w:iCs/>
                <w:color w:val="000000"/>
                <w:sz w:val="24"/>
              </w:rPr>
              <w:tab/>
            </w:r>
          </w:p>
          <w:p>
            <w:pPr>
              <w:tabs>
                <w:tab w:val="center" w:pos="3199"/>
              </w:tabs>
              <w:spacing w:line="480" w:lineRule="atLeast"/>
              <w:rPr>
                <w:bCs/>
                <w:iCs/>
                <w:color w:val="000000"/>
                <w:sz w:val="24"/>
              </w:rPr>
            </w:pPr>
            <w:r>
              <w:rPr>
                <w:bCs/>
                <w:iCs/>
                <w:color w:val="000000"/>
                <w:sz w:val="24"/>
              </w:rPr>
              <w:sym w:font="Wingdings 2" w:char="0052"/>
            </w:r>
            <w:r>
              <w:rPr>
                <w:sz w:val="24"/>
              </w:rPr>
              <w:t>其他 （</w:t>
            </w:r>
            <w:r>
              <w:rPr>
                <w:sz w:val="24"/>
                <w:u w:val="single"/>
              </w:rPr>
              <w:t>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iCs/>
                <w:color w:val="000000"/>
                <w:sz w:val="24"/>
              </w:rPr>
            </w:pPr>
            <w:r>
              <w:rPr>
                <w:bCs/>
                <w:iCs/>
                <w:color w:val="000000"/>
                <w:sz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bCs/>
                <w:iCs/>
                <w:color w:val="000000"/>
                <w:sz w:val="24"/>
              </w:rPr>
            </w:pPr>
            <w:r>
              <w:rPr>
                <w:bCs/>
                <w:iCs/>
                <w:color w:val="000000"/>
                <w:sz w:val="24"/>
              </w:rPr>
              <w:t>详见附件《参会人员名单》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iCs/>
                <w:color w:val="000000"/>
                <w:sz w:val="24"/>
              </w:rPr>
            </w:pPr>
            <w:r>
              <w:rPr>
                <w:bCs/>
                <w:iCs/>
                <w:color w:val="000000"/>
                <w:sz w:val="24"/>
              </w:rPr>
              <w:t>时间</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bCs/>
                <w:iCs/>
                <w:color w:val="000000"/>
                <w:sz w:val="24"/>
              </w:rPr>
            </w:pPr>
            <w:r>
              <w:rPr>
                <w:bCs/>
                <w:iCs/>
                <w:color w:val="000000"/>
                <w:sz w:val="24"/>
              </w:rPr>
              <w:t>2024年</w:t>
            </w:r>
            <w:r>
              <w:rPr>
                <w:rFonts w:hint="eastAsia"/>
                <w:bCs/>
                <w:iCs/>
                <w:color w:val="000000"/>
                <w:sz w:val="24"/>
              </w:rPr>
              <w:t>10</w:t>
            </w:r>
            <w:r>
              <w:rPr>
                <w:bCs/>
                <w:iCs/>
                <w:color w:val="000000"/>
                <w:sz w:val="24"/>
              </w:rPr>
              <w:t>月2</w:t>
            </w:r>
            <w:r>
              <w:rPr>
                <w:rFonts w:hint="eastAsia"/>
                <w:bCs/>
                <w:iCs/>
                <w:color w:val="000000"/>
                <w:sz w:val="24"/>
              </w:rPr>
              <w:t>9</w:t>
            </w:r>
            <w:r>
              <w:rPr>
                <w:bCs/>
                <w:iCs/>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iCs/>
                <w:color w:val="000000"/>
                <w:sz w:val="24"/>
              </w:rPr>
            </w:pPr>
            <w:r>
              <w:rPr>
                <w:bCs/>
                <w:iCs/>
                <w:color w:val="000000"/>
                <w:sz w:val="24"/>
              </w:rPr>
              <w:t>地点</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bCs/>
                <w:iCs/>
                <w:color w:val="000000"/>
                <w:sz w:val="24"/>
              </w:rPr>
            </w:pPr>
            <w:r>
              <w:rPr>
                <w:bCs/>
                <w:iCs/>
                <w:color w:val="000000"/>
                <w:sz w:val="24"/>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iCs/>
                <w:color w:val="000000"/>
                <w:sz w:val="24"/>
              </w:rPr>
            </w:pPr>
            <w:r>
              <w:rPr>
                <w:bCs/>
                <w:iCs/>
                <w:color w:val="000000"/>
                <w:sz w:val="24"/>
              </w:rPr>
              <w:t>上市公司接待人员姓名</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bCs/>
                <w:iCs/>
                <w:color w:val="000000"/>
                <w:sz w:val="24"/>
              </w:rPr>
            </w:pPr>
            <w:r>
              <w:rPr>
                <w:bCs/>
                <w:iCs/>
                <w:color w:val="000000"/>
                <w:sz w:val="24"/>
              </w:rPr>
              <w:t>董事、CTO徐玉鹏先生；副总经理、财务总监金良凯先生；副总经理、董事会秘书李大林先生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iCs/>
                <w:color w:val="000000"/>
                <w:sz w:val="24"/>
              </w:rPr>
            </w:pPr>
            <w:r>
              <w:rPr>
                <w:bCs/>
                <w:iCs/>
                <w:color w:val="000000"/>
                <w:sz w:val="24"/>
              </w:rPr>
              <w:t>投资者关系活动主要内容介绍</w:t>
            </w:r>
          </w:p>
          <w:p>
            <w:pPr>
              <w:pStyle w:val="14"/>
            </w:pPr>
          </w:p>
        </w:tc>
        <w:tc>
          <w:tcPr>
            <w:tcW w:w="6614" w:type="dxa"/>
            <w:tcBorders>
              <w:top w:val="single" w:color="auto" w:sz="4" w:space="0"/>
              <w:left w:val="single" w:color="auto" w:sz="4" w:space="0"/>
              <w:bottom w:val="single" w:color="auto" w:sz="4" w:space="0"/>
              <w:right w:val="single" w:color="auto" w:sz="4" w:space="0"/>
            </w:tcBorders>
            <w:shd w:val="clear" w:color="auto" w:fill="auto"/>
          </w:tcPr>
          <w:p>
            <w:pPr>
              <w:widowControl/>
              <w:numPr>
                <w:ilvl w:val="-1"/>
                <w:numId w:val="0"/>
              </w:numPr>
              <w:spacing w:line="360" w:lineRule="auto"/>
              <w:ind w:firstLine="482" w:firstLineChars="200"/>
              <w:jc w:val="left"/>
              <w:rPr>
                <w:b/>
                <w:bCs/>
                <w:sz w:val="24"/>
              </w:rPr>
            </w:pPr>
            <w:r>
              <w:rPr>
                <w:rFonts w:hint="eastAsia"/>
                <w:b/>
                <w:bCs/>
                <w:sz w:val="24"/>
              </w:rPr>
              <w:t>1.公司领导介绍一下三季报经营情况？</w:t>
            </w:r>
          </w:p>
          <w:p>
            <w:pPr>
              <w:widowControl/>
              <w:spacing w:line="360" w:lineRule="auto"/>
              <w:ind w:firstLine="480" w:firstLineChars="200"/>
              <w:jc w:val="left"/>
              <w:rPr>
                <w:sz w:val="24"/>
              </w:rPr>
            </w:pPr>
            <w:r>
              <w:rPr>
                <w:rFonts w:hint="eastAsia"/>
                <w:sz w:val="24"/>
              </w:rPr>
              <w:t>2024年以来，全球半导体行业呈现温和复苏态势，集成电路行业整体景气度有所回升，下游需求复苏带动公司产能利用率提升。得益于部分客户所处领域的景气度回升、新客户拓展顺利及部分新产品线的产能爬坡，公司营业收入规模持续保持快速增长，2024年1-9月实现营业收入25.52亿元，同比增长56.43%，其中第三季度公司实现营业收入9.22亿元，同比增长42.22%。同时，随着公司营业收入的增长，规模效应逐步显现，毛利率有所回升，前三季度整体毛利率达到17.48%，同比增加3.41个百分点，实现归属于上市公司股东的净利润4,240.12万元，同比增加1.</w:t>
            </w:r>
            <w:r>
              <w:rPr>
                <w:sz w:val="24"/>
              </w:rPr>
              <w:t>6</w:t>
            </w:r>
            <w:r>
              <w:rPr>
                <w:rFonts w:hint="eastAsia"/>
                <w:sz w:val="24"/>
              </w:rPr>
              <w:t>2亿元；公司经营活动产生的现金流超过12亿元，同比增长超180%，保持十分健康的态势。公司在先进封装等领域持续加大投入，今年前三季度公司研发投入已经超过6,000万，占营收比例达到6.58%，相较于去年同期有所增加。</w:t>
            </w:r>
          </w:p>
          <w:p>
            <w:pPr>
              <w:widowControl/>
              <w:numPr>
                <w:ilvl w:val="-1"/>
                <w:numId w:val="0"/>
              </w:numPr>
              <w:spacing w:line="360" w:lineRule="auto"/>
              <w:ind w:firstLine="482" w:firstLineChars="200"/>
              <w:jc w:val="left"/>
              <w:rPr>
                <w:b/>
                <w:bCs/>
                <w:sz w:val="24"/>
              </w:rPr>
            </w:pPr>
            <w:r>
              <w:rPr>
                <w:rFonts w:hint="eastAsia"/>
                <w:b/>
                <w:bCs/>
                <w:sz w:val="24"/>
              </w:rPr>
              <w:t>2.Q3毛利率相比Q2有所下滑，是受什么影响？未来毛利变化趋势?未来提升毛利的规划和稳态毛利目标？</w:t>
            </w:r>
          </w:p>
          <w:p>
            <w:pPr>
              <w:widowControl/>
              <w:spacing w:line="360" w:lineRule="auto"/>
              <w:ind w:firstLine="480" w:firstLineChars="200"/>
              <w:jc w:val="left"/>
              <w:rPr>
                <w:sz w:val="24"/>
              </w:rPr>
            </w:pPr>
            <w:r>
              <w:rPr>
                <w:rFonts w:hint="eastAsia"/>
                <w:sz w:val="24"/>
              </w:rPr>
              <w:t>主要是前期投入的设备在三季度转固，使得当期折旧增加，营收规模环比增幅低于转固速度，对毛利有一定影响。</w:t>
            </w:r>
          </w:p>
          <w:p>
            <w:pPr>
              <w:widowControl/>
              <w:spacing w:line="360" w:lineRule="auto"/>
              <w:ind w:firstLine="480" w:firstLineChars="200"/>
              <w:jc w:val="left"/>
              <w:rPr>
                <w:sz w:val="24"/>
              </w:rPr>
            </w:pPr>
            <w:r>
              <w:rPr>
                <w:rFonts w:hint="eastAsia"/>
                <w:sz w:val="24"/>
              </w:rPr>
              <w:t>展望后续，第四季度营收仍然维持环比上涨的趋势，会对冲这部分折旧产生的负面影响。</w:t>
            </w:r>
          </w:p>
          <w:p>
            <w:pPr>
              <w:widowControl/>
              <w:spacing w:line="360" w:lineRule="auto"/>
              <w:ind w:firstLine="480" w:firstLineChars="200"/>
              <w:jc w:val="left"/>
              <w:rPr>
                <w:rFonts w:hint="eastAsia"/>
                <w:sz w:val="24"/>
              </w:rPr>
            </w:pPr>
            <w:r>
              <w:rPr>
                <w:rFonts w:hint="eastAsia"/>
                <w:sz w:val="24"/>
              </w:rPr>
              <w:t>公司目前在全额口径折旧的影响下仍然能保持行业内较为领先的毛利率水平，随着营收规模的扩大和产能爬坡，公司期待的稳态毛利率在25%~30%，与公司目前的产品结构规划相匹配。</w:t>
            </w:r>
          </w:p>
          <w:p>
            <w:pPr>
              <w:widowControl/>
              <w:spacing w:line="360" w:lineRule="auto"/>
              <w:ind w:firstLine="482" w:firstLineChars="200"/>
              <w:rPr>
                <w:b/>
                <w:bCs/>
                <w:sz w:val="24"/>
              </w:rPr>
            </w:pPr>
            <w:r>
              <w:rPr>
                <w:rFonts w:hint="eastAsia"/>
                <w:b/>
                <w:bCs/>
                <w:sz w:val="24"/>
                <w:lang w:val="en-US" w:eastAsia="zh-CN"/>
              </w:rPr>
              <w:t>3.</w:t>
            </w:r>
            <w:r>
              <w:rPr>
                <w:rFonts w:hint="eastAsia"/>
                <w:b/>
                <w:bCs/>
                <w:sz w:val="24"/>
              </w:rPr>
              <w:t>公司的转固政策？</w:t>
            </w:r>
          </w:p>
          <w:p>
            <w:pPr>
              <w:widowControl/>
              <w:spacing w:line="360" w:lineRule="auto"/>
              <w:ind w:firstLine="480" w:firstLineChars="200"/>
              <w:rPr>
                <w:sz w:val="24"/>
              </w:rPr>
            </w:pPr>
            <w:r>
              <w:rPr>
                <w:rFonts w:hint="eastAsia"/>
                <w:sz w:val="24"/>
              </w:rPr>
              <w:t>公司严格按照会计准则，在设备达到可使用状态时进行转固。</w:t>
            </w:r>
          </w:p>
          <w:p>
            <w:pPr>
              <w:widowControl/>
              <w:spacing w:line="360" w:lineRule="auto"/>
              <w:ind w:firstLine="482" w:firstLineChars="200"/>
              <w:rPr>
                <w:rFonts w:hint="eastAsia"/>
                <w:b/>
                <w:bCs/>
                <w:sz w:val="24"/>
              </w:rPr>
            </w:pPr>
            <w:r>
              <w:rPr>
                <w:rFonts w:hint="eastAsia"/>
                <w:b/>
                <w:bCs/>
                <w:sz w:val="24"/>
                <w:lang w:val="en-US" w:eastAsia="zh-CN"/>
              </w:rPr>
              <w:t>4</w:t>
            </w:r>
            <w:r>
              <w:rPr>
                <w:rFonts w:hint="eastAsia"/>
                <w:b/>
                <w:bCs/>
                <w:sz w:val="24"/>
              </w:rPr>
              <w:t>.未来资本开支规划？</w:t>
            </w:r>
            <w:r>
              <w:rPr>
                <w:b/>
                <w:bCs/>
                <w:sz w:val="24"/>
              </w:rPr>
              <w:t>公司二期还要投</w:t>
            </w:r>
            <w:r>
              <w:rPr>
                <w:rFonts w:hint="eastAsia"/>
                <w:b/>
                <w:bCs/>
                <w:sz w:val="24"/>
              </w:rPr>
              <w:t>四五十</w:t>
            </w:r>
            <w:r>
              <w:rPr>
                <w:b/>
                <w:bCs/>
                <w:sz w:val="24"/>
              </w:rPr>
              <w:t>亿，</w:t>
            </w:r>
            <w:r>
              <w:rPr>
                <w:rFonts w:hint="eastAsia"/>
                <w:b/>
                <w:bCs/>
                <w:sz w:val="24"/>
              </w:rPr>
              <w:t>资金来源的情况</w:t>
            </w:r>
            <w:r>
              <w:rPr>
                <w:b/>
                <w:bCs/>
                <w:sz w:val="24"/>
              </w:rPr>
              <w:t>？</w:t>
            </w:r>
          </w:p>
          <w:p>
            <w:pPr>
              <w:widowControl/>
              <w:spacing w:line="360" w:lineRule="auto"/>
              <w:ind w:firstLine="480" w:firstLineChars="200"/>
              <w:jc w:val="left"/>
              <w:rPr>
                <w:rFonts w:hint="eastAsia"/>
                <w:sz w:val="24"/>
              </w:rPr>
            </w:pPr>
            <w:r>
              <w:rPr>
                <w:rFonts w:hint="eastAsia"/>
                <w:sz w:val="24"/>
              </w:rPr>
              <w:t>公司未来两年仍会持续投入，主要集中在先进封装领域，包括倒装、RDL、2.5D封装及公司其他在研项目；但整体而言，新增对总资产的边际影响会逐步减小。</w:t>
            </w:r>
          </w:p>
          <w:p>
            <w:pPr>
              <w:widowControl/>
              <w:spacing w:line="360" w:lineRule="auto"/>
              <w:ind w:firstLine="480" w:firstLineChars="200"/>
              <w:jc w:val="left"/>
              <w:rPr>
                <w:sz w:val="24"/>
              </w:rPr>
            </w:pPr>
            <w:r>
              <w:rPr>
                <w:sz w:val="24"/>
              </w:rPr>
              <w:t>公司已公告12亿的</w:t>
            </w:r>
            <w:r>
              <w:rPr>
                <w:rFonts w:hint="eastAsia"/>
                <w:sz w:val="24"/>
              </w:rPr>
              <w:t>再融资计划</w:t>
            </w:r>
            <w:r>
              <w:rPr>
                <w:sz w:val="24"/>
              </w:rPr>
              <w:t>。除此之外</w:t>
            </w:r>
            <w:r>
              <w:rPr>
                <w:rFonts w:hint="eastAsia"/>
                <w:sz w:val="24"/>
              </w:rPr>
              <w:t>，</w:t>
            </w:r>
            <w:r>
              <w:rPr>
                <w:sz w:val="24"/>
              </w:rPr>
              <w:t>公司的现金流</w:t>
            </w:r>
            <w:r>
              <w:rPr>
                <w:rFonts w:hint="eastAsia"/>
                <w:sz w:val="24"/>
              </w:rPr>
              <w:t>良好</w:t>
            </w:r>
            <w:r>
              <w:rPr>
                <w:sz w:val="24"/>
              </w:rPr>
              <w:t>，</w:t>
            </w:r>
            <w:r>
              <w:rPr>
                <w:rFonts w:hint="eastAsia"/>
                <w:sz w:val="24"/>
              </w:rPr>
              <w:t>今年</w:t>
            </w:r>
            <w:r>
              <w:rPr>
                <w:sz w:val="24"/>
              </w:rPr>
              <w:t>三</w:t>
            </w:r>
            <w:r>
              <w:rPr>
                <w:rFonts w:hint="eastAsia"/>
                <w:sz w:val="24"/>
              </w:rPr>
              <w:t>季报</w:t>
            </w:r>
            <w:r>
              <w:rPr>
                <w:sz w:val="24"/>
              </w:rPr>
              <w:t>经营活动现金流</w:t>
            </w:r>
            <w:r>
              <w:rPr>
                <w:rFonts w:hint="eastAsia"/>
                <w:sz w:val="24"/>
              </w:rPr>
              <w:t>净额</w:t>
            </w:r>
            <w:r>
              <w:rPr>
                <w:sz w:val="24"/>
              </w:rPr>
              <w:t>已超1</w:t>
            </w:r>
            <w:r>
              <w:rPr>
                <w:rFonts w:hint="eastAsia"/>
                <w:sz w:val="24"/>
                <w:lang w:val="en-US" w:eastAsia="zh-CN"/>
              </w:rPr>
              <w:t>2</w:t>
            </w:r>
            <w:r>
              <w:rPr>
                <w:sz w:val="24"/>
              </w:rPr>
              <w:t>亿</w:t>
            </w:r>
            <w:r>
              <w:rPr>
                <w:rFonts w:hint="eastAsia"/>
                <w:sz w:val="24"/>
              </w:rPr>
              <w:t>元</w:t>
            </w:r>
          </w:p>
          <w:p>
            <w:pPr>
              <w:widowControl/>
              <w:numPr>
                <w:ilvl w:val="-1"/>
                <w:numId w:val="0"/>
              </w:numPr>
              <w:spacing w:line="360" w:lineRule="auto"/>
              <w:ind w:firstLine="482" w:firstLineChars="200"/>
              <w:jc w:val="left"/>
              <w:rPr>
                <w:b/>
                <w:bCs/>
                <w:sz w:val="24"/>
              </w:rPr>
            </w:pPr>
            <w:r>
              <w:rPr>
                <w:rFonts w:hint="eastAsia"/>
                <w:b/>
                <w:bCs/>
                <w:sz w:val="24"/>
                <w:lang w:val="en-US" w:eastAsia="zh-CN"/>
              </w:rPr>
              <w:t>5.</w:t>
            </w:r>
            <w:r>
              <w:rPr>
                <w:rFonts w:hint="eastAsia"/>
                <w:b/>
                <w:bCs/>
                <w:sz w:val="24"/>
              </w:rPr>
              <w:t>.公司的多维异构募投项目目前有没有客户和订单？我们自身技术有没有新的进展？</w:t>
            </w:r>
          </w:p>
          <w:p>
            <w:pPr>
              <w:widowControl/>
              <w:spacing w:line="360" w:lineRule="auto"/>
              <w:ind w:firstLine="480" w:firstLineChars="200"/>
              <w:jc w:val="left"/>
              <w:rPr>
                <w:sz w:val="24"/>
              </w:rPr>
            </w:pPr>
            <w:r>
              <w:rPr>
                <w:rFonts w:hint="eastAsia"/>
                <w:sz w:val="24"/>
              </w:rPr>
              <w:t>公司目前在RDL和2.5D方面的布局目前已经通线，核心设备已经全部move-in，正在进行设备调试，为产品正式上线进行验证，公司也和国内的一些客户密切对接。</w:t>
            </w:r>
          </w:p>
          <w:p>
            <w:pPr>
              <w:widowControl/>
              <w:numPr>
                <w:ilvl w:val="-1"/>
                <w:numId w:val="0"/>
              </w:numPr>
              <w:spacing w:line="360" w:lineRule="auto"/>
              <w:ind w:firstLine="482" w:firstLineChars="200"/>
              <w:jc w:val="left"/>
              <w:rPr>
                <w:b/>
                <w:bCs/>
                <w:sz w:val="24"/>
              </w:rPr>
            </w:pPr>
            <w:r>
              <w:rPr>
                <w:rFonts w:hint="eastAsia"/>
                <w:b/>
                <w:bCs/>
                <w:sz w:val="24"/>
                <w:lang w:val="en-US" w:eastAsia="zh-CN"/>
              </w:rPr>
              <w:t>6</w:t>
            </w:r>
            <w:r>
              <w:rPr>
                <w:rFonts w:hint="eastAsia"/>
                <w:b/>
                <w:bCs/>
                <w:sz w:val="24"/>
              </w:rPr>
              <w:t>.公司目前海外客户的进展情况？</w:t>
            </w:r>
          </w:p>
          <w:p>
            <w:pPr>
              <w:widowControl/>
              <w:spacing w:line="360" w:lineRule="auto"/>
              <w:ind w:firstLine="480" w:firstLineChars="200"/>
              <w:jc w:val="left"/>
              <w:rPr>
                <w:sz w:val="24"/>
              </w:rPr>
            </w:pPr>
            <w:r>
              <w:rPr>
                <w:rFonts w:hint="eastAsia"/>
                <w:sz w:val="24"/>
              </w:rPr>
              <w:t>公司从去年四季度开始，除了维持原有的国内SoC客户，积极向外扩展。海外客户方面，除中国台湾地区客户外，公司也在积极布局欧美客户，目前已经取得了一定进展。</w:t>
            </w:r>
          </w:p>
          <w:p>
            <w:pPr>
              <w:widowControl/>
              <w:numPr>
                <w:ilvl w:val="-1"/>
                <w:numId w:val="0"/>
              </w:numPr>
              <w:spacing w:line="360" w:lineRule="auto"/>
              <w:ind w:firstLine="482" w:firstLineChars="200"/>
              <w:jc w:val="left"/>
              <w:rPr>
                <w:b/>
                <w:bCs/>
                <w:sz w:val="24"/>
              </w:rPr>
            </w:pPr>
            <w:r>
              <w:rPr>
                <w:rFonts w:hint="eastAsia"/>
                <w:b/>
                <w:bCs/>
                <w:sz w:val="24"/>
                <w:lang w:val="en-US" w:eastAsia="zh-CN"/>
              </w:rPr>
              <w:t>7</w:t>
            </w:r>
            <w:r>
              <w:rPr>
                <w:rFonts w:hint="eastAsia"/>
                <w:b/>
                <w:bCs/>
                <w:sz w:val="24"/>
              </w:rPr>
              <w:t>.下游产品景气度的单季度表现情况？下游景气度未来的展望？PA今年四季度需求向上的原因？</w:t>
            </w:r>
          </w:p>
          <w:p>
            <w:pPr>
              <w:widowControl/>
              <w:spacing w:line="360" w:lineRule="auto"/>
              <w:ind w:firstLine="480" w:firstLineChars="200"/>
              <w:jc w:val="left"/>
              <w:rPr>
                <w:sz w:val="24"/>
              </w:rPr>
            </w:pPr>
            <w:r>
              <w:rPr>
                <w:rFonts w:hint="eastAsia"/>
                <w:sz w:val="24"/>
              </w:rPr>
              <w:t>从营收角度，AIoT是公司营收占比最高的领域，接近60%，PA、安防均占比约15%，运算和车规类产品合计接近10%。第三季度，AIoT领域的客户需求十分强劲，环比第二季度的营收占比有所增加；PA表现相对一般；安防领域受限于终端客户的需求表现较为平淡。</w:t>
            </w:r>
          </w:p>
          <w:p>
            <w:pPr>
              <w:widowControl/>
              <w:spacing w:line="360" w:lineRule="auto"/>
              <w:ind w:firstLine="480" w:firstLineChars="200"/>
              <w:jc w:val="left"/>
              <w:rPr>
                <w:sz w:val="24"/>
              </w:rPr>
            </w:pPr>
            <w:r>
              <w:rPr>
                <w:rFonts w:hint="eastAsia"/>
                <w:sz w:val="24"/>
              </w:rPr>
              <w:t>展望第四季度，IoT领域核心客户群的需求相对旺盛，PA领域的需求也会整体回暖，会综合带动公司四季度营收环比向上。</w:t>
            </w:r>
          </w:p>
          <w:p>
            <w:pPr>
              <w:widowControl/>
              <w:numPr>
                <w:ilvl w:val="-1"/>
                <w:numId w:val="0"/>
              </w:numPr>
              <w:spacing w:line="360" w:lineRule="auto"/>
              <w:ind w:firstLine="482" w:firstLineChars="200"/>
              <w:jc w:val="left"/>
              <w:rPr>
                <w:b/>
                <w:bCs/>
                <w:sz w:val="24"/>
              </w:rPr>
            </w:pPr>
            <w:r>
              <w:rPr>
                <w:rFonts w:hint="eastAsia"/>
                <w:b/>
                <w:bCs/>
                <w:sz w:val="24"/>
                <w:lang w:val="en-US" w:eastAsia="zh-CN"/>
              </w:rPr>
              <w:t>8</w:t>
            </w:r>
            <w:r>
              <w:rPr>
                <w:rFonts w:hint="eastAsia"/>
                <w:b/>
                <w:bCs/>
                <w:sz w:val="24"/>
              </w:rPr>
              <w:t>.现在给客户的产品价格是稳定的吗？</w:t>
            </w:r>
          </w:p>
          <w:p>
            <w:pPr>
              <w:widowControl/>
              <w:spacing w:line="360" w:lineRule="auto"/>
              <w:ind w:firstLine="480" w:firstLineChars="200"/>
              <w:jc w:val="left"/>
              <w:rPr>
                <w:sz w:val="24"/>
              </w:rPr>
            </w:pPr>
            <w:r>
              <w:rPr>
                <w:rFonts w:hint="eastAsia"/>
                <w:sz w:val="24"/>
              </w:rPr>
              <w:t>整体而言，公司产品价格相对稳定，公司坚持中高端封测的定位，会战略性放弃低毛利产品。</w:t>
            </w:r>
          </w:p>
          <w:p>
            <w:pPr>
              <w:widowControl/>
              <w:numPr>
                <w:ilvl w:val="-1"/>
                <w:numId w:val="0"/>
              </w:numPr>
              <w:spacing w:line="360" w:lineRule="auto"/>
              <w:ind w:firstLine="482" w:firstLineChars="200"/>
              <w:jc w:val="left"/>
              <w:rPr>
                <w:b/>
                <w:bCs/>
                <w:sz w:val="24"/>
              </w:rPr>
            </w:pPr>
            <w:r>
              <w:rPr>
                <w:rFonts w:hint="eastAsia"/>
                <w:b/>
                <w:bCs/>
                <w:sz w:val="24"/>
                <w:lang w:val="en-US" w:eastAsia="zh-CN"/>
              </w:rPr>
              <w:t>9</w:t>
            </w:r>
            <w:r>
              <w:rPr>
                <w:rFonts w:hint="eastAsia"/>
                <w:b/>
                <w:bCs/>
                <w:sz w:val="24"/>
              </w:rPr>
              <w:t>.公司Q4稼动率相比Q3会有变化吗？</w:t>
            </w:r>
          </w:p>
          <w:p>
            <w:pPr>
              <w:widowControl/>
              <w:spacing w:line="360" w:lineRule="auto"/>
              <w:ind w:firstLine="480" w:firstLineChars="200"/>
              <w:jc w:val="left"/>
              <w:rPr>
                <w:sz w:val="24"/>
              </w:rPr>
            </w:pPr>
            <w:r>
              <w:rPr>
                <w:rFonts w:hint="eastAsia"/>
                <w:sz w:val="24"/>
              </w:rPr>
              <w:t>预计Q4稼动率会高于Q3。</w:t>
            </w:r>
          </w:p>
          <w:p>
            <w:pPr>
              <w:widowControl/>
              <w:numPr>
                <w:ilvl w:val="-1"/>
                <w:numId w:val="0"/>
              </w:numPr>
              <w:spacing w:line="360" w:lineRule="auto"/>
              <w:ind w:firstLine="482" w:firstLineChars="200"/>
              <w:jc w:val="left"/>
              <w:rPr>
                <w:b/>
                <w:bCs/>
                <w:sz w:val="24"/>
              </w:rPr>
            </w:pPr>
            <w:r>
              <w:rPr>
                <w:rFonts w:hint="eastAsia"/>
                <w:b/>
                <w:bCs/>
                <w:sz w:val="24"/>
                <w:lang w:val="en-US" w:eastAsia="zh-CN"/>
              </w:rPr>
              <w:t>10</w:t>
            </w:r>
            <w:r>
              <w:rPr>
                <w:rFonts w:hint="eastAsia"/>
                <w:b/>
                <w:bCs/>
                <w:sz w:val="24"/>
              </w:rPr>
              <w:t>.募投的多维异构项目的客户覆盖度？目前在公司产品中的占比？主做的产品类型？</w:t>
            </w:r>
          </w:p>
          <w:p>
            <w:pPr>
              <w:widowControl/>
              <w:spacing w:line="360" w:lineRule="auto"/>
              <w:ind w:firstLine="480" w:firstLineChars="200"/>
              <w:jc w:val="left"/>
              <w:rPr>
                <w:sz w:val="24"/>
              </w:rPr>
            </w:pPr>
            <w:r>
              <w:rPr>
                <w:rFonts w:hint="eastAsia"/>
                <w:sz w:val="24"/>
              </w:rPr>
              <w:t>公司的募投项目涉及三类产品。Fan-out产品目前已有客户进入前期打样阶段，</w:t>
            </w:r>
            <w:r>
              <w:rPr>
                <w:rFonts w:hint="eastAsia"/>
                <w:sz w:val="24"/>
                <w:lang w:val="en-US" w:eastAsia="zh-CN"/>
              </w:rPr>
              <w:t>适用于</w:t>
            </w:r>
            <w:r>
              <w:rPr>
                <w:rFonts w:hint="eastAsia"/>
                <w:sz w:val="24"/>
              </w:rPr>
              <w:t>激光雷达、毫米波雷达、消费类AI产品等，</w:t>
            </w:r>
            <w:r>
              <w:rPr>
                <w:rFonts w:hint="eastAsia"/>
                <w:sz w:val="24"/>
                <w:lang w:val="en-US" w:eastAsia="zh-CN"/>
              </w:rPr>
              <w:t>此</w:t>
            </w:r>
            <w:r>
              <w:rPr>
                <w:rFonts w:hint="eastAsia"/>
                <w:sz w:val="24"/>
              </w:rPr>
              <w:t>类产品进展会更快；RDL方案不含interposer，</w:t>
            </w:r>
            <w:bookmarkStart w:id="0" w:name="_GoBack"/>
            <w:bookmarkEnd w:id="0"/>
            <w:r>
              <w:rPr>
                <w:rFonts w:hint="eastAsia"/>
                <w:sz w:val="24"/>
              </w:rPr>
              <w:t>成本会更低，应用领域相对广泛；最后一个方案是针对大芯片产品，主要面向国内的运算类客户及服务器主芯片客户等。</w:t>
            </w:r>
          </w:p>
          <w:p>
            <w:pPr>
              <w:widowControl/>
              <w:spacing w:line="360" w:lineRule="auto"/>
              <w:ind w:firstLine="480" w:firstLineChars="200"/>
              <w:jc w:val="left"/>
              <w:rPr>
                <w:sz w:val="24"/>
              </w:rPr>
            </w:pPr>
            <w:r>
              <w:rPr>
                <w:rFonts w:hint="eastAsia"/>
                <w:sz w:val="24"/>
              </w:rPr>
              <w:t>公司相关产品产线尚处于通线验证阶段，目前还没有实质性的营收贡献和营收占比。</w:t>
            </w:r>
          </w:p>
          <w:p>
            <w:pPr>
              <w:widowControl/>
              <w:spacing w:line="360" w:lineRule="auto"/>
              <w:ind w:firstLine="482" w:firstLineChars="200"/>
              <w:jc w:val="left"/>
              <w:rPr>
                <w:b/>
                <w:bCs/>
                <w:sz w:val="24"/>
              </w:rPr>
            </w:pPr>
            <w:r>
              <w:rPr>
                <w:rFonts w:hint="eastAsia"/>
                <w:b/>
                <w:bCs/>
                <w:sz w:val="24"/>
              </w:rPr>
              <w:t>1</w:t>
            </w:r>
            <w:r>
              <w:rPr>
                <w:rFonts w:hint="eastAsia"/>
                <w:b/>
                <w:bCs/>
                <w:sz w:val="24"/>
                <w:lang w:val="en-US" w:eastAsia="zh-CN"/>
              </w:rPr>
              <w:t>1</w:t>
            </w:r>
            <w:r>
              <w:rPr>
                <w:rFonts w:hint="eastAsia"/>
                <w:b/>
                <w:bCs/>
                <w:sz w:val="24"/>
              </w:rPr>
              <w:t>.为了应对先进封装领域的竞争，公司对研发人员和研发费用有没有规划？公司研发费用的投入会集中于什么方向？</w:t>
            </w:r>
          </w:p>
          <w:p>
            <w:pPr>
              <w:widowControl/>
              <w:spacing w:line="360" w:lineRule="auto"/>
              <w:ind w:firstLine="480" w:firstLineChars="200"/>
              <w:jc w:val="left"/>
              <w:rPr>
                <w:sz w:val="24"/>
              </w:rPr>
            </w:pPr>
            <w:r>
              <w:rPr>
                <w:rFonts w:hint="eastAsia"/>
                <w:sz w:val="24"/>
              </w:rPr>
              <w:t>公司会持续保持相对高强度的研发投入，研发费用率会维持在6%左右。研发投入的重点仍然是先进封装。目前先进封装占比较低，公司希望未来的产品结构是成熟封装和先进封装各占一半，因此公司的研发资源会向先进封装倾斜。</w:t>
            </w:r>
          </w:p>
          <w:p>
            <w:pPr>
              <w:widowControl/>
              <w:numPr>
                <w:ilvl w:val="-1"/>
                <w:numId w:val="0"/>
              </w:numPr>
              <w:spacing w:line="360" w:lineRule="auto"/>
              <w:ind w:firstLine="482" w:firstLineChars="200"/>
              <w:jc w:val="left"/>
              <w:rPr>
                <w:b/>
                <w:bCs/>
                <w:sz w:val="24"/>
              </w:rPr>
            </w:pPr>
            <w:r>
              <w:rPr>
                <w:rFonts w:hint="eastAsia"/>
                <w:b/>
                <w:bCs/>
                <w:sz w:val="24"/>
              </w:rPr>
              <w:t>1</w:t>
            </w:r>
            <w:r>
              <w:rPr>
                <w:rFonts w:hint="eastAsia"/>
                <w:b/>
                <w:bCs/>
                <w:sz w:val="24"/>
                <w:lang w:val="en-US" w:eastAsia="zh-CN"/>
              </w:rPr>
              <w:t>2</w:t>
            </w:r>
            <w:r>
              <w:rPr>
                <w:rFonts w:hint="eastAsia"/>
                <w:b/>
                <w:bCs/>
                <w:sz w:val="24"/>
              </w:rPr>
              <w:t>.台湾客户份额不断上涨是对其他供应商替代的结果？对台湾客户的产品的后续价格趋势怎么看？</w:t>
            </w:r>
          </w:p>
          <w:p>
            <w:pPr>
              <w:widowControl/>
              <w:spacing w:line="360" w:lineRule="auto"/>
              <w:ind w:firstLine="480" w:firstLineChars="200"/>
              <w:jc w:val="left"/>
              <w:rPr>
                <w:sz w:val="24"/>
              </w:rPr>
            </w:pPr>
            <w:r>
              <w:rPr>
                <w:rFonts w:hint="eastAsia"/>
                <w:sz w:val="24"/>
              </w:rPr>
              <w:t>基于各种因素影响，部分客户似乎存在倾向将供应商方案调整成local-for-local模式，会策略性选择本地供应链。</w:t>
            </w:r>
          </w:p>
          <w:p>
            <w:pPr>
              <w:widowControl/>
              <w:spacing w:line="360" w:lineRule="auto"/>
              <w:ind w:firstLine="480" w:firstLineChars="200"/>
              <w:jc w:val="left"/>
              <w:rPr>
                <w:sz w:val="24"/>
              </w:rPr>
            </w:pPr>
            <w:r>
              <w:rPr>
                <w:rFonts w:hint="eastAsia"/>
                <w:sz w:val="24"/>
              </w:rPr>
              <w:t>从价格角度，公司比台湾地区的友商在技术能力持平的情况下更具备价格竞争优势，方便客户控制成本；另一方面，公司对台湾客户的营收持续扩大，对产品毛利产生正向影响。</w:t>
            </w:r>
          </w:p>
          <w:p>
            <w:pPr>
              <w:widowControl/>
              <w:numPr>
                <w:ilvl w:val="-1"/>
                <w:numId w:val="0"/>
              </w:numPr>
              <w:spacing w:line="360" w:lineRule="auto"/>
              <w:ind w:firstLine="482" w:firstLineChars="200"/>
              <w:jc w:val="left"/>
              <w:rPr>
                <w:b/>
                <w:bCs/>
                <w:sz w:val="24"/>
              </w:rPr>
            </w:pPr>
            <w:r>
              <w:rPr>
                <w:rFonts w:hint="eastAsia"/>
                <w:b/>
                <w:bCs/>
                <w:sz w:val="24"/>
              </w:rPr>
              <w:t>1</w:t>
            </w:r>
            <w:r>
              <w:rPr>
                <w:rFonts w:hint="eastAsia"/>
                <w:b/>
                <w:bCs/>
                <w:sz w:val="24"/>
                <w:lang w:val="en-US" w:eastAsia="zh-CN"/>
              </w:rPr>
              <w:t>3</w:t>
            </w:r>
            <w:r>
              <w:rPr>
                <w:rFonts w:hint="eastAsia"/>
                <w:b/>
                <w:bCs/>
                <w:sz w:val="24"/>
              </w:rPr>
              <w:t>.订单能见度有变化吗？未来的情况预测？</w:t>
            </w:r>
          </w:p>
          <w:p>
            <w:pPr>
              <w:widowControl/>
              <w:spacing w:line="360" w:lineRule="auto"/>
              <w:ind w:firstLine="480" w:firstLineChars="200"/>
              <w:jc w:val="left"/>
              <w:rPr>
                <w:sz w:val="24"/>
              </w:rPr>
            </w:pPr>
            <w:r>
              <w:rPr>
                <w:rFonts w:hint="eastAsia"/>
                <w:sz w:val="24"/>
              </w:rPr>
              <w:t>公司的Forecast一直都是n+3，即未来三个月的预测。</w:t>
            </w:r>
          </w:p>
          <w:p>
            <w:pPr>
              <w:widowControl/>
              <w:numPr>
                <w:ilvl w:val="-1"/>
                <w:numId w:val="0"/>
              </w:numPr>
              <w:spacing w:line="360" w:lineRule="auto"/>
              <w:ind w:firstLine="482" w:firstLineChars="200"/>
              <w:jc w:val="left"/>
              <w:rPr>
                <w:b/>
                <w:bCs/>
                <w:sz w:val="24"/>
              </w:rPr>
            </w:pPr>
            <w:r>
              <w:rPr>
                <w:rFonts w:hint="eastAsia"/>
                <w:b/>
                <w:bCs/>
                <w:sz w:val="24"/>
              </w:rPr>
              <w:t>1</w:t>
            </w:r>
            <w:r>
              <w:rPr>
                <w:rFonts w:hint="eastAsia"/>
                <w:b/>
                <w:bCs/>
                <w:sz w:val="24"/>
                <w:lang w:val="en-US" w:eastAsia="zh-CN"/>
              </w:rPr>
              <w:t>4</w:t>
            </w:r>
            <w:r>
              <w:rPr>
                <w:rFonts w:hint="eastAsia"/>
                <w:b/>
                <w:bCs/>
                <w:sz w:val="24"/>
              </w:rPr>
              <w:t>.本次三季报营收的增长来源？是国内客户还是国外客户带来的提升？今年四季度到明年对海外需求有什么展望？</w:t>
            </w:r>
          </w:p>
          <w:p>
            <w:pPr>
              <w:widowControl/>
              <w:spacing w:line="360" w:lineRule="auto"/>
              <w:ind w:firstLine="480" w:firstLineChars="200"/>
              <w:jc w:val="left"/>
              <w:rPr>
                <w:sz w:val="24"/>
              </w:rPr>
            </w:pPr>
            <w:r>
              <w:rPr>
                <w:rFonts w:hint="eastAsia"/>
                <w:sz w:val="24"/>
              </w:rPr>
              <w:t>公司营收上升得益于两个方面，一方面是国内核心客户市场表现优异，公司作为其核心供应商，伴随客户一起成长；另一方面是海外客户拓展进展十分顺利，其贡献的营收也呈现逐季增长的态势。</w:t>
            </w:r>
          </w:p>
          <w:p>
            <w:pPr>
              <w:widowControl/>
              <w:spacing w:line="360" w:lineRule="auto"/>
              <w:ind w:firstLine="480" w:firstLineChars="200"/>
              <w:jc w:val="left"/>
              <w:rPr>
                <w:sz w:val="24"/>
              </w:rPr>
            </w:pPr>
            <w:r>
              <w:rPr>
                <w:rFonts w:hint="eastAsia"/>
                <w:sz w:val="24"/>
              </w:rPr>
              <w:t>公司预计明年仍然会保持相对快速的增长，一方面公司会持续深化国内平台性客户，通过原有产品线优势逐步获取平台客户的更大份额；另一方面，公司还会持续扩大在外两家大客户的份额；除此之外，公司还在积极扩展欧美客户，特别是欧洲客户。</w:t>
            </w:r>
          </w:p>
          <w:p>
            <w:pPr>
              <w:widowControl/>
              <w:numPr>
                <w:ilvl w:val="-1"/>
                <w:numId w:val="0"/>
              </w:numPr>
              <w:spacing w:line="360" w:lineRule="auto"/>
              <w:ind w:firstLine="482" w:firstLineChars="200"/>
              <w:jc w:val="left"/>
              <w:rPr>
                <w:sz w:val="24"/>
              </w:rPr>
            </w:pPr>
            <w:r>
              <w:rPr>
                <w:rFonts w:hint="eastAsia"/>
                <w:b/>
                <w:bCs/>
                <w:sz w:val="24"/>
              </w:rPr>
              <w:t>1</w:t>
            </w:r>
            <w:r>
              <w:rPr>
                <w:rFonts w:hint="eastAsia"/>
                <w:b/>
                <w:bCs/>
                <w:sz w:val="24"/>
                <w:lang w:val="en-US" w:eastAsia="zh-CN"/>
              </w:rPr>
              <w:t>5</w:t>
            </w:r>
            <w:r>
              <w:rPr>
                <w:rFonts w:hint="eastAsia"/>
                <w:b/>
                <w:bCs/>
                <w:sz w:val="24"/>
              </w:rPr>
              <w:t>.公司在做2.5D封装，后续会兼顾HBM配套需求吗？</w:t>
            </w:r>
          </w:p>
          <w:p>
            <w:pPr>
              <w:widowControl/>
              <w:spacing w:line="360" w:lineRule="auto"/>
              <w:ind w:firstLine="480" w:firstLineChars="200"/>
              <w:jc w:val="left"/>
              <w:rPr>
                <w:sz w:val="24"/>
              </w:rPr>
            </w:pPr>
            <w:r>
              <w:rPr>
                <w:rFonts w:hint="eastAsia"/>
                <w:sz w:val="24"/>
              </w:rPr>
              <w:t>公司正在调试的2.5D生产线与HBM的设备和工艺路线通用；是否参与HBM封装取决于公司和存储公司在商业模式上的契机。</w:t>
            </w:r>
          </w:p>
          <w:p>
            <w:pPr>
              <w:widowControl/>
              <w:numPr>
                <w:ilvl w:val="-1"/>
                <w:numId w:val="0"/>
              </w:numPr>
              <w:spacing w:line="360" w:lineRule="auto"/>
              <w:ind w:firstLine="482" w:firstLineChars="200"/>
              <w:jc w:val="left"/>
              <w:rPr>
                <w:b/>
                <w:bCs/>
                <w:sz w:val="24"/>
              </w:rPr>
            </w:pPr>
            <w:r>
              <w:rPr>
                <w:rFonts w:hint="eastAsia"/>
                <w:b/>
                <w:bCs/>
                <w:sz w:val="24"/>
              </w:rPr>
              <w:t>1</w:t>
            </w:r>
            <w:r>
              <w:rPr>
                <w:rFonts w:hint="eastAsia"/>
                <w:b/>
                <w:bCs/>
                <w:sz w:val="24"/>
                <w:lang w:val="en-US" w:eastAsia="zh-CN"/>
              </w:rPr>
              <w:t>6</w:t>
            </w:r>
            <w:r>
              <w:rPr>
                <w:rFonts w:hint="eastAsia"/>
                <w:b/>
                <w:bCs/>
                <w:sz w:val="24"/>
              </w:rPr>
              <w:t>.公司的海外客户主要是什么应用领域的？在做欧洲客户时候会涉及到跟国内友商的存量竞争吗？</w:t>
            </w:r>
          </w:p>
          <w:p>
            <w:pPr>
              <w:widowControl/>
              <w:spacing w:line="360" w:lineRule="auto"/>
              <w:ind w:firstLine="480" w:firstLineChars="200"/>
              <w:jc w:val="left"/>
              <w:rPr>
                <w:sz w:val="24"/>
              </w:rPr>
            </w:pPr>
            <w:r>
              <w:rPr>
                <w:rFonts w:hint="eastAsia"/>
                <w:sz w:val="24"/>
              </w:rPr>
              <w:t>公司海外客户不局限于IoT领域，也包括车规、高端PMIC产品等，公司的产品线十分齐全，可根据客户的需求提供定制化服务。竞争始终存在，无论是与海外OSAT还是国内。</w:t>
            </w:r>
          </w:p>
          <w:p>
            <w:pPr>
              <w:widowControl/>
              <w:numPr>
                <w:ilvl w:val="-1"/>
                <w:numId w:val="0"/>
              </w:numPr>
              <w:spacing w:line="360" w:lineRule="auto"/>
              <w:ind w:firstLine="482" w:firstLineChars="200"/>
              <w:jc w:val="left"/>
              <w:rPr>
                <w:b/>
                <w:bCs/>
                <w:sz w:val="24"/>
              </w:rPr>
            </w:pPr>
            <w:r>
              <w:rPr>
                <w:rFonts w:hint="eastAsia"/>
                <w:b/>
                <w:bCs/>
                <w:sz w:val="24"/>
              </w:rPr>
              <w:t>1</w:t>
            </w:r>
            <w:r>
              <w:rPr>
                <w:rFonts w:hint="eastAsia"/>
                <w:b/>
                <w:bCs/>
                <w:sz w:val="24"/>
                <w:lang w:val="en-US" w:eastAsia="zh-CN"/>
              </w:rPr>
              <w:t>7</w:t>
            </w:r>
            <w:r>
              <w:rPr>
                <w:rFonts w:hint="eastAsia"/>
                <w:b/>
                <w:bCs/>
                <w:sz w:val="24"/>
              </w:rPr>
              <w:t>.封测行业对SiP产能的看法？是供需平衡的状态吗？不同公司SiP毛利率区间跨度比较大的原因是什么？</w:t>
            </w:r>
          </w:p>
          <w:p>
            <w:pPr>
              <w:widowControl/>
              <w:spacing w:line="360" w:lineRule="auto"/>
              <w:ind w:firstLine="480" w:firstLineChars="200"/>
              <w:rPr>
                <w:sz w:val="24"/>
              </w:rPr>
            </w:pPr>
            <w:r>
              <w:rPr>
                <w:rFonts w:hint="eastAsia"/>
                <w:sz w:val="24"/>
              </w:rPr>
              <w:t>国内供需关系不可一概</w:t>
            </w:r>
            <w:r>
              <w:rPr>
                <w:rFonts w:hint="eastAsia"/>
                <w:sz w:val="24"/>
                <w:lang w:val="en-US" w:eastAsia="zh-CN"/>
              </w:rPr>
              <w:t>而论</w:t>
            </w:r>
            <w:r>
              <w:rPr>
                <w:rFonts w:hint="eastAsia"/>
                <w:sz w:val="24"/>
              </w:rPr>
              <w:t>，目前公司客户需求旺盛，公司稼动率也维持较高水平。总而言之，中高端产品不容易产能过剩。</w:t>
            </w:r>
          </w:p>
          <w:p>
            <w:pPr>
              <w:widowControl/>
              <w:spacing w:line="360" w:lineRule="auto"/>
              <w:ind w:firstLine="480" w:firstLineChars="200"/>
              <w:jc w:val="left"/>
              <w:rPr>
                <w:rFonts w:hint="eastAsia"/>
                <w:sz w:val="24"/>
              </w:rPr>
            </w:pPr>
            <w:r>
              <w:rPr>
                <w:rFonts w:hint="eastAsia"/>
                <w:sz w:val="24"/>
              </w:rPr>
              <w:t>毛利率跨度大是因为SiP是一个广义概念，虽然技术原理相似，但本身应用领域以及技术难度的跨度很大；另一方面也有可能是财务核算和BOM成本的口径不同。</w:t>
            </w:r>
          </w:p>
          <w:p>
            <w:pPr>
              <w:widowControl/>
              <w:spacing w:line="360" w:lineRule="auto"/>
              <w:ind w:firstLine="482" w:firstLineChars="200"/>
              <w:rPr>
                <w:b/>
                <w:bCs/>
                <w:sz w:val="24"/>
              </w:rPr>
            </w:pPr>
            <w:r>
              <w:rPr>
                <w:rFonts w:hint="eastAsia"/>
                <w:b/>
                <w:bCs/>
                <w:sz w:val="24"/>
                <w:lang w:val="en-US" w:eastAsia="zh-CN"/>
              </w:rPr>
              <w:t>18.</w:t>
            </w:r>
            <w:r>
              <w:rPr>
                <w:rFonts w:hint="eastAsia"/>
                <w:b/>
                <w:bCs/>
                <w:sz w:val="24"/>
              </w:rPr>
              <w:t>怎么看目前封测行业的竞争格局？</w:t>
            </w:r>
          </w:p>
          <w:p>
            <w:pPr>
              <w:widowControl/>
              <w:spacing w:line="360" w:lineRule="auto"/>
              <w:ind w:firstLine="480" w:firstLineChars="200"/>
              <w:rPr>
                <w:sz w:val="24"/>
              </w:rPr>
            </w:pPr>
            <w:r>
              <w:rPr>
                <w:rFonts w:hint="eastAsia"/>
                <w:sz w:val="24"/>
              </w:rPr>
              <w:t>随着封装技术的发展和政府补贴的退坡，行业进入壁垒会逐步增高，行业内也将优胜劣汰。</w:t>
            </w:r>
          </w:p>
          <w:p>
            <w:pPr>
              <w:widowControl/>
              <w:spacing w:line="360" w:lineRule="auto"/>
              <w:ind w:firstLine="482" w:firstLineChars="200"/>
              <w:rPr>
                <w:b/>
                <w:bCs/>
                <w:sz w:val="24"/>
              </w:rPr>
            </w:pPr>
            <w:r>
              <w:rPr>
                <w:rFonts w:hint="eastAsia"/>
                <w:b/>
                <w:bCs/>
                <w:sz w:val="24"/>
                <w:lang w:val="en-US" w:eastAsia="zh-CN"/>
              </w:rPr>
              <w:t>19.</w:t>
            </w:r>
            <w:r>
              <w:rPr>
                <w:rFonts w:hint="eastAsia"/>
                <w:b/>
                <w:bCs/>
                <w:sz w:val="24"/>
              </w:rPr>
              <w:t>公司毛利高于友商的原因？</w:t>
            </w:r>
          </w:p>
          <w:p>
            <w:pPr>
              <w:widowControl/>
              <w:spacing w:line="360" w:lineRule="auto"/>
              <w:ind w:firstLine="480" w:firstLineChars="200"/>
              <w:jc w:val="left"/>
              <w:rPr>
                <w:rFonts w:hint="eastAsia"/>
                <w:sz w:val="24"/>
              </w:rPr>
            </w:pPr>
            <w:r>
              <w:rPr>
                <w:rFonts w:hint="eastAsia"/>
                <w:sz w:val="24"/>
              </w:rPr>
              <w:t>一方面公司产品结构优异，坚持做技术难度大、毛利率高的产品。另一方面，公司制度科学、管理层经验丰富，在效率、成本、良率上具备优势，因此能在折旧规模巨大的情况下维持行业内较高的毛利水平。</w:t>
            </w:r>
          </w:p>
          <w:p>
            <w:pPr>
              <w:widowControl/>
              <w:spacing w:line="360" w:lineRule="auto"/>
              <w:ind w:firstLine="482" w:firstLineChars="200"/>
              <w:rPr>
                <w:b/>
                <w:bCs/>
                <w:sz w:val="24"/>
              </w:rPr>
            </w:pPr>
            <w:r>
              <w:rPr>
                <w:rFonts w:hint="eastAsia"/>
                <w:b/>
                <w:bCs/>
                <w:sz w:val="24"/>
                <w:lang w:val="en-US" w:eastAsia="zh-CN"/>
              </w:rPr>
              <w:t>20.</w:t>
            </w:r>
            <w:r>
              <w:rPr>
                <w:rFonts w:hint="eastAsia"/>
                <w:b/>
                <w:bCs/>
                <w:sz w:val="24"/>
              </w:rPr>
              <w:t>公司新产线的产能情况？</w:t>
            </w:r>
          </w:p>
          <w:p>
            <w:pPr>
              <w:widowControl/>
              <w:spacing w:line="360" w:lineRule="auto"/>
              <w:ind w:firstLine="480" w:firstLineChars="200"/>
              <w:jc w:val="left"/>
              <w:rPr>
                <w:rFonts w:hint="eastAsia"/>
                <w:sz w:val="24"/>
              </w:rPr>
            </w:pPr>
            <w:r>
              <w:rPr>
                <w:rFonts w:hint="eastAsia"/>
                <w:sz w:val="24"/>
              </w:rPr>
              <w:t>先进封装的产能爬坡速度取决于验证阶段和量产阶段，先进封装成本高昂，因此对良率的工程验证较为严谨，而量产阶段则取决于客户的需求。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iCs/>
                <w:color w:val="000000"/>
                <w:sz w:val="24"/>
              </w:rPr>
            </w:pPr>
            <w:r>
              <w:rPr>
                <w:bCs/>
                <w:iCs/>
                <w:color w:val="000000"/>
                <w:sz w:val="24"/>
              </w:rPr>
              <w:t>附件清单（如有）</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bCs/>
                <w:iCs/>
                <w:color w:val="000000"/>
                <w:sz w:val="24"/>
              </w:rPr>
            </w:pPr>
            <w:r>
              <w:rPr>
                <w:bCs/>
                <w:iCs/>
                <w:color w:val="000000"/>
                <w:sz w:val="24"/>
              </w:rPr>
              <w:t>《参会人员名单》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iCs/>
                <w:color w:val="000000"/>
                <w:sz w:val="24"/>
              </w:rPr>
            </w:pPr>
            <w:r>
              <w:rPr>
                <w:bCs/>
                <w:iCs/>
                <w:color w:val="000000"/>
                <w:sz w:val="24"/>
              </w:rPr>
              <w:t>日期</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bCs/>
                <w:iCs/>
                <w:color w:val="000000"/>
                <w:sz w:val="24"/>
              </w:rPr>
            </w:pPr>
            <w:r>
              <w:rPr>
                <w:bCs/>
                <w:iCs/>
                <w:color w:val="000000"/>
                <w:sz w:val="24"/>
              </w:rPr>
              <w:t>2024年</w:t>
            </w:r>
            <w:r>
              <w:rPr>
                <w:rFonts w:hint="eastAsia"/>
                <w:bCs/>
                <w:iCs/>
                <w:color w:val="000000"/>
                <w:sz w:val="24"/>
              </w:rPr>
              <w:t>10</w:t>
            </w:r>
            <w:r>
              <w:rPr>
                <w:bCs/>
                <w:iCs/>
                <w:color w:val="000000"/>
                <w:sz w:val="24"/>
              </w:rPr>
              <w:t>月2</w:t>
            </w:r>
            <w:r>
              <w:rPr>
                <w:rFonts w:hint="eastAsia"/>
                <w:bCs/>
                <w:iCs/>
                <w:color w:val="000000"/>
                <w:sz w:val="24"/>
              </w:rPr>
              <w:t>9</w:t>
            </w:r>
            <w:r>
              <w:rPr>
                <w:bCs/>
                <w:iCs/>
                <w:color w:val="000000"/>
                <w:sz w:val="24"/>
              </w:rPr>
              <w:t>日</w:t>
            </w:r>
          </w:p>
        </w:tc>
      </w:tr>
    </w:tbl>
    <w:p>
      <w:pPr>
        <w:widowControl/>
        <w:spacing w:line="360" w:lineRule="auto"/>
        <w:ind w:firstLine="480" w:firstLineChars="200"/>
        <w:jc w:val="lef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MTIyMGY2MDRhNzYwY2ViNWVhMGY4NmU3Zjc0Y2EifQ=="/>
  </w:docVars>
  <w:rsids>
    <w:rsidRoot w:val="005A297F"/>
    <w:rsid w:val="00007F79"/>
    <w:rsid w:val="00153202"/>
    <w:rsid w:val="00236D69"/>
    <w:rsid w:val="00256CAC"/>
    <w:rsid w:val="002A1EF8"/>
    <w:rsid w:val="002C415F"/>
    <w:rsid w:val="002F054D"/>
    <w:rsid w:val="00300F8D"/>
    <w:rsid w:val="00324005"/>
    <w:rsid w:val="003665A5"/>
    <w:rsid w:val="003C4982"/>
    <w:rsid w:val="003D61CA"/>
    <w:rsid w:val="00445B42"/>
    <w:rsid w:val="00454CFF"/>
    <w:rsid w:val="00482089"/>
    <w:rsid w:val="004B4526"/>
    <w:rsid w:val="00537524"/>
    <w:rsid w:val="00546E16"/>
    <w:rsid w:val="005560B8"/>
    <w:rsid w:val="005724C2"/>
    <w:rsid w:val="00576B9F"/>
    <w:rsid w:val="005A297F"/>
    <w:rsid w:val="005C6E9E"/>
    <w:rsid w:val="0060673F"/>
    <w:rsid w:val="006114C9"/>
    <w:rsid w:val="006300B4"/>
    <w:rsid w:val="00663E06"/>
    <w:rsid w:val="006D2D5E"/>
    <w:rsid w:val="006F2D3B"/>
    <w:rsid w:val="00704FB9"/>
    <w:rsid w:val="00720B4D"/>
    <w:rsid w:val="007361B0"/>
    <w:rsid w:val="007410BB"/>
    <w:rsid w:val="00751B3D"/>
    <w:rsid w:val="00771110"/>
    <w:rsid w:val="00777E25"/>
    <w:rsid w:val="007A01A0"/>
    <w:rsid w:val="007A75CD"/>
    <w:rsid w:val="007B05EC"/>
    <w:rsid w:val="007D2D2F"/>
    <w:rsid w:val="00831B84"/>
    <w:rsid w:val="00840138"/>
    <w:rsid w:val="00840451"/>
    <w:rsid w:val="008754EB"/>
    <w:rsid w:val="008B5F5E"/>
    <w:rsid w:val="008B6F3E"/>
    <w:rsid w:val="008C7BEC"/>
    <w:rsid w:val="008E0109"/>
    <w:rsid w:val="00901559"/>
    <w:rsid w:val="00906860"/>
    <w:rsid w:val="00956492"/>
    <w:rsid w:val="009E010A"/>
    <w:rsid w:val="00A16FBF"/>
    <w:rsid w:val="00A27630"/>
    <w:rsid w:val="00A34B1F"/>
    <w:rsid w:val="00A369D6"/>
    <w:rsid w:val="00A64A2B"/>
    <w:rsid w:val="00A80AD1"/>
    <w:rsid w:val="00A87ADE"/>
    <w:rsid w:val="00A97E93"/>
    <w:rsid w:val="00B014D9"/>
    <w:rsid w:val="00B41B67"/>
    <w:rsid w:val="00B65B95"/>
    <w:rsid w:val="00B82980"/>
    <w:rsid w:val="00B9304D"/>
    <w:rsid w:val="00C22AF1"/>
    <w:rsid w:val="00C56B9A"/>
    <w:rsid w:val="00CF48F4"/>
    <w:rsid w:val="00D62C5C"/>
    <w:rsid w:val="00D66330"/>
    <w:rsid w:val="00D72B8B"/>
    <w:rsid w:val="00D84DB9"/>
    <w:rsid w:val="00DE2B9B"/>
    <w:rsid w:val="00E1308D"/>
    <w:rsid w:val="00E23082"/>
    <w:rsid w:val="00E66305"/>
    <w:rsid w:val="00E739FE"/>
    <w:rsid w:val="00EA50D7"/>
    <w:rsid w:val="00F11B8C"/>
    <w:rsid w:val="00F64F18"/>
    <w:rsid w:val="00FB7D30"/>
    <w:rsid w:val="00FC41D6"/>
    <w:rsid w:val="00FE2D0B"/>
    <w:rsid w:val="03292D43"/>
    <w:rsid w:val="03560383"/>
    <w:rsid w:val="03F15DAF"/>
    <w:rsid w:val="08A04BAA"/>
    <w:rsid w:val="094108C0"/>
    <w:rsid w:val="09AA3C59"/>
    <w:rsid w:val="12A13D58"/>
    <w:rsid w:val="1860015A"/>
    <w:rsid w:val="19B6216F"/>
    <w:rsid w:val="1BF805D5"/>
    <w:rsid w:val="1F2B52D1"/>
    <w:rsid w:val="207B66B3"/>
    <w:rsid w:val="20946656"/>
    <w:rsid w:val="25D72578"/>
    <w:rsid w:val="26D71022"/>
    <w:rsid w:val="2AC84E9F"/>
    <w:rsid w:val="2BC35AD1"/>
    <w:rsid w:val="2CE54A62"/>
    <w:rsid w:val="30A27C8C"/>
    <w:rsid w:val="30E402B5"/>
    <w:rsid w:val="43F2013F"/>
    <w:rsid w:val="45501780"/>
    <w:rsid w:val="46F82CE2"/>
    <w:rsid w:val="475D6C3E"/>
    <w:rsid w:val="4B5E36E6"/>
    <w:rsid w:val="4C1A05E7"/>
    <w:rsid w:val="4D0D13F2"/>
    <w:rsid w:val="4DC405FC"/>
    <w:rsid w:val="4E3A0F2E"/>
    <w:rsid w:val="4EA8761A"/>
    <w:rsid w:val="57B108DE"/>
    <w:rsid w:val="57C3214C"/>
    <w:rsid w:val="5FBB57DE"/>
    <w:rsid w:val="60B9101E"/>
    <w:rsid w:val="62B1172F"/>
    <w:rsid w:val="640F4210"/>
    <w:rsid w:val="660475F8"/>
    <w:rsid w:val="690802CD"/>
    <w:rsid w:val="69C2507E"/>
    <w:rsid w:val="6A5C341E"/>
    <w:rsid w:val="6DDF5540"/>
    <w:rsid w:val="6E4B6D81"/>
    <w:rsid w:val="6F6367F1"/>
    <w:rsid w:val="707833D1"/>
    <w:rsid w:val="70C51DC1"/>
    <w:rsid w:val="728E588D"/>
    <w:rsid w:val="7510063F"/>
    <w:rsid w:val="7D40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4"/>
    <w:next w:val="4"/>
    <w:link w:val="18"/>
    <w:semiHidden/>
    <w:unhideWhenUsed/>
    <w:qFormat/>
    <w:uiPriority w:val="99"/>
    <w:rPr>
      <w:b/>
      <w:bCs/>
    </w:rPr>
  </w:style>
  <w:style w:type="character" w:styleId="12">
    <w:name w:val="Emphasis"/>
    <w:basedOn w:val="11"/>
    <w:qFormat/>
    <w:uiPriority w:val="20"/>
    <w:rPr>
      <w:i/>
    </w:rPr>
  </w:style>
  <w:style w:type="character" w:styleId="13">
    <w:name w:val="annotation reference"/>
    <w:basedOn w:val="11"/>
    <w:semiHidden/>
    <w:unhideWhenUsed/>
    <w:qFormat/>
    <w:uiPriority w:val="99"/>
    <w:rPr>
      <w:sz w:val="21"/>
      <w:szCs w:val="21"/>
    </w:rPr>
  </w:style>
  <w:style w:type="paragraph" w:customStyle="1" w:styleId="14">
    <w:name w:val="Normal Indent1"/>
    <w:next w:val="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批注文字 字符"/>
    <w:basedOn w:val="11"/>
    <w:link w:val="4"/>
    <w:semiHidden/>
    <w:qFormat/>
    <w:uiPriority w:val="99"/>
    <w:rPr>
      <w:rFonts w:ascii="Times New Roman" w:hAnsi="Times New Roman" w:eastAsia="宋体" w:cs="Times New Roman"/>
      <w:szCs w:val="24"/>
    </w:rPr>
  </w:style>
  <w:style w:type="character" w:customStyle="1" w:styleId="18">
    <w:name w:val="批注主题 字符"/>
    <w:basedOn w:val="17"/>
    <w:link w:val="9"/>
    <w:semiHidden/>
    <w:qFormat/>
    <w:uiPriority w:val="99"/>
    <w:rPr>
      <w:rFonts w:ascii="Times New Roman" w:hAnsi="Times New Roman" w:eastAsia="宋体" w:cs="Times New Roman"/>
      <w:b/>
      <w:bCs/>
      <w:szCs w:val="24"/>
    </w:rPr>
  </w:style>
  <w:style w:type="character" w:customStyle="1" w:styleId="19">
    <w:name w:val="批注框文本 字符"/>
    <w:basedOn w:val="11"/>
    <w:link w:val="5"/>
    <w:semiHidden/>
    <w:qFormat/>
    <w:uiPriority w:val="99"/>
    <w:rPr>
      <w:rFonts w:ascii="Times New Roman" w:hAnsi="Times New Roman" w:eastAsia="宋体" w:cs="Times New Roman"/>
      <w:sz w:val="18"/>
      <w:szCs w:val="18"/>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qFormat/>
    <w:uiPriority w:val="0"/>
    <w:pPr>
      <w:ind w:firstLine="420" w:firstLineChars="200"/>
    </w:pPr>
  </w:style>
  <w:style w:type="paragraph" w:customStyle="1" w:styleId="2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_Style 108"/>
    <w:qFormat/>
    <w:uiPriority w:val="0"/>
    <w:rPr>
      <w:rFonts w:ascii="宋体" w:hAnsi="宋体" w:eastAsia="宋体" w:cs="Times New Roman"/>
      <w:color w:val="000000"/>
      <w:sz w:val="21"/>
      <w:szCs w:val="21"/>
      <w:lang w:val="en-US" w:eastAsia="zh-CN" w:bidi="ar-SA"/>
    </w:rPr>
  </w:style>
  <w:style w:type="paragraph" w:customStyle="1" w:styleId="2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Forehope</Company>
  <Pages>5</Pages>
  <Words>460</Words>
  <Characters>2625</Characters>
  <Lines>21</Lines>
  <Paragraphs>6</Paragraphs>
  <TotalTime>27</TotalTime>
  <ScaleCrop>false</ScaleCrop>
  <LinksUpToDate>false</LinksUpToDate>
  <CharactersWithSpaces>3079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2024-10-31T03:26:00Z</dcterms:created>
  <dc:creator>周钡钡</dc:creator>
  <cp:lastModifiedBy>zhengquanbu</cp:lastModifiedBy>
  <dcterms:modified xsi:type="dcterms:W3CDTF">2024-10-31T07:58:26Z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66BB96A11185426B804084A06CA97F1A_13</vt:lpwstr>
  </property>
</Properties>
</file>